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HỢP ĐỒNG LAO ĐỘNG MẪU</w:t>
      </w:r>
    </w:p>
    <w:p>
      <w:r>
        <w:t>Tài liệu giả lập phục vụ kiểm thử hệ thống. Không chứa dữ liệu cá nhân thật.</w:t>
      </w:r>
    </w:p>
    <w:p>
      <w:pPr>
        <w:pStyle w:val="Heading1"/>
      </w:pPr>
      <w:r>
        <w:t>Điều 1. Công việc và thời hạn hợp đồng</w:t>
      </w:r>
    </w:p>
    <w:p>
      <w:r>
        <w:t>Người lao động làm việc ở vị trí chuyên viên hỗ trợ kỹ thuật theo hợp đồng xác định thời hạn 12 tháng.</w:t>
      </w:r>
    </w:p>
    <w:p>
      <w:pPr>
        <w:pStyle w:val="Heading1"/>
      </w:pPr>
      <w:r>
        <w:t>Điều 2. Thử việc</w:t>
      </w:r>
    </w:p>
    <w:p>
      <w:r>
        <w:t>Thời gian thử việc là 75 ngày kể từ ngày bắt đầu làm việc. Mức lương thử việc bằng 85% mức lương chính thức.</w:t>
      </w:r>
    </w:p>
    <w:p>
      <w:pPr>
        <w:pStyle w:val="Heading1"/>
      </w:pPr>
      <w:r>
        <w:t>Điều 3. Tiền lương và phương thức trả lương</w:t>
      </w:r>
    </w:p>
    <w:p>
      <w:r>
        <w:t>Mức lương chính thức là 12.000.000 đồng mỗi tháng, trả qua tài khoản ngân hàng vào ngày 10 của tháng kế tiếp. Phụ cấp trách nhiệm là 1.000.000 đồng mỗi tháng.</w:t>
      </w:r>
    </w:p>
    <w:p>
      <w:pPr>
        <w:pStyle w:val="Heading1"/>
      </w:pPr>
      <w:r>
        <w:t>Điều 4. Thời giờ làm việc và nghỉ ngơi</w:t>
      </w:r>
    </w:p>
    <w:p>
      <w:r>
        <w:t>Người lao động làm việc 9 giờ mỗi ngày, từ thứ Hai đến thứ Sáu. Thời gian nghỉ giữa giờ là 30 phút. Việc làm thêm được thực hiện khi có yêu cầu của người sử dụng lao động.</w:t>
      </w:r>
    </w:p>
    <w:p>
      <w:pPr>
        <w:pStyle w:val="Heading1"/>
      </w:pPr>
      <w:r>
        <w:t>Điều 5. Chấm dứt hợp đồng</w:t>
      </w:r>
    </w:p>
    <w:p>
      <w:r>
        <w:t>Mỗi bên có quyền đơn phương chấm dứt hợp đồng nhưng phải báo trước 10 ngày. Các nghĩa vụ bàn giao và thanh toán được thực hiện trong thời hạn phù hợp với quy định pháp luật.</w:t>
      </w:r>
    </w:p>
    <w:p>
      <w:pPr>
        <w:pStyle w:val="Heading1"/>
      </w:pPr>
      <w:r>
        <w:t>Điều 6. Điều khoản chung</w:t>
      </w:r>
    </w:p>
    <w:p>
      <w:r>
        <w:t>Hai bên cam kết thực hiện đúng nội dung hợp đồng và pháp luật lao động Việt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