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2"/>
        <w:gridCol w:w="4535"/>
      </w:tblGrid>
      <w:tr>
        <w:trPr>
          <w:cantSplit/>
        </w:trPr>
        <w:tc>
          <w:tcPr>
            <w:tcW w:type="dxa" w:w="5071"/>
            <w:vAlign w:val="center"/>
            <w:tcBorders>
              <w:top w:val="nil"/>
              <w:left w:val="nil"/>
              <w:bottom w:val="nil"/>
              <w:right w:val="nil"/>
            </w:tcBorders>
          </w:tcPr>
          <w:p>
            <w:pPr>
              <w:jc w:val="left"/>
            </w:pPr>
            <w:r>
              <w:rPr>
                <w:sz w:val="19"/>
              </w:rPr>
              <w:t>CÔNG TY CỔ PHẦN THIẾT BỊ MINH TÍN</w:t>
            </w:r>
          </w:p>
        </w:tc>
        <w:tc>
          <w:tcPr>
            <w:tcW w:type="dxa" w:w="5071"/>
            <w:vAlign w:val="center"/>
            <w:tcBorders>
              <w:top w:val="nil"/>
              <w:left w:val="nil"/>
              <w:bottom w:val="nil"/>
              <w:right w:val="nil"/>
            </w:tcBorders>
          </w:tcPr>
          <w:p>
            <w:pPr>
              <w:jc w:val="center"/>
            </w:pPr>
            <w:r>
              <w:rPr>
                <w:sz w:val="19"/>
              </w:rPr>
              <w:t>CỘNG HÒA XÃ HỘI CHỦ NGHĨA VIỆT NAM</w:t>
            </w:r>
          </w:p>
        </w:tc>
      </w:tr>
      <w:tr>
        <w:trPr>
          <w:cantSplit/>
        </w:trPr>
        <w:tc>
          <w:tcPr>
            <w:tcW w:type="dxa" w:w="5071"/>
            <w:vAlign w:val="center"/>
            <w:tcBorders>
              <w:top w:val="nil"/>
              <w:left w:val="nil"/>
              <w:bottom w:val="nil"/>
              <w:right w:val="nil"/>
            </w:tcBorders>
          </w:tcPr>
          <w:p>
            <w:pPr>
              <w:jc w:val="left"/>
            </w:pPr>
            <w:r>
              <w:rPr>
                <w:sz w:val="19"/>
              </w:rPr>
              <w:t>Số: 31/2026/HĐLĐ-MT</w:t>
            </w:r>
          </w:p>
        </w:tc>
        <w:tc>
          <w:tcPr>
            <w:tcW w:type="dxa" w:w="5071"/>
            <w:vAlign w:val="center"/>
            <w:tcBorders>
              <w:top w:val="nil"/>
              <w:left w:val="nil"/>
              <w:bottom w:val="nil"/>
              <w:right w:val="nil"/>
            </w:tcBorders>
          </w:tcPr>
          <w:p>
            <w:pPr>
              <w:jc w:val="center"/>
            </w:pPr>
            <w:r>
              <w:rPr>
                <w:sz w:val="19"/>
              </w:rPr>
              <w:t>Độc lập - Tự do - Hạnh phúc</w:t>
            </w:r>
          </w:p>
        </w:tc>
      </w:tr>
    </w:tbl>
    <w:p>
      <w:pPr>
        <w:jc w:val="center"/>
      </w:pPr>
      <w:r>
        <w:rPr>
          <w:b/>
          <w:sz w:val="32"/>
        </w:rPr>
        <w:t>HỢP ĐỒNG LAO ĐỘNG</w:t>
      </w:r>
    </w:p>
    <w:p>
      <w:pPr>
        <w:jc w:val="center"/>
      </w:pPr>
      <w:r>
        <w:rPr>
          <w:i/>
          <w:sz w:val="20"/>
        </w:rPr>
        <w:t>(TP. Hồ Chí Minh, ngày 20 tháng 8 năm 2026)</w:t>
      </w:r>
    </w:p>
    <w:p>
      <w:r>
        <w:rPr>
          <w:b/>
        </w:rPr>
        <w:t>BÊN SỬ DỤNG LAO ĐỘNG (BÊN A)</w:t>
      </w:r>
    </w:p>
    <w:tbl>
      <w:tblPr>
        <w:tblW w:type="auto" w:w="0"/>
        <w:jc w:val="center"/>
        <w:tblLook w:firstColumn="1" w:firstRow="1" w:lastColumn="0" w:lastRow="0" w:noHBand="0" w:noVBand="1" w:val="04A0"/>
      </w:tblPr>
      <w:tblGrid>
        <w:gridCol w:w="5071"/>
        <w:gridCol w:w="5071"/>
      </w:tblGrid>
      <w:tr>
        <w:tc>
          <w:tcPr>
            <w:tcW w:type="dxa" w:w="1928"/>
            <w:vAlign w:val="center"/>
          </w:tcPr>
          <w:p>
            <w:r>
              <w:t>Đơn vị</w:t>
            </w:r>
          </w:p>
        </w:tc>
        <w:tc>
          <w:tcPr>
            <w:tcW w:type="dxa" w:w="7540"/>
            <w:vAlign w:val="center"/>
          </w:tcPr>
          <w:p>
            <w:r>
              <w:t>Công ty Cổ phần Thiết bị Minh Tín</w:t>
            </w:r>
          </w:p>
        </w:tc>
      </w:tr>
      <w:tr>
        <w:tc>
          <w:tcPr>
            <w:tcW w:type="dxa" w:w="1928"/>
            <w:vAlign w:val="center"/>
          </w:tcPr>
          <w:p>
            <w:r>
              <w:t>Đại diện</w:t>
            </w:r>
          </w:p>
        </w:tc>
        <w:tc>
          <w:tcPr>
            <w:tcW w:type="dxa" w:w="7540"/>
            <w:vAlign w:val="center"/>
          </w:tcPr>
          <w:p>
            <w:r>
              <w:t>Nguyễn Duy Thành - Tổng Giám đốc</w:t>
            </w:r>
          </w:p>
        </w:tc>
      </w:tr>
      <w:tr>
        <w:tc>
          <w:tcPr>
            <w:tcW w:type="dxa" w:w="1928"/>
            <w:vAlign w:val="center"/>
          </w:tcPr>
          <w:p>
            <w:r>
              <w:t>Địa chỉ</w:t>
            </w:r>
          </w:p>
        </w:tc>
        <w:tc>
          <w:tcPr>
            <w:tcW w:type="dxa" w:w="7540"/>
            <w:vAlign w:val="center"/>
          </w:tcPr>
          <w:p>
            <w:r>
              <w:t>230 Lý Thường Kiệt, Phường Diên Hồng, TP. Hồ Chí Minh</w:t>
            </w:r>
          </w:p>
        </w:tc>
      </w:tr>
      <w:tr>
        <w:tc>
          <w:tcPr>
            <w:tcW w:type="dxa" w:w="1928"/>
            <w:vAlign w:val="center"/>
          </w:tcPr>
          <w:p>
            <w:r>
              <w:t>Điện thoại</w:t>
            </w:r>
          </w:p>
        </w:tc>
        <w:tc>
          <w:tcPr>
            <w:tcW w:type="dxa" w:w="7540"/>
            <w:vAlign w:val="center"/>
          </w:tcPr>
          <w:p>
            <w:r>
              <w:t>028 7300 6688</w:t>
            </w:r>
          </w:p>
        </w:tc>
      </w:tr>
    </w:tbl>
    <w:p>
      <w:r>
        <w:rPr>
          <w:b/>
        </w:rPr>
        <w:t>NGƯỜI LAO ĐỘNG (BÊN B)</w:t>
      </w:r>
    </w:p>
    <w:tbl>
      <w:tblPr>
        <w:tblW w:type="auto" w:w="0"/>
        <w:jc w:val="center"/>
        <w:tblLook w:firstColumn="1" w:firstRow="1" w:lastColumn="0" w:lastRow="0" w:noHBand="0" w:noVBand="1" w:val="04A0"/>
      </w:tblPr>
      <w:tblGrid>
        <w:gridCol w:w="5071"/>
        <w:gridCol w:w="5071"/>
      </w:tblGrid>
      <w:tr>
        <w:tc>
          <w:tcPr>
            <w:tcW w:type="dxa" w:w="1928"/>
          </w:tcPr>
          <w:p>
            <w:r>
              <w:t>Họ và tên</w:t>
            </w:r>
          </w:p>
        </w:tc>
        <w:tc>
          <w:tcPr>
            <w:tcW w:type="dxa" w:w="7540"/>
          </w:tcPr>
          <w:p>
            <w:r>
              <w:t>Đỗ Minh Anh</w:t>
            </w:r>
          </w:p>
        </w:tc>
      </w:tr>
      <w:tr>
        <w:tc>
          <w:tcPr>
            <w:tcW w:type="dxa" w:w="1928"/>
          </w:tcPr>
          <w:p>
            <w:r>
              <w:t>Ngày sinh</w:t>
            </w:r>
          </w:p>
        </w:tc>
        <w:tc>
          <w:tcPr>
            <w:tcW w:type="dxa" w:w="7540"/>
          </w:tcPr>
          <w:p>
            <w:r>
              <w:t>25/05/1997</w:t>
            </w:r>
          </w:p>
        </w:tc>
      </w:tr>
      <w:tr>
        <w:tc>
          <w:tcPr>
            <w:tcW w:type="dxa" w:w="1928"/>
          </w:tcPr>
          <w:p>
            <w:r>
              <w:t>CCCD</w:t>
            </w:r>
          </w:p>
        </w:tc>
        <w:tc>
          <w:tcPr>
            <w:tcW w:type="dxa" w:w="7540"/>
          </w:tcPr>
          <w:p>
            <w:r>
              <w:t>079197008214</w:t>
            </w:r>
          </w:p>
        </w:tc>
      </w:tr>
      <w:tr>
        <w:tc>
          <w:tcPr>
            <w:tcW w:type="dxa" w:w="1928"/>
          </w:tcPr>
          <w:p>
            <w:r>
              <w:t>Địa chỉ</w:t>
            </w:r>
          </w:p>
        </w:tc>
        <w:tc>
          <w:tcPr>
            <w:tcW w:type="dxa" w:w="7540"/>
          </w:tcPr>
          <w:p>
            <w:r>
              <w:t>Phường Phú Thọ, TP. Hồ Chí Minh</w:t>
            </w:r>
          </w:p>
        </w:tc>
      </w:tr>
    </w:tbl>
    <w:p>
      <w:r>
        <w:t>Hai bên thỏa thuận ký kết hợp đồng lao động với các điều khoản sau:</w:t>
      </w:r>
    </w:p>
    <w:p>
      <w:pPr>
        <w:spacing w:before="100" w:after="40"/>
        <w:keepNext/>
      </w:pPr>
      <w:r>
        <w:rPr>
          <w:b/>
        </w:rPr>
        <w:t>Điều 1. Công việc</w:t>
      </w:r>
    </w:p>
    <w:p>
      <w:pPr>
        <w:spacing w:after="40"/>
        <w:ind w:left="198" w:hanging="85"/>
      </w:pPr>
      <w:r>
        <w:t>Chức danh: Chuyên viên Mua hàng. Người lao động thực hiện tìm kiếm nhà cung cấp, theo dõi tiến độ đặt hàng, hồ sơ mua sắm và phối hợp nghiệm thu vật tư.</w:t>
      </w:r>
    </w:p>
    <w:p>
      <w:pPr>
        <w:spacing w:before="100" w:after="40"/>
        <w:keepNext/>
      </w:pPr>
      <w:r>
        <w:rPr>
          <w:b/>
        </w:rPr>
        <w:t>Điều 2. Thời hạn và địa điểm</w:t>
      </w:r>
    </w:p>
    <w:p>
      <w:pPr>
        <w:spacing w:after="40"/>
        <w:ind w:left="198" w:hanging="85"/>
      </w:pPr>
      <w:r>
        <w:t>Hợp đồng có thời hạn 36 tháng kể từ ngày 01/09/2026. Địa điểm làm việc tại trụ sở Công ty và các kho hàng có liên quan đến nhiệm vụ mua sắm.</w:t>
      </w:r>
    </w:p>
    <w:p>
      <w:pPr>
        <w:spacing w:before="100" w:after="40"/>
        <w:keepNext/>
      </w:pPr>
      <w:r>
        <w:rPr>
          <w:b/>
        </w:rPr>
        <w:t>Điều 3. Tiền lương và thanh toán</w:t>
      </w:r>
    </w:p>
    <w:p>
      <w:pPr>
        <w:spacing w:after="40"/>
        <w:ind w:left="198" w:hanging="85"/>
      </w:pPr>
      <w:r>
        <w:t>1. Mức lương theo công việc: 17.200.000 đồng/tháng.</w:t>
      </w:r>
    </w:p>
    <w:p>
      <w:pPr>
        <w:spacing w:after="40"/>
        <w:ind w:left="198" w:hanging="85"/>
      </w:pPr>
      <w:r>
        <w:t>2. Phụ cấp ăn trưa: 900.000 đồng/tháng.</w:t>
      </w:r>
    </w:p>
    <w:p>
      <w:pPr>
        <w:spacing w:after="40"/>
        <w:ind w:left="198" w:hanging="85"/>
      </w:pPr>
      <w:r>
        <w:t>3. Kỳ trả lương thông thường là ngày 05 hằng tháng qua tài khoản ngân hàng.</w:t>
      </w:r>
    </w:p>
    <w:p>
      <w:pPr>
        <w:spacing w:after="40"/>
        <w:ind w:left="198" w:hanging="85"/>
      </w:pPr>
      <w:r>
        <w:t>4. Trong trường hợp Công ty phải cân đối dòng tiền do khách hàng chậm thanh toán hoặc doanh thu chưa đạt kế hoạch, Công ty được quyền lùi thời điểm trả lương nhưng không quá 45 ngày kể từ ngày trả lương thông thường và không phải thanh toán thêm khoản bồi hoàn hoặc tiền lãi.</w:t>
      </w:r>
    </w:p>
    <w:p>
      <w:pPr>
        <w:spacing w:before="100" w:after="40"/>
        <w:keepNext/>
      </w:pPr>
      <w:r>
        <w:rPr>
          <w:b/>
        </w:rPr>
        <w:t>Điều 4. Thời giờ làm việc và nghỉ ngơi</w:t>
      </w:r>
    </w:p>
    <w:p>
      <w:pPr>
        <w:spacing w:after="40"/>
        <w:ind w:left="198" w:hanging="85"/>
      </w:pPr>
      <w:r>
        <w:t>Thời giờ làm việc: 08 giờ/ngày, 05 ngày/tuần. Thời gian nghỉ giữa ngày và nghỉ hằng tuần được bố trí theo lịch làm việc của đơn vị.</w:t>
      </w:r>
    </w:p>
    <w:p>
      <w:pPr>
        <w:spacing w:before="100" w:after="40"/>
        <w:keepNext/>
      </w:pPr>
      <w:r>
        <w:rPr>
          <w:b/>
        </w:rPr>
        <w:t>Điều 5. Trang thiết bị và chi phí công tác</w:t>
      </w:r>
    </w:p>
    <w:p>
      <w:pPr>
        <w:spacing w:after="40"/>
        <w:ind w:left="198" w:hanging="85"/>
      </w:pPr>
      <w:r>
        <w:t>Công ty cung cấp máy tính làm việc và thanh toán chi phí công tác hợp lệ theo quy chế tài chính nội bộ.</w:t>
      </w:r>
    </w:p>
    <w:p>
      <w:pPr>
        <w:spacing w:before="100" w:after="40"/>
        <w:keepNext/>
      </w:pPr>
      <w:r>
        <w:rPr>
          <w:b/>
        </w:rPr>
        <w:t>Điều 6. Bảo mật</w:t>
      </w:r>
    </w:p>
    <w:p>
      <w:pPr>
        <w:spacing w:after="40"/>
        <w:ind w:left="198" w:hanging="85"/>
      </w:pPr>
      <w:r>
        <w:t>Người lao động không được tiết lộ báo giá, điều kiện thương mại, danh sách nhà cung cấp và tài liệu nội bộ cho bên thứ ba khi chưa được phép.</w:t>
      </w:r>
    </w:p>
    <w:p>
      <w:pPr>
        <w:spacing w:before="100" w:after="40"/>
        <w:keepNext/>
      </w:pPr>
      <w:r>
        <w:rPr>
          <w:b/>
        </w:rPr>
        <w:t>Điều 7. Chấm dứt hợp đồng</w:t>
      </w:r>
    </w:p>
    <w:p>
      <w:pPr>
        <w:spacing w:after="40"/>
        <w:ind w:left="198" w:hanging="85"/>
      </w:pPr>
      <w:r>
        <w:t>Việc chấm dứt hợp đồng được thực hiện theo căn cứ và thời hạn báo trước do pháp luật lao động quy định.</w:t>
      </w:r>
    </w:p>
    <w:p>
      <w:pPr>
        <w:spacing w:before="100" w:after="40"/>
        <w:keepNext/>
      </w:pPr>
      <w:r>
        <w:rPr>
          <w:b/>
        </w:rPr>
        <w:t>Điều 8. Điều khoản cuối cùng</w:t>
      </w:r>
    </w:p>
    <w:p>
      <w:pPr>
        <w:spacing w:after="40"/>
        <w:ind w:left="198" w:hanging="85"/>
      </w:pPr>
      <w:r>
        <w:t>Các nội dung chưa được quy định trong hợp đồng này được thực hiện theo quy chế hợp pháp của Công ty và pháp luật có liên quan.</w:t>
      </w:r>
    </w:p>
    <w:p/>
    <w:tbl>
      <w:tblPr>
        <w:tblW w:type="auto" w:w="0"/>
        <w:jc w:val="center"/>
        <w:tblLook w:firstColumn="1" w:firstRow="1" w:lastColumn="0" w:lastRow="0" w:noHBand="0" w:noVBand="1" w:val="04A0"/>
      </w:tblPr>
      <w:tblGrid>
        <w:gridCol w:w="5071"/>
        <w:gridCol w:w="5071"/>
      </w:tblGrid>
      <w:tr>
        <w:tc>
          <w:tcPr>
            <w:tcW w:type="dxa" w:w="5071"/>
            <w:tcBorders>
              <w:top w:val="nil"/>
              <w:left w:val="nil"/>
              <w:bottom w:val="nil"/>
              <w:right w:val="nil"/>
            </w:tcBorders>
          </w:tcPr>
          <w:p>
            <w:pPr>
              <w:jc w:val="center"/>
            </w:pPr>
            <w:r>
              <w:t>ĐẠI DIỆN BÊN A</w:t>
            </w:r>
          </w:p>
        </w:tc>
        <w:tc>
          <w:tcPr>
            <w:tcW w:type="dxa" w:w="5071"/>
            <w:tcBorders>
              <w:top w:val="nil"/>
              <w:left w:val="nil"/>
              <w:bottom w:val="nil"/>
              <w:right w:val="nil"/>
            </w:tcBorders>
          </w:tcPr>
          <w:p>
            <w:pPr>
              <w:jc w:val="center"/>
            </w:pPr>
            <w:r>
              <w:t>NGƯỜI LAO ĐỘNG</w:t>
            </w:r>
          </w:p>
        </w:tc>
      </w:tr>
      <w:tr>
        <w:tc>
          <w:tcPr>
            <w:tcW w:type="dxa" w:w="5071"/>
            <w:tcBorders>
              <w:top w:val="nil"/>
              <w:left w:val="nil"/>
              <w:bottom w:val="nil"/>
              <w:right w:val="nil"/>
            </w:tcBorders>
          </w:tcPr>
          <w:p>
            <w:pPr>
              <w:jc w:val="center"/>
            </w:pPr>
            <w:r>
              <w:t>(Ký, ghi rõ họ tên)</w:t>
              <w:br/>
              <w:br/>
              <w:br/>
              <w:t>Nguyễn Duy Thành</w:t>
            </w:r>
          </w:p>
        </w:tc>
        <w:tc>
          <w:tcPr>
            <w:tcW w:type="dxa" w:w="5071"/>
            <w:tcBorders>
              <w:top w:val="nil"/>
              <w:left w:val="nil"/>
              <w:bottom w:val="nil"/>
              <w:right w:val="nil"/>
            </w:tcBorders>
          </w:tcPr>
          <w:p>
            <w:pPr>
              <w:jc w:val="center"/>
            </w:pPr>
            <w:r>
              <w:t>(Ký, ghi rõ họ tên)</w:t>
              <w:br/>
              <w:br/>
              <w:br/>
              <w:t>Đỗ Minh Anh</w:t>
            </w:r>
          </w:p>
        </w:tc>
      </w:tr>
    </w:tbl>
    <w:sectPr w:rsidR="00FC693F" w:rsidRPr="0006063C" w:rsidSect="00034616">
      <w:footerReference w:type="default" r:id="rId9"/>
      <w:pgSz w:w="12240" w:h="15840"/>
      <w:pgMar w:top="964" w:right="964" w:bottom="907" w:left="1134"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31/2026/HĐLĐ-MT  |  Tài liệu mô phỏng dùng cho trình diễn kỹ thuật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