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8" w:type="dxa"/>
        <w:jc w:val="center"/>
        <w:tblInd w:w="0" w:type="dxa"/>
        <w:tblLayout w:type="fixed"/>
        <w:tblCellMar>
          <w:top w:w="30" w:type="dxa"/>
          <w:left w:w="40" w:type="dxa"/>
          <w:bottom w:w="40" w:type="dxa"/>
          <w:right w:w="40" w:type="dxa"/>
        </w:tblCellMar>
        <w:tblLook w:val="04a0" w:noHBand="0" w:noVBand="1" w:firstColumn="1" w:lastRow="0" w:lastColumn="0" w:firstRow="1"/>
      </w:tblPr>
      <w:tblGrid>
        <w:gridCol w:w="4819"/>
        <w:gridCol w:w="4818"/>
      </w:tblGrid>
      <w:tr>
        <w:trPr/>
        <w:tc>
          <w:tcPr>
            <w:tcW w:w="4819" w:type="dxa"/>
            <w:tcBorders/>
          </w:tcPr>
          <w:p>
            <w:pPr>
              <w:pStyle w:val="Normal"/>
              <w:spacing w:before="0" w:after="100"/>
              <w:jc w:val="center"/>
              <w:rPr>
                <w:lang w:val="vi-VN"/>
              </w:rPr>
            </w:pPr>
            <w:r>
              <w:rPr>
                <w:b/>
                <w:sz w:val="21"/>
                <w:lang w:val="vi-VN"/>
              </w:rPr>
              <w:t>CÔNG TY TNHH CÔNG NGHỆ MINH HÀ</w:t>
            </w:r>
          </w:p>
        </w:tc>
        <w:tc>
          <w:tcPr>
            <w:tcW w:w="4818" w:type="dxa"/>
            <w:tcBorders/>
          </w:tcPr>
          <w:p>
            <w:pPr>
              <w:pStyle w:val="Normal"/>
              <w:spacing w:before="0" w:after="100"/>
              <w:jc w:val="center"/>
              <w:rPr>
                <w:lang w:val="vi-VN"/>
              </w:rPr>
            </w:pPr>
            <w:r>
              <w:rPr>
                <w:b/>
                <w:sz w:val="21"/>
                <w:lang w:val="vi-VN"/>
              </w:rPr>
              <w:t>CỘNG HÒA XÃ HỘI CHỦ NGHĨA VIỆT NAM</w:t>
            </w:r>
            <w:r>
              <w:rPr>
                <w:b/>
                <w:sz w:val="20"/>
                <w:lang w:val="vi-VN"/>
              </w:rPr>
              <w:br/>
              <w:t>Độc lập - Tự do - Hạnh phúc</w:t>
            </w:r>
            <w:r>
              <w:rPr>
                <w:lang w:val="vi-VN"/>
              </w:rPr>
              <w:br/>
              <w:t>--------------------</w:t>
            </w:r>
          </w:p>
        </w:tc>
      </w:tr>
    </w:tbl>
    <w:p>
      <w:pPr>
        <w:pStyle w:val="Normal"/>
        <w:spacing w:before="180" w:after="60"/>
        <w:jc w:val="center"/>
        <w:rPr>
          <w:lang w:val="vi-VN"/>
        </w:rPr>
      </w:pPr>
      <w:r>
        <w:rPr>
          <w:b/>
          <w:sz w:val="32"/>
          <w:lang w:val="vi-VN"/>
        </w:rPr>
        <w:t>HỢP ĐỒNG LAO ĐỘNG</w:t>
      </w:r>
    </w:p>
    <w:p>
      <w:pPr>
        <w:pStyle w:val="Normal"/>
        <w:jc w:val="center"/>
        <w:rPr>
          <w:lang w:val="vi-VN"/>
        </w:rPr>
      </w:pPr>
      <w:r>
        <w:rPr>
          <w:i/>
          <w:sz w:val="21"/>
          <w:lang w:val="vi-VN"/>
        </w:rPr>
        <w:t>Số: 12/2026/HĐLĐ-MH</w:t>
      </w:r>
    </w:p>
    <w:p>
      <w:pPr>
        <w:pStyle w:val="Normal"/>
        <w:rPr>
          <w:lang w:val="vi-VN"/>
        </w:rPr>
      </w:pPr>
      <w:r>
        <w:rPr>
          <w:b/>
          <w:lang w:val="vi-VN"/>
        </w:rPr>
        <w:t xml:space="preserve">Căn cứ: </w:t>
      </w:r>
      <w:r>
        <w:rPr>
          <w:lang w:val="vi-VN"/>
        </w:rPr>
        <w:t>Bộ luật Lao động và các văn bản hướng dẫn thi hành có liên quan; nhu cầu sử dụng lao động của doanh nghiệp và sự tự nguyện thỏa thuận của các bên.</w:t>
      </w:r>
    </w:p>
    <w:p>
      <w:pPr>
        <w:pStyle w:val="Normal"/>
        <w:rPr>
          <w:lang w:val="vi-VN"/>
        </w:rPr>
      </w:pPr>
      <w:r>
        <w:rPr>
          <w:lang w:val="vi-VN"/>
        </w:rPr>
        <w:t>Hôm nay, các bên thống nhất giao kết hợp đồng lao động với các nội dung sau:</w:t>
      </w:r>
    </w:p>
    <w:tbl>
      <w:tblPr>
        <w:tblStyle w:val="TableGrid"/>
        <w:tblW w:w="10086"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5043"/>
        <w:gridCol w:w="5042"/>
      </w:tblGrid>
      <w:tr>
        <w:trPr/>
        <w:tc>
          <w:tcPr>
            <w:tcW w:w="10085" w:type="dxa"/>
            <w:gridSpan w:val="2"/>
            <w:tcBorders/>
            <w:shd w:fill="E9EEF5"/>
          </w:tcPr>
          <w:p>
            <w:pPr>
              <w:pStyle w:val="Normal"/>
              <w:widowControl/>
              <w:spacing w:before="0" w:after="100"/>
              <w:jc w:val="left"/>
              <w:rPr>
                <w:rFonts w:cs=""/>
                <w:kern w:val="0"/>
                <w:szCs w:val="22"/>
                <w:lang w:val="vi-VN" w:eastAsia="en-US" w:bidi="ar-SA"/>
              </w:rPr>
            </w:pPr>
            <w:r>
              <w:rPr>
                <w:rFonts w:cs=""/>
                <w:b/>
                <w:kern w:val="0"/>
                <w:szCs w:val="22"/>
                <w:lang w:val="vi-VN" w:eastAsia="en-US" w:bidi="ar-SA"/>
              </w:rPr>
              <w:t>BÊN SỬ DỤNG LAO ĐỘNG (BÊN A)</w:t>
            </w:r>
          </w:p>
        </w:tc>
      </w:tr>
      <w:tr>
        <w:trPr/>
        <w:tc>
          <w:tcPr>
            <w:tcW w:w="5043" w:type="dxa"/>
            <w:tcBorders/>
          </w:tcPr>
          <w:p>
            <w:pPr>
              <w:pStyle w:val="Normal"/>
              <w:widowControl/>
              <w:spacing w:before="0" w:after="100"/>
              <w:jc w:val="left"/>
              <w:rPr>
                <w:rFonts w:cs=""/>
                <w:kern w:val="0"/>
                <w:szCs w:val="22"/>
                <w:lang w:val="vi-VN" w:eastAsia="en-US" w:bidi="ar-SA"/>
              </w:rPr>
            </w:pPr>
            <w:r>
              <w:rPr>
                <w:rFonts w:cs=""/>
                <w:b/>
                <w:kern w:val="0"/>
                <w:szCs w:val="22"/>
                <w:lang w:val="vi-VN" w:eastAsia="en-US" w:bidi="ar-SA"/>
              </w:rPr>
              <w:t>Tên doanh nghiệp</w:t>
            </w:r>
          </w:p>
        </w:tc>
        <w:tc>
          <w:tcPr>
            <w:tcW w:w="5042" w:type="dxa"/>
            <w:tcBorders/>
          </w:tcPr>
          <w:p>
            <w:pPr>
              <w:pStyle w:val="Normal"/>
              <w:widowControl/>
              <w:spacing w:before="0" w:after="100"/>
              <w:jc w:val="left"/>
              <w:rPr>
                <w:rFonts w:cs=""/>
                <w:kern w:val="0"/>
                <w:szCs w:val="22"/>
                <w:lang w:val="vi-VN" w:eastAsia="en-US" w:bidi="ar-SA"/>
              </w:rPr>
            </w:pPr>
            <w:r>
              <w:rPr>
                <w:rFonts w:cs=""/>
                <w:kern w:val="0"/>
                <w:szCs w:val="22"/>
                <w:lang w:val="vi-VN" w:eastAsia="en-US" w:bidi="ar-SA"/>
              </w:rPr>
              <w:t>Công ty TNHH Công nghệ Minh Hà</w:t>
            </w:r>
          </w:p>
        </w:tc>
      </w:tr>
      <w:tr>
        <w:trPr/>
        <w:tc>
          <w:tcPr>
            <w:tcW w:w="5043" w:type="dxa"/>
            <w:tcBorders/>
          </w:tcPr>
          <w:p>
            <w:pPr>
              <w:pStyle w:val="Normal"/>
              <w:widowControl/>
              <w:spacing w:before="0" w:after="100"/>
              <w:jc w:val="left"/>
              <w:rPr>
                <w:rFonts w:cs=""/>
                <w:kern w:val="0"/>
                <w:szCs w:val="22"/>
                <w:lang w:val="vi-VN" w:eastAsia="en-US" w:bidi="ar-SA"/>
              </w:rPr>
            </w:pPr>
            <w:r>
              <w:rPr>
                <w:rFonts w:cs=""/>
                <w:b/>
                <w:kern w:val="0"/>
                <w:szCs w:val="22"/>
                <w:lang w:val="vi-VN" w:eastAsia="en-US" w:bidi="ar-SA"/>
              </w:rPr>
              <w:t>Mã số doanh nghiệp</w:t>
            </w:r>
          </w:p>
        </w:tc>
        <w:tc>
          <w:tcPr>
            <w:tcW w:w="5042" w:type="dxa"/>
            <w:tcBorders/>
          </w:tcPr>
          <w:p>
            <w:pPr>
              <w:pStyle w:val="Normal"/>
              <w:widowControl/>
              <w:spacing w:before="0" w:after="100"/>
              <w:jc w:val="left"/>
              <w:rPr>
                <w:rFonts w:cs=""/>
                <w:kern w:val="0"/>
                <w:szCs w:val="22"/>
                <w:lang w:val="vi-VN" w:eastAsia="en-US" w:bidi="ar-SA"/>
              </w:rPr>
            </w:pPr>
            <w:r>
              <w:rPr>
                <w:rFonts w:cs=""/>
                <w:kern w:val="0"/>
                <w:szCs w:val="22"/>
                <w:lang w:val="vi-VN" w:eastAsia="en-US" w:bidi="ar-SA"/>
              </w:rPr>
              <w:t>0319 842 716</w:t>
            </w:r>
          </w:p>
        </w:tc>
      </w:tr>
      <w:tr>
        <w:trPr/>
        <w:tc>
          <w:tcPr>
            <w:tcW w:w="5043" w:type="dxa"/>
            <w:tcBorders/>
          </w:tcPr>
          <w:p>
            <w:pPr>
              <w:pStyle w:val="Normal"/>
              <w:widowControl/>
              <w:spacing w:before="0" w:after="100"/>
              <w:jc w:val="left"/>
              <w:rPr>
                <w:rFonts w:cs=""/>
                <w:kern w:val="0"/>
                <w:szCs w:val="22"/>
                <w:lang w:val="vi-VN" w:eastAsia="en-US" w:bidi="ar-SA"/>
              </w:rPr>
            </w:pPr>
            <w:r>
              <w:rPr>
                <w:rFonts w:cs=""/>
                <w:b/>
                <w:kern w:val="0"/>
                <w:szCs w:val="22"/>
                <w:lang w:val="vi-VN" w:eastAsia="en-US" w:bidi="ar-SA"/>
              </w:rPr>
              <w:t>Địa chỉ trụ sở</w:t>
            </w:r>
          </w:p>
        </w:tc>
        <w:tc>
          <w:tcPr>
            <w:tcW w:w="5042" w:type="dxa"/>
            <w:tcBorders/>
          </w:tcPr>
          <w:p>
            <w:pPr>
              <w:pStyle w:val="Normal"/>
              <w:widowControl/>
              <w:spacing w:before="0" w:after="100"/>
              <w:jc w:val="left"/>
              <w:rPr>
                <w:rFonts w:cs=""/>
                <w:kern w:val="0"/>
                <w:szCs w:val="22"/>
                <w:lang w:val="vi-VN" w:eastAsia="en-US" w:bidi="ar-SA"/>
              </w:rPr>
            </w:pPr>
            <w:r>
              <w:rPr>
                <w:rFonts w:cs=""/>
                <w:kern w:val="0"/>
                <w:szCs w:val="22"/>
                <w:lang w:val="vi-VN" w:eastAsia="en-US" w:bidi="ar-SA"/>
              </w:rPr>
              <w:t>Tầng 6, 126 Nguyễn Thị Minh Khai, Phường Xuân Hòa, TP. Hồ Chí Minh</w:t>
            </w:r>
          </w:p>
        </w:tc>
      </w:tr>
      <w:tr>
        <w:trPr/>
        <w:tc>
          <w:tcPr>
            <w:tcW w:w="5043" w:type="dxa"/>
            <w:tcBorders/>
          </w:tcPr>
          <w:p>
            <w:pPr>
              <w:pStyle w:val="Normal"/>
              <w:widowControl/>
              <w:spacing w:before="0" w:after="100"/>
              <w:jc w:val="left"/>
              <w:rPr>
                <w:rFonts w:cs=""/>
                <w:kern w:val="0"/>
                <w:szCs w:val="22"/>
                <w:lang w:val="vi-VN" w:eastAsia="en-US" w:bidi="ar-SA"/>
              </w:rPr>
            </w:pPr>
            <w:r>
              <w:rPr>
                <w:rFonts w:cs=""/>
                <w:b/>
                <w:kern w:val="0"/>
                <w:szCs w:val="22"/>
                <w:lang w:val="vi-VN" w:eastAsia="en-US" w:bidi="ar-SA"/>
              </w:rPr>
              <w:t>Người đại diện</w:t>
            </w:r>
          </w:p>
        </w:tc>
        <w:tc>
          <w:tcPr>
            <w:tcW w:w="5042" w:type="dxa"/>
            <w:tcBorders/>
          </w:tcPr>
          <w:p>
            <w:pPr>
              <w:pStyle w:val="Normal"/>
              <w:widowControl/>
              <w:spacing w:before="0" w:after="100"/>
              <w:jc w:val="left"/>
              <w:rPr>
                <w:rFonts w:cs=""/>
                <w:kern w:val="0"/>
                <w:szCs w:val="22"/>
                <w:lang w:val="vi-VN" w:eastAsia="en-US" w:bidi="ar-SA"/>
              </w:rPr>
            </w:pPr>
            <w:r>
              <w:rPr>
                <w:rFonts w:cs=""/>
                <w:kern w:val="0"/>
                <w:szCs w:val="22"/>
                <w:lang w:val="vi-VN" w:eastAsia="en-US" w:bidi="ar-SA"/>
              </w:rPr>
              <w:t>Bà Trần Ngọc An</w:t>
            </w:r>
          </w:p>
        </w:tc>
      </w:tr>
      <w:tr>
        <w:trPr/>
        <w:tc>
          <w:tcPr>
            <w:tcW w:w="5043" w:type="dxa"/>
            <w:tcBorders/>
          </w:tcPr>
          <w:p>
            <w:pPr>
              <w:pStyle w:val="Normal"/>
              <w:widowControl/>
              <w:spacing w:before="0" w:after="100"/>
              <w:jc w:val="left"/>
              <w:rPr>
                <w:rFonts w:cs=""/>
                <w:kern w:val="0"/>
                <w:szCs w:val="22"/>
                <w:lang w:val="vi-VN" w:eastAsia="en-US" w:bidi="ar-SA"/>
              </w:rPr>
            </w:pPr>
            <w:r>
              <w:rPr>
                <w:rFonts w:cs=""/>
                <w:b/>
                <w:kern w:val="0"/>
                <w:szCs w:val="22"/>
                <w:lang w:val="vi-VN" w:eastAsia="en-US" w:bidi="ar-SA"/>
              </w:rPr>
              <w:t>Chức vụ</w:t>
            </w:r>
          </w:p>
        </w:tc>
        <w:tc>
          <w:tcPr>
            <w:tcW w:w="5042" w:type="dxa"/>
            <w:tcBorders/>
          </w:tcPr>
          <w:p>
            <w:pPr>
              <w:pStyle w:val="Normal"/>
              <w:widowControl/>
              <w:spacing w:before="0" w:after="100"/>
              <w:jc w:val="left"/>
              <w:rPr>
                <w:rFonts w:cs=""/>
                <w:kern w:val="0"/>
                <w:szCs w:val="22"/>
                <w:lang w:val="vi-VN" w:eastAsia="en-US" w:bidi="ar-SA"/>
              </w:rPr>
            </w:pPr>
            <w:r>
              <w:rPr>
                <w:rFonts w:cs=""/>
                <w:kern w:val="0"/>
                <w:szCs w:val="22"/>
                <w:lang w:val="vi-VN" w:eastAsia="en-US" w:bidi="ar-SA"/>
              </w:rPr>
              <w:t>Giám đốc Điều hành</w:t>
            </w:r>
          </w:p>
        </w:tc>
      </w:tr>
      <w:tr>
        <w:trPr/>
        <w:tc>
          <w:tcPr>
            <w:tcW w:w="10085" w:type="dxa"/>
            <w:gridSpan w:val="2"/>
            <w:tcBorders/>
            <w:shd w:fill="E9EEF5"/>
          </w:tcPr>
          <w:p>
            <w:pPr>
              <w:pStyle w:val="Normal"/>
              <w:widowControl/>
              <w:spacing w:before="0" w:after="100"/>
              <w:jc w:val="left"/>
              <w:rPr>
                <w:rFonts w:cs=""/>
                <w:kern w:val="0"/>
                <w:szCs w:val="22"/>
                <w:lang w:val="vi-VN" w:eastAsia="en-US" w:bidi="ar-SA"/>
              </w:rPr>
            </w:pPr>
            <w:r>
              <w:rPr>
                <w:rFonts w:cs=""/>
                <w:b/>
                <w:kern w:val="0"/>
                <w:szCs w:val="22"/>
                <w:lang w:val="vi-VN" w:eastAsia="en-US" w:bidi="ar-SA"/>
              </w:rPr>
              <w:t>NGƯỜI LAO ĐỘNG (BÊN B)</w:t>
            </w:r>
          </w:p>
        </w:tc>
      </w:tr>
      <w:tr>
        <w:trPr/>
        <w:tc>
          <w:tcPr>
            <w:tcW w:w="5043" w:type="dxa"/>
            <w:tcBorders/>
          </w:tcPr>
          <w:p>
            <w:pPr>
              <w:pStyle w:val="Normal"/>
              <w:widowControl/>
              <w:spacing w:before="0" w:after="100"/>
              <w:jc w:val="left"/>
              <w:rPr>
                <w:rFonts w:cs=""/>
                <w:kern w:val="0"/>
                <w:szCs w:val="22"/>
                <w:lang w:val="vi-VN" w:eastAsia="en-US" w:bidi="ar-SA"/>
              </w:rPr>
            </w:pPr>
            <w:r>
              <w:rPr>
                <w:rFonts w:cs=""/>
                <w:b/>
                <w:kern w:val="0"/>
                <w:szCs w:val="22"/>
                <w:lang w:val="vi-VN" w:eastAsia="en-US" w:bidi="ar-SA"/>
              </w:rPr>
              <w:t>Họ và tên</w:t>
            </w:r>
          </w:p>
        </w:tc>
        <w:tc>
          <w:tcPr>
            <w:tcW w:w="5042" w:type="dxa"/>
            <w:tcBorders/>
          </w:tcPr>
          <w:p>
            <w:pPr>
              <w:pStyle w:val="Normal"/>
              <w:widowControl/>
              <w:spacing w:before="0" w:after="100"/>
              <w:jc w:val="left"/>
              <w:rPr>
                <w:rFonts w:cs=""/>
                <w:kern w:val="0"/>
                <w:szCs w:val="22"/>
                <w:lang w:val="vi-VN" w:eastAsia="en-US" w:bidi="ar-SA"/>
              </w:rPr>
            </w:pPr>
            <w:r>
              <w:rPr>
                <w:rFonts w:cs=""/>
                <w:kern w:val="0"/>
                <w:szCs w:val="22"/>
                <w:lang w:val="vi-VN" w:eastAsia="en-US" w:bidi="ar-SA"/>
              </w:rPr>
              <w:t>Nguyễn Minh Khôi</w:t>
            </w:r>
          </w:p>
        </w:tc>
      </w:tr>
      <w:tr>
        <w:trPr/>
        <w:tc>
          <w:tcPr>
            <w:tcW w:w="5043" w:type="dxa"/>
            <w:tcBorders/>
          </w:tcPr>
          <w:p>
            <w:pPr>
              <w:pStyle w:val="Normal"/>
              <w:widowControl/>
              <w:spacing w:before="0" w:after="100"/>
              <w:jc w:val="left"/>
              <w:rPr>
                <w:rFonts w:cs=""/>
                <w:kern w:val="0"/>
                <w:szCs w:val="22"/>
                <w:lang w:val="vi-VN" w:eastAsia="en-US" w:bidi="ar-SA"/>
              </w:rPr>
            </w:pPr>
            <w:r>
              <w:rPr>
                <w:rFonts w:cs=""/>
                <w:b/>
                <w:kern w:val="0"/>
                <w:szCs w:val="22"/>
                <w:lang w:val="vi-VN" w:eastAsia="en-US" w:bidi="ar-SA"/>
              </w:rPr>
              <w:t>Ngày sinh</w:t>
            </w:r>
          </w:p>
        </w:tc>
        <w:tc>
          <w:tcPr>
            <w:tcW w:w="5042" w:type="dxa"/>
            <w:tcBorders/>
          </w:tcPr>
          <w:p>
            <w:pPr>
              <w:pStyle w:val="Normal"/>
              <w:widowControl/>
              <w:spacing w:before="0" w:after="100"/>
              <w:jc w:val="left"/>
              <w:rPr>
                <w:rFonts w:cs=""/>
                <w:kern w:val="0"/>
                <w:szCs w:val="22"/>
                <w:lang w:val="vi-VN" w:eastAsia="en-US" w:bidi="ar-SA"/>
              </w:rPr>
            </w:pPr>
            <w:r>
              <w:rPr>
                <w:rFonts w:cs=""/>
                <w:kern w:val="0"/>
                <w:szCs w:val="22"/>
                <w:lang w:val="vi-VN" w:eastAsia="en-US" w:bidi="ar-SA"/>
              </w:rPr>
              <w:t>14/03/1999</w:t>
            </w:r>
          </w:p>
        </w:tc>
      </w:tr>
      <w:tr>
        <w:trPr/>
        <w:tc>
          <w:tcPr>
            <w:tcW w:w="5043" w:type="dxa"/>
            <w:tcBorders/>
          </w:tcPr>
          <w:p>
            <w:pPr>
              <w:pStyle w:val="Normal"/>
              <w:widowControl/>
              <w:spacing w:before="0" w:after="100"/>
              <w:jc w:val="left"/>
              <w:rPr>
                <w:rFonts w:cs=""/>
                <w:kern w:val="0"/>
                <w:szCs w:val="22"/>
                <w:lang w:val="vi-VN" w:eastAsia="en-US" w:bidi="ar-SA"/>
              </w:rPr>
            </w:pPr>
            <w:r>
              <w:rPr>
                <w:rFonts w:cs=""/>
                <w:b/>
                <w:kern w:val="0"/>
                <w:szCs w:val="22"/>
                <w:lang w:val="vi-VN" w:eastAsia="en-US" w:bidi="ar-SA"/>
              </w:rPr>
              <w:t>CCCD</w:t>
            </w:r>
          </w:p>
        </w:tc>
        <w:tc>
          <w:tcPr>
            <w:tcW w:w="5042" w:type="dxa"/>
            <w:tcBorders/>
          </w:tcPr>
          <w:p>
            <w:pPr>
              <w:pStyle w:val="Normal"/>
              <w:widowControl/>
              <w:spacing w:before="0" w:after="100"/>
              <w:jc w:val="left"/>
              <w:rPr>
                <w:rFonts w:cs=""/>
                <w:kern w:val="0"/>
                <w:szCs w:val="22"/>
                <w:lang w:val="vi-VN" w:eastAsia="en-US" w:bidi="ar-SA"/>
              </w:rPr>
            </w:pPr>
            <w:r>
              <w:rPr>
                <w:rFonts w:cs=""/>
                <w:kern w:val="0"/>
                <w:szCs w:val="22"/>
                <w:lang w:val="vi-VN" w:eastAsia="en-US" w:bidi="ar-SA"/>
              </w:rPr>
              <w:t>079099003214</w:t>
            </w:r>
          </w:p>
        </w:tc>
      </w:tr>
      <w:tr>
        <w:trPr/>
        <w:tc>
          <w:tcPr>
            <w:tcW w:w="5043" w:type="dxa"/>
            <w:tcBorders/>
          </w:tcPr>
          <w:p>
            <w:pPr>
              <w:pStyle w:val="Normal"/>
              <w:widowControl/>
              <w:spacing w:before="0" w:after="100"/>
              <w:jc w:val="left"/>
              <w:rPr>
                <w:rFonts w:cs=""/>
                <w:kern w:val="0"/>
                <w:szCs w:val="22"/>
                <w:lang w:val="vi-VN" w:eastAsia="en-US" w:bidi="ar-SA"/>
              </w:rPr>
            </w:pPr>
            <w:r>
              <w:rPr>
                <w:rFonts w:cs=""/>
                <w:b/>
                <w:kern w:val="0"/>
                <w:szCs w:val="22"/>
                <w:lang w:val="vi-VN" w:eastAsia="en-US" w:bidi="ar-SA"/>
              </w:rPr>
              <w:t>Địa chỉ liên hệ</w:t>
            </w:r>
          </w:p>
        </w:tc>
        <w:tc>
          <w:tcPr>
            <w:tcW w:w="5042" w:type="dxa"/>
            <w:tcBorders/>
          </w:tcPr>
          <w:p>
            <w:pPr>
              <w:pStyle w:val="Normal"/>
              <w:widowControl/>
              <w:spacing w:before="0" w:after="100"/>
              <w:jc w:val="left"/>
              <w:rPr>
                <w:rFonts w:cs=""/>
                <w:kern w:val="0"/>
                <w:szCs w:val="22"/>
                <w:lang w:val="vi-VN" w:eastAsia="en-US" w:bidi="ar-SA"/>
              </w:rPr>
            </w:pPr>
            <w:r>
              <w:rPr>
                <w:rFonts w:cs=""/>
                <w:kern w:val="0"/>
                <w:szCs w:val="22"/>
                <w:lang w:val="vi-VN" w:eastAsia="en-US" w:bidi="ar-SA"/>
              </w:rPr>
              <w:t>45 Đường số 6, Phường Bình Trưng, TP. Hồ Chí Minh</w:t>
            </w:r>
          </w:p>
        </w:tc>
      </w:tr>
      <w:tr>
        <w:trPr/>
        <w:tc>
          <w:tcPr>
            <w:tcW w:w="5043" w:type="dxa"/>
            <w:tcBorders/>
          </w:tcPr>
          <w:p>
            <w:pPr>
              <w:pStyle w:val="Normal"/>
              <w:widowControl/>
              <w:spacing w:before="0" w:after="100"/>
              <w:jc w:val="left"/>
              <w:rPr>
                <w:rFonts w:cs=""/>
                <w:kern w:val="0"/>
                <w:szCs w:val="22"/>
                <w:lang w:val="vi-VN" w:eastAsia="en-US" w:bidi="ar-SA"/>
              </w:rPr>
            </w:pPr>
            <w:r>
              <w:rPr>
                <w:rFonts w:cs=""/>
                <w:b/>
                <w:kern w:val="0"/>
                <w:szCs w:val="22"/>
                <w:lang w:val="vi-VN" w:eastAsia="en-US" w:bidi="ar-SA"/>
              </w:rPr>
              <w:t>Số điện thoại</w:t>
            </w:r>
          </w:p>
        </w:tc>
        <w:tc>
          <w:tcPr>
            <w:tcW w:w="5042" w:type="dxa"/>
            <w:tcBorders/>
          </w:tcPr>
          <w:p>
            <w:pPr>
              <w:pStyle w:val="Normal"/>
              <w:widowControl/>
              <w:spacing w:before="0" w:after="100"/>
              <w:jc w:val="left"/>
              <w:rPr>
                <w:rFonts w:cs=""/>
                <w:kern w:val="0"/>
                <w:szCs w:val="22"/>
                <w:lang w:val="vi-VN" w:eastAsia="en-US" w:bidi="ar-SA"/>
              </w:rPr>
            </w:pPr>
            <w:r>
              <w:rPr>
                <w:rFonts w:cs=""/>
                <w:kern w:val="0"/>
                <w:szCs w:val="22"/>
                <w:lang w:val="vi-VN" w:eastAsia="en-US" w:bidi="ar-SA"/>
              </w:rPr>
              <w:t>0903 418 726</w:t>
            </w:r>
          </w:p>
        </w:tc>
      </w:tr>
    </w:tbl>
    <w:p>
      <w:pPr>
        <w:pStyle w:val="Normal"/>
        <w:rPr>
          <w:lang w:val="vi-VN"/>
        </w:rPr>
      </w:pPr>
      <w:r>
        <w:rPr>
          <w:lang w:val="vi-VN"/>
        </w:rPr>
      </w:r>
    </w:p>
    <w:p>
      <w:pPr>
        <w:pStyle w:val="Normal"/>
        <w:spacing w:before="160" w:after="80"/>
        <w:rPr>
          <w:lang w:val="vi-VN"/>
        </w:rPr>
      </w:pPr>
      <w:r>
        <w:rPr>
          <w:b/>
          <w:sz w:val="24"/>
          <w:lang w:val="vi-VN"/>
        </w:rPr>
        <w:t>Điều 1. Công việc và địa điểm làm việc</w:t>
      </w:r>
    </w:p>
    <w:p>
      <w:pPr>
        <w:pStyle w:val="Normal"/>
        <w:ind w:firstLine="397"/>
        <w:rPr>
          <w:lang w:val="vi-VN"/>
        </w:rPr>
      </w:pPr>
      <w:r>
        <w:rPr>
          <w:lang w:val="vi-VN"/>
        </w:rPr>
        <w:t>Chức danh: Chuyên viên Phân tích dữ liệu, thuộc Phòng Dữ liệu và Tối ưu vận hành.</w:t>
      </w:r>
    </w:p>
    <w:p>
      <w:pPr>
        <w:pStyle w:val="Normal"/>
        <w:ind w:firstLine="397"/>
        <w:rPr>
          <w:lang w:val="vi-VN"/>
        </w:rPr>
      </w:pPr>
      <w:r>
        <w:rPr>
          <w:lang w:val="vi-VN"/>
        </w:rPr>
        <w:t>Công việc bao gồm xây dựng báo cáo quản trị, xử lý dữ liệu nghiệp vụ, phối hợp cùng các đơn vị xây dựng chỉ số vận hành và hỗ trợ các dự án phân tích theo phân công.</w:t>
      </w:r>
    </w:p>
    <w:p>
      <w:pPr>
        <w:pStyle w:val="Normal"/>
        <w:ind w:firstLine="397"/>
        <w:rPr>
          <w:lang w:val="vi-VN"/>
        </w:rPr>
      </w:pPr>
      <w:r>
        <w:rPr>
          <w:lang w:val="vi-VN"/>
        </w:rPr>
        <w:t>Vị trí yêu cầu tốt nghiệp đại học chuyên ngành Công nghệ thông tin, Khoa học dữ liệu, Toán - Tin hoặc chuyên ngành tương đương.</w:t>
      </w:r>
    </w:p>
    <w:p>
      <w:pPr>
        <w:pStyle w:val="Normal"/>
        <w:ind w:firstLine="397"/>
        <w:rPr>
          <w:lang w:val="vi-VN"/>
        </w:rPr>
      </w:pPr>
      <w:r>
        <w:rPr>
          <w:lang w:val="vi-VN"/>
        </w:rPr>
        <w:t>Địa điểm làm việc chính tại trụ sở Công ty; người lao động có thể làm việc từ xa tối đa 02 ngày/tuần theo kế hoạch của bộ phận.</w:t>
      </w:r>
    </w:p>
    <w:p>
      <w:pPr>
        <w:pStyle w:val="Normal"/>
        <w:spacing w:before="160" w:after="80"/>
        <w:rPr>
          <w:highlight w:val="none"/>
          <w:shd w:fill="E8F2A1" w:val="clear"/>
          <w:lang w:val="vi-VN"/>
        </w:rPr>
      </w:pPr>
      <w:r>
        <w:rPr>
          <w:b/>
          <w:sz w:val="24"/>
          <w:shd w:fill="E8F2A1" w:val="clear"/>
          <w:lang w:val="vi-VN"/>
        </w:rPr>
        <w:t>Điều 2. Thử việc</w:t>
      </w:r>
    </w:p>
    <w:p>
      <w:pPr>
        <w:pStyle w:val="Normal"/>
        <w:ind w:firstLine="397"/>
        <w:rPr>
          <w:highlight w:val="none"/>
          <w:shd w:fill="E8F2A1" w:val="clear"/>
          <w:lang w:val="vi-VN"/>
        </w:rPr>
      </w:pPr>
      <w:r>
        <w:rPr>
          <w:shd w:fill="E8F2A1" w:val="clear"/>
          <w:lang w:val="vi-VN"/>
        </w:rPr>
        <w:t>Trước khi thực hiện chính thức công việc theo hợp đồng này, Bên B thực hiện thời gian thử việc 03 tháng, từ ngày 01/09/2026 đến hết ngày 30/11/2026.</w:t>
      </w:r>
    </w:p>
    <w:p>
      <w:pPr>
        <w:pStyle w:val="Normal"/>
        <w:ind w:firstLine="397"/>
        <w:rPr>
          <w:highlight w:val="none"/>
          <w:shd w:fill="E8F2A1" w:val="clear"/>
          <w:lang w:val="vi-VN"/>
        </w:rPr>
      </w:pPr>
      <w:r>
        <w:rPr>
          <w:shd w:fill="E8F2A1" w:val="clear"/>
          <w:lang w:val="vi-VN"/>
        </w:rPr>
        <w:t>Trong thời gian thử việc, Bên B thực hiện cùng phạm vi công việc nêu tại Điều 1 và được hướng dẫn bởi Trưởng nhóm Phân tích dữ liệu. Kết quả thử việc được đánh giá trên chất lượng báo cáo, tiến độ và khả năng phối hợp.</w:t>
      </w:r>
    </w:p>
    <w:p>
      <w:pPr>
        <w:pStyle w:val="Normal"/>
        <w:spacing w:before="160" w:after="80"/>
        <w:rPr>
          <w:lang w:val="vi-VN"/>
        </w:rPr>
      </w:pPr>
      <w:r>
        <w:rPr>
          <w:b/>
          <w:sz w:val="24"/>
          <w:lang w:val="vi-VN"/>
        </w:rPr>
        <w:t>Điều 3. Thời hạn hợp đồng</w:t>
      </w:r>
    </w:p>
    <w:p>
      <w:pPr>
        <w:pStyle w:val="Normal"/>
        <w:ind w:firstLine="397"/>
        <w:rPr>
          <w:lang w:val="vi-VN"/>
        </w:rPr>
      </w:pPr>
      <w:r>
        <w:rPr>
          <w:lang w:val="vi-VN"/>
        </w:rPr>
        <w:t>Hợp đồng có thời hạn 24 tháng kể từ ngày 01/12/2026 đến hết ngày 30/11/2028. Trước ngày hết hạn, hai bên trao đổi về nhu cầu tiếp tục hợp tác theo quy định pháp luật.</w:t>
      </w:r>
    </w:p>
    <w:p>
      <w:pPr>
        <w:pStyle w:val="Normal"/>
        <w:spacing w:before="160" w:after="80"/>
        <w:rPr>
          <w:lang w:val="vi-VN"/>
        </w:rPr>
      </w:pPr>
      <w:r>
        <w:rPr>
          <w:b/>
          <w:sz w:val="24"/>
          <w:lang w:val="vi-VN"/>
        </w:rPr>
        <w:t>Điều 4. Tiền lương, phụ cấp và phương thức thanh toán</w:t>
      </w:r>
    </w:p>
    <w:tbl>
      <w:tblPr>
        <w:tblStyle w:val="TableGrid"/>
        <w:tblW w:w="1008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3"/>
        <w:gridCol w:w="5042"/>
      </w:tblGrid>
      <w:tr>
        <w:trPr/>
        <w:tc>
          <w:tcPr>
            <w:tcW w:w="5043" w:type="dxa"/>
            <w:tcBorders/>
            <w:shd w:fill="E8E8E8"/>
          </w:tcPr>
          <w:p>
            <w:pPr>
              <w:pStyle w:val="Normal"/>
              <w:widowControl/>
              <w:spacing w:before="0" w:after="100"/>
              <w:jc w:val="left"/>
              <w:rPr>
                <w:rFonts w:cs=""/>
                <w:kern w:val="0"/>
                <w:szCs w:val="22"/>
                <w:lang w:val="vi-VN" w:eastAsia="en-US" w:bidi="ar-SA"/>
              </w:rPr>
            </w:pPr>
            <w:r>
              <w:rPr>
                <w:rFonts w:cs=""/>
                <w:b/>
                <w:kern w:val="0"/>
                <w:szCs w:val="22"/>
                <w:lang w:val="vi-VN" w:eastAsia="en-US" w:bidi="ar-SA"/>
              </w:rPr>
              <w:t>Nội dung</w:t>
            </w:r>
          </w:p>
        </w:tc>
        <w:tc>
          <w:tcPr>
            <w:tcW w:w="5042" w:type="dxa"/>
            <w:tcBorders/>
            <w:shd w:fill="E8E8E8"/>
          </w:tcPr>
          <w:p>
            <w:pPr>
              <w:pStyle w:val="Normal"/>
              <w:widowControl/>
              <w:spacing w:before="0" w:after="100"/>
              <w:jc w:val="left"/>
              <w:rPr>
                <w:rFonts w:cs=""/>
                <w:kern w:val="0"/>
                <w:szCs w:val="22"/>
                <w:lang w:val="vi-VN" w:eastAsia="en-US" w:bidi="ar-SA"/>
              </w:rPr>
            </w:pPr>
            <w:r>
              <w:rPr>
                <w:rFonts w:cs=""/>
                <w:b/>
                <w:kern w:val="0"/>
                <w:szCs w:val="22"/>
                <w:lang w:val="vi-VN" w:eastAsia="en-US" w:bidi="ar-SA"/>
              </w:rPr>
              <w:t>Thỏa thuận</w:t>
            </w:r>
          </w:p>
        </w:tc>
      </w:tr>
      <w:tr>
        <w:trPr/>
        <w:tc>
          <w:tcPr>
            <w:tcW w:w="5043" w:type="dxa"/>
            <w:tcBorders/>
            <w:tcMar>
              <w:top w:w="80" w:type="dxa"/>
              <w:left w:w="100" w:type="dxa"/>
              <w:bottom w:w="80" w:type="dxa"/>
              <w:right w:w="100" w:type="dxa"/>
            </w:tcMar>
          </w:tcPr>
          <w:p>
            <w:pPr>
              <w:pStyle w:val="Normal"/>
              <w:widowControl/>
              <w:spacing w:before="0" w:after="100"/>
              <w:jc w:val="left"/>
              <w:rPr>
                <w:rFonts w:cs=""/>
                <w:kern w:val="0"/>
                <w:szCs w:val="22"/>
                <w:lang w:val="vi-VN" w:eastAsia="en-US" w:bidi="ar-SA"/>
              </w:rPr>
            </w:pPr>
            <w:r>
              <w:rPr>
                <w:rFonts w:cs=""/>
                <w:kern w:val="0"/>
                <w:szCs w:val="22"/>
                <w:lang w:val="vi-VN" w:eastAsia="en-US" w:bidi="ar-SA"/>
              </w:rPr>
              <w:t>Lương theo công việc</w:t>
            </w:r>
          </w:p>
        </w:tc>
        <w:tc>
          <w:tcPr>
            <w:tcW w:w="5042" w:type="dxa"/>
            <w:tcBorders/>
            <w:tcMar>
              <w:top w:w="80" w:type="dxa"/>
              <w:left w:w="100" w:type="dxa"/>
              <w:bottom w:w="80" w:type="dxa"/>
              <w:right w:w="100" w:type="dxa"/>
            </w:tcMar>
          </w:tcPr>
          <w:p>
            <w:pPr>
              <w:pStyle w:val="Normal"/>
              <w:widowControl/>
              <w:spacing w:before="0" w:after="100"/>
              <w:jc w:val="left"/>
              <w:rPr>
                <w:rFonts w:cs=""/>
                <w:kern w:val="0"/>
                <w:szCs w:val="22"/>
                <w:lang w:val="vi-VN" w:eastAsia="en-US" w:bidi="ar-SA"/>
              </w:rPr>
            </w:pPr>
            <w:r>
              <w:rPr>
                <w:rFonts w:cs=""/>
                <w:kern w:val="0"/>
                <w:szCs w:val="22"/>
                <w:lang w:val="vi-VN" w:eastAsia="en-US" w:bidi="ar-SA"/>
              </w:rPr>
              <w:t>18.500.000 đồng/tháng</w:t>
            </w:r>
          </w:p>
        </w:tc>
      </w:tr>
      <w:tr>
        <w:trPr/>
        <w:tc>
          <w:tcPr>
            <w:tcW w:w="5043" w:type="dxa"/>
            <w:tcBorders/>
            <w:tcMar>
              <w:top w:w="80" w:type="dxa"/>
              <w:left w:w="100" w:type="dxa"/>
              <w:bottom w:w="80" w:type="dxa"/>
              <w:right w:w="100" w:type="dxa"/>
            </w:tcMar>
          </w:tcPr>
          <w:p>
            <w:pPr>
              <w:pStyle w:val="Normal"/>
              <w:widowControl/>
              <w:spacing w:before="0" w:after="100"/>
              <w:jc w:val="left"/>
              <w:rPr>
                <w:rFonts w:cs=""/>
                <w:kern w:val="0"/>
                <w:szCs w:val="22"/>
                <w:lang w:val="vi-VN" w:eastAsia="en-US" w:bidi="ar-SA"/>
              </w:rPr>
            </w:pPr>
            <w:r>
              <w:rPr>
                <w:rFonts w:cs=""/>
                <w:kern w:val="0"/>
                <w:szCs w:val="22"/>
                <w:lang w:val="vi-VN" w:eastAsia="en-US" w:bidi="ar-SA"/>
              </w:rPr>
              <w:t>Phụ cấp điện thoại</w:t>
            </w:r>
          </w:p>
        </w:tc>
        <w:tc>
          <w:tcPr>
            <w:tcW w:w="5042" w:type="dxa"/>
            <w:tcBorders/>
            <w:tcMar>
              <w:top w:w="80" w:type="dxa"/>
              <w:left w:w="100" w:type="dxa"/>
              <w:bottom w:w="80" w:type="dxa"/>
              <w:right w:w="100" w:type="dxa"/>
            </w:tcMar>
          </w:tcPr>
          <w:p>
            <w:pPr>
              <w:pStyle w:val="Normal"/>
              <w:widowControl/>
              <w:spacing w:before="0" w:after="100"/>
              <w:jc w:val="left"/>
              <w:rPr>
                <w:rFonts w:cs=""/>
                <w:kern w:val="0"/>
                <w:szCs w:val="22"/>
                <w:lang w:val="vi-VN" w:eastAsia="en-US" w:bidi="ar-SA"/>
              </w:rPr>
            </w:pPr>
            <w:r>
              <w:rPr>
                <w:rFonts w:cs=""/>
                <w:kern w:val="0"/>
                <w:szCs w:val="22"/>
                <w:lang w:val="vi-VN" w:eastAsia="en-US" w:bidi="ar-SA"/>
              </w:rPr>
              <w:t>500.000 đồng/tháng</w:t>
            </w:r>
          </w:p>
        </w:tc>
      </w:tr>
      <w:tr>
        <w:trPr/>
        <w:tc>
          <w:tcPr>
            <w:tcW w:w="5043" w:type="dxa"/>
            <w:tcBorders/>
            <w:tcMar>
              <w:top w:w="80" w:type="dxa"/>
              <w:left w:w="100" w:type="dxa"/>
              <w:bottom w:w="80" w:type="dxa"/>
              <w:right w:w="100" w:type="dxa"/>
            </w:tcMar>
          </w:tcPr>
          <w:p>
            <w:pPr>
              <w:pStyle w:val="Normal"/>
              <w:widowControl/>
              <w:spacing w:before="0" w:after="100"/>
              <w:jc w:val="left"/>
              <w:rPr>
                <w:rFonts w:cs=""/>
                <w:kern w:val="0"/>
                <w:szCs w:val="22"/>
                <w:lang w:val="vi-VN" w:eastAsia="en-US" w:bidi="ar-SA"/>
              </w:rPr>
            </w:pPr>
            <w:r>
              <w:rPr>
                <w:rFonts w:cs=""/>
                <w:kern w:val="0"/>
                <w:szCs w:val="22"/>
                <w:lang w:val="vi-VN" w:eastAsia="en-US" w:bidi="ar-SA"/>
              </w:rPr>
              <w:t>Hình thức trả</w:t>
            </w:r>
          </w:p>
        </w:tc>
        <w:tc>
          <w:tcPr>
            <w:tcW w:w="5042" w:type="dxa"/>
            <w:tcBorders/>
            <w:tcMar>
              <w:top w:w="80" w:type="dxa"/>
              <w:left w:w="100" w:type="dxa"/>
              <w:bottom w:w="80" w:type="dxa"/>
              <w:right w:w="100" w:type="dxa"/>
            </w:tcMar>
          </w:tcPr>
          <w:p>
            <w:pPr>
              <w:pStyle w:val="Normal"/>
              <w:widowControl/>
              <w:spacing w:before="0" w:after="100"/>
              <w:jc w:val="left"/>
              <w:rPr>
                <w:rFonts w:cs=""/>
                <w:kern w:val="0"/>
                <w:szCs w:val="22"/>
                <w:lang w:val="vi-VN" w:eastAsia="en-US" w:bidi="ar-SA"/>
              </w:rPr>
            </w:pPr>
            <w:r>
              <w:rPr>
                <w:rFonts w:cs=""/>
                <w:kern w:val="0"/>
                <w:szCs w:val="22"/>
                <w:lang w:val="vi-VN" w:eastAsia="en-US" w:bidi="ar-SA"/>
              </w:rPr>
              <w:t>Chuyển khoản vào ngày 05 của tháng kế tiếp</w:t>
            </w:r>
          </w:p>
        </w:tc>
      </w:tr>
      <w:tr>
        <w:trPr/>
        <w:tc>
          <w:tcPr>
            <w:tcW w:w="5043" w:type="dxa"/>
            <w:tcBorders/>
            <w:tcMar>
              <w:top w:w="80" w:type="dxa"/>
              <w:left w:w="100" w:type="dxa"/>
              <w:bottom w:w="80" w:type="dxa"/>
              <w:right w:w="100" w:type="dxa"/>
            </w:tcMar>
          </w:tcPr>
          <w:p>
            <w:pPr>
              <w:pStyle w:val="Normal"/>
              <w:widowControl/>
              <w:spacing w:before="0" w:after="100"/>
              <w:jc w:val="left"/>
              <w:rPr>
                <w:rFonts w:cs=""/>
                <w:kern w:val="0"/>
                <w:szCs w:val="22"/>
                <w:lang w:val="vi-VN" w:eastAsia="en-US" w:bidi="ar-SA"/>
              </w:rPr>
            </w:pPr>
            <w:r>
              <w:rPr>
                <w:rFonts w:cs=""/>
                <w:kern w:val="0"/>
                <w:szCs w:val="22"/>
                <w:lang w:val="vi-VN" w:eastAsia="en-US" w:bidi="ar-SA"/>
              </w:rPr>
              <w:t>Thưởng hiệu quả</w:t>
            </w:r>
          </w:p>
        </w:tc>
        <w:tc>
          <w:tcPr>
            <w:tcW w:w="5042" w:type="dxa"/>
            <w:tcBorders/>
            <w:tcMar>
              <w:top w:w="80" w:type="dxa"/>
              <w:left w:w="100" w:type="dxa"/>
              <w:bottom w:w="80" w:type="dxa"/>
              <w:right w:w="100" w:type="dxa"/>
            </w:tcMar>
          </w:tcPr>
          <w:p>
            <w:pPr>
              <w:pStyle w:val="Normal"/>
              <w:widowControl/>
              <w:spacing w:before="0" w:after="100"/>
              <w:jc w:val="left"/>
              <w:rPr>
                <w:rFonts w:cs=""/>
                <w:kern w:val="0"/>
                <w:szCs w:val="22"/>
                <w:lang w:val="vi-VN" w:eastAsia="en-US" w:bidi="ar-SA"/>
              </w:rPr>
            </w:pPr>
            <w:r>
              <w:rPr>
                <w:rFonts w:cs=""/>
                <w:kern w:val="0"/>
                <w:szCs w:val="22"/>
                <w:lang w:val="vi-VN" w:eastAsia="en-US" w:bidi="ar-SA"/>
              </w:rPr>
              <w:t>Theo quy chế thưởng của Công ty và kết quả công việc</w:t>
            </w:r>
          </w:p>
        </w:tc>
      </w:tr>
    </w:tbl>
    <w:p>
      <w:pPr>
        <w:pStyle w:val="Normal"/>
        <w:spacing w:before="160" w:after="80"/>
        <w:rPr>
          <w:lang w:val="vi-VN"/>
        </w:rPr>
      </w:pPr>
      <w:r>
        <w:rPr>
          <w:b/>
          <w:sz w:val="24"/>
          <w:lang w:val="vi-VN"/>
        </w:rPr>
        <w:t>Điều 5. Thời giờ làm việc và nghỉ ngơi</w:t>
      </w:r>
    </w:p>
    <w:p>
      <w:pPr>
        <w:pStyle w:val="Normal"/>
        <w:ind w:firstLine="397"/>
        <w:rPr>
          <w:lang w:val="vi-VN"/>
        </w:rPr>
      </w:pPr>
      <w:r>
        <w:rPr>
          <w:lang w:val="vi-VN"/>
        </w:rPr>
        <w:t>Thời giờ làm việc bình thường là 08 giờ/ngày, từ thứ Hai đến thứ Sáu. Khung giờ làm việc tiêu chuẩn từ 08:30 đến 17:30, nghỉ trưa 01 giờ.</w:t>
      </w:r>
    </w:p>
    <w:p>
      <w:pPr>
        <w:pStyle w:val="Normal"/>
        <w:ind w:firstLine="397"/>
        <w:rPr>
          <w:lang w:val="vi-VN"/>
        </w:rPr>
      </w:pPr>
      <w:r>
        <w:rPr>
          <w:lang w:val="vi-VN"/>
        </w:rPr>
        <w:t>Việc làm thêm giờ chỉ thực hiện khi có nhu cầu thực tế, theo phê duyệt của quản lý và trên cơ sở tuân thủ các điều kiện, giới hạn của pháp luật lao động.</w:t>
      </w:r>
    </w:p>
    <w:p>
      <w:pPr>
        <w:pStyle w:val="Normal"/>
        <w:spacing w:before="160" w:after="80"/>
        <w:rPr>
          <w:lang w:val="vi-VN"/>
        </w:rPr>
      </w:pPr>
      <w:r>
        <w:rPr>
          <w:b/>
          <w:sz w:val="24"/>
          <w:lang w:val="vi-VN"/>
        </w:rPr>
        <w:t>Điều 6. Bảo hiểm và phúc lợi</w:t>
      </w:r>
    </w:p>
    <w:p>
      <w:pPr>
        <w:pStyle w:val="Normal"/>
        <w:ind w:firstLine="397"/>
        <w:rPr>
          <w:lang w:val="vi-VN"/>
        </w:rPr>
      </w:pPr>
      <w:r>
        <w:rPr>
          <w:lang w:val="vi-VN"/>
        </w:rPr>
        <w:t>Bên A thực hiện việc tham gia bảo hiểm xã hội, bảo hiểm y tế, bảo hiểm thất nghiệp và các chế độ khác theo quy định pháp luật. Bên B được hưởng 12 ngày nghỉ phép năm và các ngày nghỉ lễ, tết theo quy định.</w:t>
      </w:r>
    </w:p>
    <w:p>
      <w:pPr>
        <w:pStyle w:val="Normal"/>
        <w:spacing w:before="160" w:after="80"/>
        <w:rPr>
          <w:lang w:val="vi-VN"/>
        </w:rPr>
      </w:pPr>
      <w:r>
        <w:rPr>
          <w:b/>
          <w:sz w:val="24"/>
          <w:lang w:val="vi-VN"/>
        </w:rPr>
        <w:t>Điều 7. Bảo mật, tài sản và dữ liệu</w:t>
      </w:r>
    </w:p>
    <w:p>
      <w:pPr>
        <w:pStyle w:val="Normal"/>
        <w:ind w:firstLine="397"/>
        <w:rPr>
          <w:lang w:val="vi-VN"/>
        </w:rPr>
      </w:pPr>
      <w:r>
        <w:rPr>
          <w:lang w:val="vi-VN"/>
        </w:rPr>
        <w:t>Bên B có trách nhiệm bảo mật thông tin khách hàng, dữ liệu nội bộ, mô hình phân tích và các tài liệu nghiệp vụ được tiếp cận trong quá trình làm việc; hoàn trả đầy đủ tài sản khi chấm dứt hợp đồng.</w:t>
      </w:r>
    </w:p>
    <w:p>
      <w:pPr>
        <w:pStyle w:val="Normal"/>
        <w:spacing w:before="160" w:after="80"/>
        <w:rPr>
          <w:lang w:val="vi-VN"/>
        </w:rPr>
      </w:pPr>
      <w:r>
        <w:rPr>
          <w:b/>
          <w:sz w:val="24"/>
          <w:lang w:val="vi-VN"/>
        </w:rPr>
        <w:t>Điều 8. Chấm dứt hợp đồng</w:t>
      </w:r>
    </w:p>
    <w:p>
      <w:pPr>
        <w:pStyle w:val="Normal"/>
        <w:ind w:firstLine="397"/>
        <w:rPr>
          <w:lang w:val="vi-VN"/>
        </w:rPr>
      </w:pPr>
      <w:r>
        <w:rPr>
          <w:lang w:val="vi-VN"/>
        </w:rPr>
        <w:t>Việc chấm dứt hợp đồng, đơn phương chấm dứt, thời hạn báo trước và trách nhiệm của mỗi bên được thực hiện theo quy định pháp luật lao động hiện hành.</w:t>
      </w:r>
    </w:p>
    <w:p>
      <w:pPr>
        <w:pStyle w:val="Normal"/>
        <w:spacing w:before="160" w:after="80"/>
        <w:rPr>
          <w:lang w:val="vi-VN"/>
        </w:rPr>
      </w:pPr>
      <w:r>
        <w:rPr>
          <w:b/>
          <w:sz w:val="24"/>
          <w:lang w:val="vi-VN"/>
        </w:rPr>
        <w:t>Điều 9. Điều khoản chung</w:t>
      </w:r>
    </w:p>
    <w:p>
      <w:pPr>
        <w:pStyle w:val="Normal"/>
        <w:ind w:firstLine="397"/>
        <w:rPr>
          <w:lang w:val="vi-VN"/>
        </w:rPr>
      </w:pPr>
      <w:r>
        <w:rPr>
          <w:lang w:val="vi-VN"/>
        </w:rPr>
        <w:t>Các nội dung chưa được quy định tại hợp đồng này thực hiện theo nội quy lao động, quy chế nội bộ hợp pháp của Công ty và pháp luật lao động. Mọi sửa đổi, bổ sung phải được lập thành văn bản.</w:t>
      </w:r>
      <w:r>
        <w:br w:type="page"/>
      </w:r>
    </w:p>
    <w:p>
      <w:pPr>
        <w:pStyle w:val="Normal"/>
        <w:ind w:firstLine="397"/>
        <w:rPr>
          <w:lang w:val="vi-VN"/>
        </w:rPr>
      </w:pPr>
      <w:r>
        <w:rPr>
          <w:lang w:val="vi-VN"/>
        </w:rPr>
        <w:t>Hợp đồng được lập thành 02 bản có giá trị như nhau, mỗi bên giữ 01 bản để thực hiện.</w:t>
      </w:r>
    </w:p>
    <w:tbl>
      <w:tblPr>
        <w:tblW w:w="10086" w:type="dxa"/>
        <w:jc w:val="center"/>
        <w:tblInd w:w="0" w:type="dxa"/>
        <w:tblLayout w:type="fixed"/>
        <w:tblCellMar>
          <w:top w:w="80" w:type="dxa"/>
          <w:left w:w="50" w:type="dxa"/>
          <w:bottom w:w="80" w:type="dxa"/>
          <w:right w:w="50" w:type="dxa"/>
        </w:tblCellMar>
        <w:tblLook w:val="04a0" w:noHBand="0" w:noVBand="1" w:firstColumn="1" w:lastRow="0" w:lastColumn="0" w:firstRow="1"/>
      </w:tblPr>
      <w:tblGrid>
        <w:gridCol w:w="5043"/>
        <w:gridCol w:w="5042"/>
      </w:tblGrid>
      <w:tr>
        <w:trPr/>
        <w:tc>
          <w:tcPr>
            <w:tcW w:w="5043" w:type="dxa"/>
            <w:tcBorders/>
          </w:tcPr>
          <w:p>
            <w:pPr>
              <w:pStyle w:val="Normal"/>
              <w:spacing w:before="0" w:after="100"/>
              <w:jc w:val="center"/>
              <w:rPr>
                <w:lang w:val="vi-VN"/>
              </w:rPr>
            </w:pPr>
            <w:r>
              <w:rPr>
                <w:b/>
                <w:lang w:val="vi-VN"/>
              </w:rPr>
              <w:t>ĐẠI DIỆN BÊN A</w:t>
              <w:br/>
            </w:r>
            <w:r>
              <w:rPr>
                <w:lang w:val="vi-VN"/>
              </w:rPr>
              <w:t>(Ký, ghi rõ họ tên, chức vụ và đóng dấu)</w:t>
              <w:br/>
              <w:br/>
            </w:r>
            <w:r>
              <w:rPr>
                <w:b/>
                <w:lang w:val="vi-VN"/>
              </w:rPr>
              <w:t>TRẦN NGỌC AN</w:t>
            </w:r>
          </w:p>
        </w:tc>
        <w:tc>
          <w:tcPr>
            <w:tcW w:w="5042" w:type="dxa"/>
            <w:tcBorders/>
          </w:tcPr>
          <w:p>
            <w:pPr>
              <w:pStyle w:val="Normal"/>
              <w:spacing w:before="0" w:after="100"/>
              <w:jc w:val="center"/>
              <w:rPr>
                <w:lang w:val="vi-VN"/>
              </w:rPr>
            </w:pPr>
            <w:r>
              <w:rPr>
                <w:b/>
                <w:lang w:val="vi-VN"/>
              </w:rPr>
              <w:t>NGƯỜI LAO ĐỘNG</w:t>
              <w:br/>
            </w:r>
            <w:r>
              <w:rPr>
                <w:lang w:val="vi-VN"/>
              </w:rPr>
              <w:t>(Ký và ghi rõ họ tên)</w:t>
              <w:br/>
              <w:br/>
            </w:r>
            <w:r>
              <w:rPr>
                <w:b/>
                <w:lang w:val="vi-VN"/>
              </w:rPr>
              <w:t>NGUYỄN MINH KHÔI</w:t>
            </w:r>
          </w:p>
        </w:tc>
      </w:tr>
    </w:tbl>
    <w:sectPr>
      <w:footerReference w:type="even" r:id="rId2"/>
      <w:footerReference w:type="default" r:id="rId3"/>
      <w:footerReference w:type="first" r:id="rId4"/>
      <w:type w:val="nextPage"/>
      <w:pgSz w:w="12240" w:h="15840"/>
      <w:pgMar w:left="1134" w:right="1020" w:gutter="0" w:header="0" w:top="964"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96969"/>
        <w:sz w:val="16"/>
      </w:rPr>
      <w:t>MINH HÀ TECH  |  Tài liệu mô phỏng phục vụ trình diễn hệ thống - không có giá trị pháp lý.</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96969"/>
        <w:sz w:val="16"/>
      </w:rPr>
      <w:t>MINH HÀ TECH  |  Tài liệu mô phỏng phục vụ trình diễn hệ thống - không có giá trị pháp lý.</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eastAsia="Arial"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1271</TotalTime>
  <Application>LibreOffice/24.2.7.2$Linux_X86_64 LibreOffice_project/420$Build-2</Application>
  <AppVersion>15.0000</AppVersion>
  <Pages>3</Pages>
  <Words>805</Words>
  <Characters>2902</Characters>
  <CharactersWithSpaces>3647</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2026-09-12T14:13:36Z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