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5102"/>
        <w:gridCol w:w="4535"/>
      </w:tblGrid>
      <w:tr>
        <w:trPr>
          <w:cantSplit/>
        </w:trPr>
        <w:tc>
          <w:tcPr>
            <w:tcW w:type="dxa" w:w="5071"/>
            <w:vAlign w:val="center"/>
            <w:tcBorders>
              <w:top w:val="nil"/>
              <w:left w:val="nil"/>
              <w:bottom w:val="nil"/>
              <w:right w:val="nil"/>
            </w:tcBorders>
          </w:tcPr>
          <w:p>
            <w:pPr>
              <w:jc w:val="left"/>
            </w:pPr>
            <w:r>
              <w:rPr>
                <w:sz w:val="19"/>
              </w:rPr>
              <w:t>CÔNG TY CỔ PHẦN PHẦN MỀM SAO VIỆT</w:t>
            </w:r>
          </w:p>
        </w:tc>
        <w:tc>
          <w:tcPr>
            <w:tcW w:type="dxa" w:w="5071"/>
            <w:vAlign w:val="center"/>
            <w:tcBorders>
              <w:top w:val="nil"/>
              <w:left w:val="nil"/>
              <w:bottom w:val="nil"/>
              <w:right w:val="nil"/>
            </w:tcBorders>
          </w:tcPr>
          <w:p>
            <w:pPr>
              <w:jc w:val="center"/>
            </w:pPr>
            <w:r>
              <w:rPr>
                <w:sz w:val="19"/>
              </w:rPr>
              <w:t>CỘNG HÒA XÃ HỘI CHỦ NGHĨA VIỆT NAM</w:t>
            </w:r>
          </w:p>
        </w:tc>
      </w:tr>
      <w:tr>
        <w:trPr>
          <w:cantSplit/>
        </w:trPr>
        <w:tc>
          <w:tcPr>
            <w:tcW w:type="dxa" w:w="5071"/>
            <w:vAlign w:val="center"/>
            <w:tcBorders>
              <w:top w:val="nil"/>
              <w:left w:val="nil"/>
              <w:bottom w:val="nil"/>
              <w:right w:val="nil"/>
            </w:tcBorders>
          </w:tcPr>
          <w:p>
            <w:pPr>
              <w:jc w:val="left"/>
            </w:pPr>
            <w:r>
              <w:rPr>
                <w:sz w:val="19"/>
              </w:rPr>
              <w:t>Số: 09/2026/HĐLĐ-SV</w:t>
            </w:r>
          </w:p>
        </w:tc>
        <w:tc>
          <w:tcPr>
            <w:tcW w:type="dxa" w:w="5071"/>
            <w:vAlign w:val="center"/>
            <w:tcBorders>
              <w:top w:val="nil"/>
              <w:left w:val="nil"/>
              <w:bottom w:val="nil"/>
              <w:right w:val="nil"/>
            </w:tcBorders>
          </w:tcPr>
          <w:p>
            <w:pPr>
              <w:jc w:val="center"/>
            </w:pPr>
            <w:r>
              <w:rPr>
                <w:sz w:val="19"/>
              </w:rPr>
              <w:t>Độc lập - Tự do - Hạnh phúc</w:t>
            </w:r>
          </w:p>
        </w:tc>
      </w:tr>
    </w:tbl>
    <w:p>
      <w:pPr>
        <w:jc w:val="center"/>
      </w:pPr>
      <w:r>
        <w:rPr>
          <w:b/>
          <w:sz w:val="32"/>
        </w:rPr>
        <w:t>HỢP ĐỒNG LAO ĐỘNG</w:t>
      </w:r>
    </w:p>
    <w:p>
      <w:pPr>
        <w:jc w:val="center"/>
      </w:pPr>
      <w:r>
        <w:rPr>
          <w:i/>
          <w:sz w:val="20"/>
        </w:rPr>
        <w:t>(TP. Hồ Chí Minh, ngày 20 tháng 8 năm 2026)</w:t>
      </w:r>
    </w:p>
    <w:p>
      <w:r>
        <w:rPr>
          <w:b/>
        </w:rPr>
        <w:t>BÊN SỬ DỤNG LAO ĐỘNG (BÊN A)</w:t>
      </w:r>
    </w:p>
    <w:tbl>
      <w:tblPr>
        <w:tblW w:type="auto" w:w="0"/>
        <w:jc w:val="center"/>
        <w:tblLook w:firstColumn="1" w:firstRow="1" w:lastColumn="0" w:lastRow="0" w:noHBand="0" w:noVBand="1" w:val="04A0"/>
      </w:tblPr>
      <w:tblGrid>
        <w:gridCol w:w="5071"/>
        <w:gridCol w:w="5071"/>
      </w:tblGrid>
      <w:tr>
        <w:tc>
          <w:tcPr>
            <w:tcW w:type="dxa" w:w="1928"/>
            <w:vAlign w:val="center"/>
          </w:tcPr>
          <w:p>
            <w:r>
              <w:t>Đơn vị</w:t>
            </w:r>
          </w:p>
        </w:tc>
        <w:tc>
          <w:tcPr>
            <w:tcW w:type="dxa" w:w="7540"/>
            <w:vAlign w:val="center"/>
          </w:tcPr>
          <w:p>
            <w:r>
              <w:t>Công ty Cổ phần Phần mềm Sao Việt</w:t>
            </w:r>
          </w:p>
        </w:tc>
      </w:tr>
      <w:tr>
        <w:tc>
          <w:tcPr>
            <w:tcW w:type="dxa" w:w="1928"/>
            <w:vAlign w:val="center"/>
          </w:tcPr>
          <w:p>
            <w:r>
              <w:t>Đại diện</w:t>
            </w:r>
          </w:p>
        </w:tc>
        <w:tc>
          <w:tcPr>
            <w:tcW w:type="dxa" w:w="7540"/>
            <w:vAlign w:val="center"/>
          </w:tcPr>
          <w:p>
            <w:r>
              <w:t>Hoàng Thanh Bình - Giám đốc Điều hành</w:t>
            </w:r>
          </w:p>
        </w:tc>
      </w:tr>
      <w:tr>
        <w:tc>
          <w:tcPr>
            <w:tcW w:type="dxa" w:w="1928"/>
            <w:vAlign w:val="center"/>
          </w:tcPr>
          <w:p>
            <w:r>
              <w:t>Địa chỉ</w:t>
            </w:r>
          </w:p>
        </w:tc>
        <w:tc>
          <w:tcPr>
            <w:tcW w:type="dxa" w:w="7540"/>
            <w:vAlign w:val="center"/>
          </w:tcPr>
          <w:p>
            <w:r>
              <w:t>36 Nguyễn Gia Trí, Phường Thạnh Mỹ Tây, TP. Hồ Chí Minh</w:t>
            </w:r>
          </w:p>
        </w:tc>
      </w:tr>
      <w:tr>
        <w:tc>
          <w:tcPr>
            <w:tcW w:type="dxa" w:w="1928"/>
            <w:vAlign w:val="center"/>
          </w:tcPr>
          <w:p>
            <w:r>
              <w:t>Điện thoại</w:t>
            </w:r>
          </w:p>
        </w:tc>
        <w:tc>
          <w:tcPr>
            <w:tcW w:type="dxa" w:w="7540"/>
            <w:vAlign w:val="center"/>
          </w:tcPr>
          <w:p>
            <w:r>
              <w:t>028 7300 6688</w:t>
            </w:r>
          </w:p>
        </w:tc>
      </w:tr>
    </w:tbl>
    <w:p>
      <w:r>
        <w:rPr>
          <w:b/>
        </w:rPr>
        <w:t>NGƯỜI LAO ĐỘNG (BÊN B)</w:t>
      </w:r>
    </w:p>
    <w:tbl>
      <w:tblPr>
        <w:tblW w:type="auto" w:w="0"/>
        <w:jc w:val="center"/>
        <w:tblLook w:firstColumn="1" w:firstRow="1" w:lastColumn="0" w:lastRow="0" w:noHBand="0" w:noVBand="1" w:val="04A0"/>
      </w:tblPr>
      <w:tblGrid>
        <w:gridCol w:w="5071"/>
        <w:gridCol w:w="5071"/>
      </w:tblGrid>
      <w:tr>
        <w:tc>
          <w:tcPr>
            <w:tcW w:type="dxa" w:w="1928"/>
          </w:tcPr>
          <w:p>
            <w:r>
              <w:t>Họ và tên</w:t>
            </w:r>
          </w:p>
        </w:tc>
        <w:tc>
          <w:tcPr>
            <w:tcW w:type="dxa" w:w="7540"/>
          </w:tcPr>
          <w:p>
            <w:r>
              <w:t>Lương Tuấn Kiệt</w:t>
            </w:r>
          </w:p>
        </w:tc>
      </w:tr>
      <w:tr>
        <w:tc>
          <w:tcPr>
            <w:tcW w:type="dxa" w:w="1928"/>
          </w:tcPr>
          <w:p>
            <w:r>
              <w:t>Ngày sinh</w:t>
            </w:r>
          </w:p>
        </w:tc>
        <w:tc>
          <w:tcPr>
            <w:tcW w:type="dxa" w:w="7540"/>
          </w:tcPr>
          <w:p>
            <w:r>
              <w:t>03/03/1996</w:t>
            </w:r>
          </w:p>
        </w:tc>
      </w:tr>
      <w:tr>
        <w:tc>
          <w:tcPr>
            <w:tcW w:type="dxa" w:w="1928"/>
          </w:tcPr>
          <w:p>
            <w:r>
              <w:t>CCCD</w:t>
            </w:r>
          </w:p>
        </w:tc>
        <w:tc>
          <w:tcPr>
            <w:tcW w:type="dxa" w:w="7540"/>
          </w:tcPr>
          <w:p>
            <w:r>
              <w:t>079196005941</w:t>
            </w:r>
          </w:p>
        </w:tc>
      </w:tr>
      <w:tr>
        <w:tc>
          <w:tcPr>
            <w:tcW w:type="dxa" w:w="1928"/>
          </w:tcPr>
          <w:p>
            <w:r>
              <w:t>Địa chỉ</w:t>
            </w:r>
          </w:p>
        </w:tc>
        <w:tc>
          <w:tcPr>
            <w:tcW w:type="dxa" w:w="7540"/>
          </w:tcPr>
          <w:p>
            <w:r>
              <w:t>Phường Bình Thạnh, TP. Hồ Chí Minh</w:t>
            </w:r>
          </w:p>
        </w:tc>
      </w:tr>
    </w:tbl>
    <w:p>
      <w:r>
        <w:t>Hai bên thỏa thuận ký kết hợp đồng lao động với các điều khoản sau:</w:t>
      </w:r>
    </w:p>
    <w:p>
      <w:pPr>
        <w:spacing w:before="100" w:after="40"/>
        <w:keepNext/>
      </w:pPr>
      <w:r>
        <w:rPr>
          <w:b/>
        </w:rPr>
        <w:t>Điều 1. Chức danh và nhiệm vụ</w:t>
      </w:r>
    </w:p>
    <w:p>
      <w:pPr>
        <w:spacing w:after="40"/>
        <w:ind w:left="198" w:hanging="85"/>
      </w:pPr>
      <w:r>
        <w:t>Chức danh: Chuyên viên Quản trị hệ thống. Người lao động vận hành hạ tầng nội bộ, quản lý tài khoản hệ thống và phối hợp xử lý sự cố kỹ thuật.</w:t>
      </w:r>
    </w:p>
    <w:p>
      <w:pPr>
        <w:spacing w:before="100" w:after="40"/>
        <w:keepNext/>
      </w:pPr>
      <w:r>
        <w:rPr>
          <w:b/>
        </w:rPr>
        <w:t>Điều 2. Thời hạn hợp đồng</w:t>
      </w:r>
    </w:p>
    <w:p>
      <w:pPr>
        <w:spacing w:after="40"/>
        <w:ind w:left="198" w:hanging="85"/>
      </w:pPr>
      <w:r>
        <w:t>Hợp đồng có thời hạn 12 tháng, từ ngày 01/09/2026 đến hết ngày 31/08/2027.</w:t>
      </w:r>
    </w:p>
    <w:p>
      <w:pPr>
        <w:spacing w:before="100" w:after="40"/>
        <w:keepNext/>
      </w:pPr>
      <w:r>
        <w:rPr>
          <w:b/>
        </w:rPr>
        <w:t>Điều 3. Tiền lương</w:t>
      </w:r>
    </w:p>
    <w:p>
      <w:pPr>
        <w:spacing w:after="40"/>
        <w:ind w:left="198" w:hanging="85"/>
      </w:pPr>
      <w:r>
        <w:t>Mức lương theo công việc là 18.500.000 đồng/tháng, thanh toán qua tài khoản ngân hàng vào ngày 05 hằng tháng.</w:t>
      </w:r>
    </w:p>
    <w:p>
      <w:pPr>
        <w:spacing w:before="100" w:after="40"/>
        <w:keepNext/>
      </w:pPr>
      <w:r>
        <w:rPr>
          <w:b/>
        </w:rPr>
        <w:t>Điều 4. Thời giờ làm việc</w:t>
      </w:r>
    </w:p>
    <w:p>
      <w:pPr>
        <w:spacing w:after="40"/>
        <w:ind w:left="198" w:hanging="85"/>
      </w:pPr>
      <w:r>
        <w:t>Thời giờ làm việc thông thường là 08 giờ/ngày, từ thứ Hai đến thứ Sáu. Trực hệ thống ngoài giờ được bố trí theo kế hoạch và thực hiện theo quy định áp dụng.</w:t>
      </w:r>
    </w:p>
    <w:p>
      <w:pPr>
        <w:spacing w:before="100" w:after="40"/>
        <w:keepNext/>
      </w:pPr>
      <w:r>
        <w:rPr>
          <w:b/>
        </w:rPr>
        <w:t>Điều 5. Bảo mật và an toàn thông tin</w:t>
      </w:r>
    </w:p>
    <w:p>
      <w:pPr>
        <w:spacing w:after="40"/>
        <w:ind w:left="198" w:hanging="85"/>
      </w:pPr>
      <w:r>
        <w:t>Người lao động tuân thủ chính sách an toàn thông tin, không chia sẻ thông tin đăng nhập hoặc dữ liệu hệ thống cho người không có thẩm quyền.</w:t>
      </w:r>
    </w:p>
    <w:p>
      <w:pPr>
        <w:spacing w:before="100" w:after="40"/>
        <w:keepNext/>
      </w:pPr>
      <w:r>
        <w:rPr>
          <w:b/>
        </w:rPr>
        <w:t>Điều 6. Kết thúc thời hạn hợp đồng</w:t>
      </w:r>
    </w:p>
    <w:p>
      <w:pPr>
        <w:spacing w:after="40"/>
        <w:ind w:left="198" w:hanging="85"/>
      </w:pPr>
      <w:r>
        <w:t>Hợp đồng chấm dứt khi hết thời hạn nêu tại Điều 2, trừ trường hợp hai bên có thỏa thuận ký kết hợp đồng mới hoặc pháp luật có quy định khác. Hai bên phối hợp hoàn tất bàn giao công việc, tài sản và các khoản thanh toán còn lại.</w:t>
      </w:r>
    </w:p>
    <w:p>
      <w:pPr>
        <w:spacing w:before="100" w:after="40"/>
        <w:keepNext/>
      </w:pPr>
      <w:r>
        <w:rPr>
          <w:b/>
        </w:rPr>
        <w:t>Điều 7. Chấm dứt trước thời hạn</w:t>
      </w:r>
    </w:p>
    <w:p>
      <w:pPr>
        <w:spacing w:after="40"/>
        <w:ind w:left="198" w:hanging="85"/>
      </w:pPr>
      <w:r>
        <w:t>Trường hợp một bên chấm dứt hợp đồng trước thời hạn, quyền và nghĩa vụ của các bên được thực hiện theo căn cứ, trình tự và thời hạn báo trước tương ứng theo pháp luật lao động.</w:t>
      </w:r>
    </w:p>
    <w:p>
      <w:pPr>
        <w:spacing w:before="100" w:after="40"/>
        <w:keepNext/>
      </w:pPr>
      <w:r>
        <w:rPr>
          <w:b/>
        </w:rPr>
        <w:t>Điều 8. Điều khoản chung</w:t>
      </w:r>
    </w:p>
    <w:p>
      <w:pPr>
        <w:spacing w:after="40"/>
        <w:ind w:left="198" w:hanging="85"/>
      </w:pPr>
      <w:r>
        <w:t>Hợp đồng có hiệu lực kể từ ngày ký và được lập thành 02 bản có giá trị như nhau.</w:t>
      </w:r>
    </w:p>
    <w:p/>
    <w:tbl>
      <w:tblPr>
        <w:tblW w:type="auto" w:w="0"/>
        <w:jc w:val="center"/>
        <w:tblLook w:firstColumn="1" w:firstRow="1" w:lastColumn="0" w:lastRow="0" w:noHBand="0" w:noVBand="1" w:val="04A0"/>
      </w:tblPr>
      <w:tblGrid>
        <w:gridCol w:w="5071"/>
        <w:gridCol w:w="5071"/>
      </w:tblGrid>
      <w:tr>
        <w:tc>
          <w:tcPr>
            <w:tcW w:type="dxa" w:w="5071"/>
            <w:tcBorders>
              <w:top w:val="nil"/>
              <w:left w:val="nil"/>
              <w:bottom w:val="nil"/>
              <w:right w:val="nil"/>
            </w:tcBorders>
          </w:tcPr>
          <w:p>
            <w:pPr>
              <w:jc w:val="center"/>
            </w:pPr>
            <w:r>
              <w:t>ĐẠI DIỆN BÊN A</w:t>
            </w:r>
          </w:p>
        </w:tc>
        <w:tc>
          <w:tcPr>
            <w:tcW w:type="dxa" w:w="5071"/>
            <w:tcBorders>
              <w:top w:val="nil"/>
              <w:left w:val="nil"/>
              <w:bottom w:val="nil"/>
              <w:right w:val="nil"/>
            </w:tcBorders>
          </w:tcPr>
          <w:p>
            <w:pPr>
              <w:jc w:val="center"/>
            </w:pPr>
            <w:r>
              <w:t>NGƯỜI LAO ĐỘNG</w:t>
            </w:r>
          </w:p>
        </w:tc>
      </w:tr>
      <w:tr>
        <w:tc>
          <w:tcPr>
            <w:tcW w:type="dxa" w:w="5071"/>
            <w:tcBorders>
              <w:top w:val="nil"/>
              <w:left w:val="nil"/>
              <w:bottom w:val="nil"/>
              <w:right w:val="nil"/>
            </w:tcBorders>
          </w:tcPr>
          <w:p>
            <w:pPr>
              <w:jc w:val="center"/>
            </w:pPr>
            <w:r>
              <w:t>(Ký, ghi rõ họ tên)</w:t>
              <w:br/>
              <w:br/>
              <w:br/>
              <w:t>Hoàng Thanh Bình</w:t>
            </w:r>
          </w:p>
        </w:tc>
        <w:tc>
          <w:tcPr>
            <w:tcW w:type="dxa" w:w="5071"/>
            <w:tcBorders>
              <w:top w:val="nil"/>
              <w:left w:val="nil"/>
              <w:bottom w:val="nil"/>
              <w:right w:val="nil"/>
            </w:tcBorders>
          </w:tcPr>
          <w:p>
            <w:pPr>
              <w:jc w:val="center"/>
            </w:pPr>
            <w:r>
              <w:t>(Ký, ghi rõ họ tên)</w:t>
              <w:br/>
              <w:br/>
              <w:br/>
              <w:t>Lương Tuấn Kiệt</w:t>
            </w:r>
          </w:p>
        </w:tc>
      </w:tr>
    </w:tbl>
    <w:sectPr w:rsidR="00FC693F" w:rsidRPr="0006063C" w:rsidSect="00034616">
      <w:footerReference w:type="default" r:id="rId9"/>
      <w:pgSz w:w="12240" w:h="15840"/>
      <w:pgMar w:top="964" w:right="964" w:bottom="907" w:left="1134"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09/2026/HĐLĐ-SV  |  Tài liệu mô phỏng dùng cho trình diễn kỹ thuật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365F91" w:themeColor="accent1" w:themeShade="BF"/>
      <w:sz w:val="25"/>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Calibri"/>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