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Meta 在 2024 年 Connect 大会上发布的 MGX（Meta Generative Experiences）平台，是一个AI全流程设计工具，集成了生成式AI、协同设计、实时迭代等功能，旨在提升设计效率和内容创作自由度。MGX 本质上是一个面向设计师、开发者和内容创作者的一体化创意开发平台</w:t>
      </w:r>
      <w:r w:rsidRPr="007A0C64">
        <w:rPr>
          <w:rFonts w:asciiTheme="minorEastAsia" w:hAnsiTheme="minorEastAsia" w:hint="eastAsia"/>
          <w:sz w:val="28"/>
          <w:szCs w:val="28"/>
        </w:rPr>
        <w:t>。</w:t>
      </w:r>
    </w:p>
    <w:p w:rsidR="007A0C64" w:rsidRPr="007A0C64" w:rsidRDefault="007A0C64" w:rsidP="007A0C64">
      <w:pPr>
        <w:rPr>
          <w:rFonts w:asciiTheme="minorEastAsia" w:hAnsiTheme="minorEastAsia"/>
          <w:b/>
          <w:sz w:val="28"/>
          <w:szCs w:val="28"/>
        </w:rPr>
      </w:pPr>
      <w:r w:rsidRPr="007A0C64">
        <w:rPr>
          <w:rFonts w:asciiTheme="minorEastAsia" w:hAnsiTheme="minorEastAsia"/>
          <w:b/>
          <w:sz w:val="28"/>
          <w:szCs w:val="28"/>
        </w:rPr>
        <w:t>一、MGX 平台核心特性简析</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1. AI驱动的内容生成</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支持文本生成图像、3D 模型、场景、交互设计等内容。</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用户可通过自然语言或草图快速构建界面和功能草案。</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能理解语义并生成功能建议，例如“设计一个交互式数学游戏”，MGX 可自动生成初版框架。</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2. 端到端的创意流程管理</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从构思 → 原型 → 内容生成 → 多人协作 → 实时部署，全流程都在 MGX 内部完成。</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与 Meta 的 Spark、Unity、Blender 等工具链打通，兼容现有生态。</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3. 多模态协同</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同时处理图像、语音、文字、代码，进行多模态内容创作。</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适用于教育游戏、沉浸式互动教学、虚拟实验平台等。</w:t>
      </w:r>
    </w:p>
    <w:p w:rsidR="007A0C64" w:rsidRPr="007A0C64" w:rsidRDefault="007A0C64" w:rsidP="007A0C64">
      <w:pPr>
        <w:rPr>
          <w:rFonts w:asciiTheme="minorEastAsia" w:hAnsiTheme="minorEastAsia"/>
          <w:b/>
          <w:sz w:val="28"/>
          <w:szCs w:val="28"/>
        </w:rPr>
      </w:pPr>
      <w:r w:rsidRPr="007A0C64">
        <w:rPr>
          <w:rFonts w:asciiTheme="minorEastAsia" w:hAnsiTheme="minorEastAsia"/>
          <w:b/>
          <w:sz w:val="28"/>
          <w:szCs w:val="28"/>
        </w:rPr>
        <w:t>二、AI 全流程设计工具如何变革教育软件设计</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1. 降低教育软件开发门槛</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教师或教育者无需专业代码背景，只需说明教学目标，AI即可生成教学内容原型，如互动练习、教学动画、可视化仪表板等。</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lastRenderedPageBreak/>
        <w:t>快速迭代课程内容，适应不同教学节奏和学生差异。</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2. 提高教学资源个性化与多样性</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根据学生水平生成差异化内容，比如为同一编程题目自动生成不同难度的提示。</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利用AI自动分析学习数据，生成反馈、动态调整内容。</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3. 融合沉浸式体验与学习</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MGX 支持AR/VR场景生成，使得教育软件具备沉浸性。</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可创建虚拟科学实验室、历史文化沉浸环境、AI伴学系统。</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4. 打通设计—开发—部署链条</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AI一体化协同：课程设计者输入教学意图 → AI生成内容/交互 → MGX支持部署为Web、移动、XR应用。</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教育资源开发周期大幅缩短，从“周”级压缩为“天”级甚至“小时”。</w:t>
      </w:r>
    </w:p>
    <w:p w:rsidR="007A0C64" w:rsidRPr="007A0C64" w:rsidRDefault="007A0C64" w:rsidP="007A0C64">
      <w:pPr>
        <w:rPr>
          <w:rFonts w:asciiTheme="minorEastAsia" w:hAnsiTheme="minorEastAsia"/>
          <w:b/>
          <w:sz w:val="28"/>
          <w:szCs w:val="28"/>
        </w:rPr>
      </w:pPr>
      <w:r w:rsidRPr="007A0C64">
        <w:rPr>
          <w:rFonts w:asciiTheme="minorEastAsia" w:hAnsiTheme="minorEastAsia"/>
          <w:b/>
          <w:sz w:val="28"/>
          <w:szCs w:val="28"/>
        </w:rPr>
        <w:t>三、典型应用场景</w:t>
      </w:r>
    </w:p>
    <w:tbl>
      <w:tblPr>
        <w:tblW w:w="99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7229"/>
      </w:tblGrid>
      <w:tr w:rsidR="007A0C64" w:rsidRPr="007A0C64" w:rsidTr="007A0C64">
        <w:trPr>
          <w:tblHeader/>
          <w:tblCellSpacing w:w="15" w:type="dxa"/>
        </w:trPr>
        <w:tc>
          <w:tcPr>
            <w:tcW w:w="270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场景</w:t>
            </w:r>
          </w:p>
        </w:tc>
        <w:tc>
          <w:tcPr>
            <w:tcW w:w="718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MGX 赋能效果</w:t>
            </w:r>
          </w:p>
        </w:tc>
      </w:tr>
      <w:tr w:rsidR="007A0C64" w:rsidRPr="007A0C64" w:rsidTr="007A0C64">
        <w:trPr>
          <w:tblCellSpacing w:w="15" w:type="dxa"/>
        </w:trPr>
        <w:tc>
          <w:tcPr>
            <w:tcW w:w="270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编程教育平台设计</w:t>
            </w:r>
          </w:p>
        </w:tc>
        <w:tc>
          <w:tcPr>
            <w:tcW w:w="718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自动生成代码编辑界面、测试系统、任务反馈机制。</w:t>
            </w:r>
          </w:p>
        </w:tc>
      </w:tr>
      <w:tr w:rsidR="007A0C64" w:rsidRPr="007A0C64" w:rsidTr="007A0C64">
        <w:trPr>
          <w:tblCellSpacing w:w="15" w:type="dxa"/>
        </w:trPr>
        <w:tc>
          <w:tcPr>
            <w:tcW w:w="270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数学/物理互动教材</w:t>
            </w:r>
          </w:p>
        </w:tc>
        <w:tc>
          <w:tcPr>
            <w:tcW w:w="718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创建带AI讲解的3D动画或实验模拟。</w:t>
            </w:r>
          </w:p>
        </w:tc>
      </w:tr>
      <w:tr w:rsidR="007A0C64" w:rsidRPr="007A0C64" w:rsidTr="007A0C64">
        <w:trPr>
          <w:tblCellSpacing w:w="15" w:type="dxa"/>
        </w:trPr>
        <w:tc>
          <w:tcPr>
            <w:tcW w:w="270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语言学习App</w:t>
            </w:r>
          </w:p>
        </w:tc>
        <w:tc>
          <w:tcPr>
            <w:tcW w:w="718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自动生成口语对话机器人、沉浸式交流场景。</w:t>
            </w:r>
          </w:p>
        </w:tc>
      </w:tr>
      <w:tr w:rsidR="007A0C64" w:rsidRPr="007A0C64" w:rsidTr="007A0C64">
        <w:trPr>
          <w:tblCellSpacing w:w="15" w:type="dxa"/>
        </w:trPr>
        <w:tc>
          <w:tcPr>
            <w:tcW w:w="270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个性化学习系统</w:t>
            </w:r>
          </w:p>
        </w:tc>
        <w:tc>
          <w:tcPr>
            <w:tcW w:w="7184"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学习者数据反馈驱动内容生成，形成千人千面的教材路径。</w:t>
            </w:r>
          </w:p>
        </w:tc>
      </w:tr>
    </w:tbl>
    <w:p w:rsidR="00010DB0" w:rsidRDefault="007A0C64" w:rsidP="007A0C64">
      <w:pPr>
        <w:rPr>
          <w:rFonts w:asciiTheme="minorEastAsia" w:hAnsiTheme="minorEastAsia" w:hint="eastAsia"/>
          <w:b/>
          <w:sz w:val="28"/>
          <w:szCs w:val="28"/>
        </w:rPr>
      </w:pPr>
      <w:r w:rsidRPr="007A0C64">
        <w:rPr>
          <w:rFonts w:asciiTheme="minorEastAsia" w:hAnsiTheme="minorEastAsia"/>
          <w:b/>
          <w:sz w:val="28"/>
          <w:szCs w:val="28"/>
        </w:rPr>
        <w:t>四、</w:t>
      </w:r>
      <w:r w:rsidRPr="007A0C64">
        <w:rPr>
          <w:rFonts w:asciiTheme="minorEastAsia" w:hAnsiTheme="minorEastAsia"/>
          <w:b/>
          <w:sz w:val="28"/>
          <w:szCs w:val="28"/>
        </w:rPr>
        <w:t>研究构想</w:t>
      </w:r>
      <w:r>
        <w:rPr>
          <w:rFonts w:asciiTheme="minorEastAsia" w:hAnsiTheme="minorEastAsia" w:hint="eastAsia"/>
          <w:b/>
          <w:sz w:val="28"/>
          <w:szCs w:val="28"/>
        </w:rPr>
        <w:t>：</w:t>
      </w:r>
      <w:r w:rsidRPr="007A0C64">
        <w:rPr>
          <w:rFonts w:asciiTheme="minorEastAsia" w:hAnsiTheme="minorEastAsia"/>
          <w:b/>
          <w:sz w:val="28"/>
          <w:szCs w:val="28"/>
        </w:rPr>
        <w:t>借助AI全流程设计工具MGX重构初中Python项目式教学</w:t>
      </w:r>
    </w:p>
    <w:p w:rsidR="007A0C64" w:rsidRPr="007A0C64" w:rsidRDefault="007A0C64" w:rsidP="007A0C64">
      <w:pPr>
        <w:rPr>
          <w:rFonts w:asciiTheme="minorEastAsia" w:hAnsiTheme="minorEastAsia"/>
          <w:b/>
          <w:sz w:val="28"/>
          <w:szCs w:val="28"/>
        </w:rPr>
      </w:pPr>
      <w:r w:rsidRPr="007A0C64">
        <w:rPr>
          <w:rFonts w:asciiTheme="minorEastAsia" w:hAnsiTheme="minorEastAsia" w:hint="eastAsia"/>
          <w:b/>
          <w:sz w:val="28"/>
          <w:szCs w:val="28"/>
        </w:rPr>
        <w:lastRenderedPageBreak/>
        <w:t>1、</w:t>
      </w:r>
      <w:r w:rsidRPr="007A0C64">
        <w:rPr>
          <w:rFonts w:asciiTheme="minorEastAsia" w:hAnsiTheme="minorEastAsia"/>
          <w:b/>
          <w:sz w:val="28"/>
          <w:szCs w:val="28"/>
        </w:rPr>
        <w:t>研究/教学设计背景</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初中 Python 项目式教学在当前信息技术课程中承担着培养学生计算思维的重要使命。然而，教学实践中常出现“认知跳跃”、“代码应用与结构理解断裂”等问题，尤其在条件判断、循环嵌套、抽象建模等环节形成“思维断层”。</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与此同时，AI技术，尤其是以 Meta MGX 为代表的生成式AI全流程设计平台，正在为教育软件提供从教学目标到交互系统原型的一体化解决方案，有潜力协助教师构建更具逻辑递进性、个性化、沉浸式的编程学习环境。</w:t>
      </w:r>
    </w:p>
    <w:p w:rsidR="007A0C64" w:rsidRPr="007A0C64" w:rsidRDefault="007A0C64" w:rsidP="007A0C64">
      <w:pPr>
        <w:rPr>
          <w:rFonts w:asciiTheme="minorEastAsia" w:hAnsiTheme="minorEastAsia"/>
          <w:b/>
          <w:sz w:val="28"/>
          <w:szCs w:val="28"/>
        </w:rPr>
      </w:pPr>
      <w:r w:rsidRPr="007A0C64">
        <w:rPr>
          <w:rFonts w:ascii="宋体" w:eastAsia="宋体" w:hAnsi="宋体" w:cs="宋体" w:hint="eastAsia"/>
          <w:b/>
          <w:sz w:val="28"/>
          <w:szCs w:val="28"/>
        </w:rPr>
        <w:t>2、</w:t>
      </w:r>
      <w:r w:rsidRPr="007A0C64">
        <w:rPr>
          <w:rFonts w:asciiTheme="minorEastAsia" w:hAnsiTheme="minorEastAsia"/>
          <w:b/>
          <w:sz w:val="28"/>
          <w:szCs w:val="28"/>
        </w:rPr>
        <w:t>设计目标与研究问题</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教学目标：</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利用MGX平台构建支持计算思维培养的 Python 项目式教学内容原型；</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引导学生逐步掌握关键计算思维要素（如：分解、模式识别、抽象、算法设计）；</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打破教学中常见“认知断层”，提升学生编程思维的连续性与自主建构能力。</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拟探讨的研究问题：</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如何利用 MGX 平台设计符合初中认知水平的 Python 项目任务？</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AI生成的互动式编程任务是否能有效弥合“思维断层”？</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教师如何与MGX协同定义教学目标与AI生成内容之间的边界？</w:t>
      </w:r>
    </w:p>
    <w:p w:rsidR="007A0C64" w:rsidRPr="007A0C64" w:rsidRDefault="007A0C64" w:rsidP="007A0C64">
      <w:pPr>
        <w:rPr>
          <w:rFonts w:asciiTheme="minorEastAsia" w:hAnsiTheme="minorEastAsia"/>
          <w:b/>
          <w:sz w:val="28"/>
          <w:szCs w:val="28"/>
        </w:rPr>
      </w:pPr>
      <w:r w:rsidRPr="007A0C64">
        <w:rPr>
          <w:rFonts w:ascii="Segoe UI Symbol" w:hAnsi="Segoe UI Symbol" w:cs="Segoe UI Symbol" w:hint="eastAsia"/>
          <w:b/>
          <w:sz w:val="28"/>
          <w:szCs w:val="28"/>
        </w:rPr>
        <w:t>3</w:t>
      </w:r>
      <w:r w:rsidRPr="007A0C64">
        <w:rPr>
          <w:rFonts w:ascii="Segoe UI Symbol" w:hAnsi="Segoe UI Symbol" w:cs="Segoe UI Symbol" w:hint="eastAsia"/>
          <w:b/>
          <w:sz w:val="28"/>
          <w:szCs w:val="28"/>
        </w:rPr>
        <w:t>、</w:t>
      </w:r>
      <w:r w:rsidRPr="007A0C64">
        <w:rPr>
          <w:rFonts w:asciiTheme="minorEastAsia" w:hAnsiTheme="minorEastAsia"/>
          <w:b/>
          <w:sz w:val="28"/>
          <w:szCs w:val="28"/>
        </w:rPr>
        <w:t>MGX 平台在教学设计中的实际应用构想</w:t>
      </w:r>
    </w:p>
    <w:tbl>
      <w:tblPr>
        <w:tblW w:w="912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4111"/>
        <w:gridCol w:w="2693"/>
      </w:tblGrid>
      <w:tr w:rsidR="007A0C64" w:rsidRPr="007A0C64" w:rsidTr="007A0C64">
        <w:trPr>
          <w:tblHeade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lastRenderedPageBreak/>
              <w:t>教学阶段</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MGX支持方式</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教学创新点</w:t>
            </w:r>
          </w:p>
        </w:tc>
      </w:tr>
      <w:tr w:rsidR="007A0C64" w:rsidRPr="007A0C64" w:rsidTr="007A0C64">
        <w:trP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项目导入</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用MGX生成现实问题背景场景（如校园垃圾分类、天气监测系统）3D/图文介绍</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提高学习动机，引入项目驱动问题</w:t>
            </w:r>
          </w:p>
        </w:tc>
      </w:tr>
      <w:tr w:rsidR="007A0C64" w:rsidRPr="007A0C64" w:rsidTr="007A0C64">
        <w:trP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任务拆解</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教师输入目标，MGX生成任务流程图、模块功能图</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自动完成抽象→结构化步骤，解决“任务混乱”问题</w:t>
            </w:r>
          </w:p>
        </w:tc>
      </w:tr>
      <w:tr w:rsidR="007A0C64" w:rsidRPr="007A0C64" w:rsidTr="007A0C64">
        <w:trP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代码编写辅助</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MGX提供提示式代码生成（从伪代码或自然语言）</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对于初学者，降低代码障碍，强调逻辑建构</w:t>
            </w:r>
          </w:p>
        </w:tc>
      </w:tr>
      <w:tr w:rsidR="007A0C64" w:rsidRPr="007A0C64" w:rsidTr="007A0C64">
        <w:trP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交互模拟</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自动部署Web界面，支持学生与代码交互测试</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可视化编程成果，提高即时反馈</w:t>
            </w:r>
          </w:p>
        </w:tc>
      </w:tr>
      <w:tr w:rsidR="007A0C64" w:rsidRPr="007A0C64" w:rsidTr="007A0C64">
        <w:trPr>
          <w:tblCellSpacing w:w="15" w:type="dxa"/>
          <w:jc w:val="center"/>
        </w:trPr>
        <w:tc>
          <w:tcPr>
            <w:tcW w:w="227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个性化反馈</w:t>
            </w:r>
          </w:p>
        </w:tc>
        <w:tc>
          <w:tcPr>
            <w:tcW w:w="4081"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根据学生任务完成情况，MGX推荐进阶/补充任务</w:t>
            </w:r>
          </w:p>
        </w:tc>
        <w:tc>
          <w:tcPr>
            <w:tcW w:w="2648" w:type="dxa"/>
            <w:vAlign w:val="center"/>
            <w:hideMark/>
          </w:tcPr>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打破“一刀切”，实现分层教学</w:t>
            </w:r>
          </w:p>
        </w:tc>
      </w:tr>
    </w:tbl>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pict>
          <v:rect id="_x0000_i1025" style="width:0;height:1.5pt" o:hralign="center" o:hrstd="t" o:hr="t" fillcolor="#a0a0a0" stroked="f"/>
        </w:pict>
      </w:r>
    </w:p>
    <w:p w:rsidR="007A0C64" w:rsidRPr="007A0C64" w:rsidRDefault="007A0C64" w:rsidP="007A0C64">
      <w:pPr>
        <w:rPr>
          <w:rFonts w:asciiTheme="minorEastAsia" w:hAnsiTheme="minorEastAsia"/>
          <w:b/>
          <w:sz w:val="28"/>
          <w:szCs w:val="28"/>
        </w:rPr>
      </w:pPr>
      <w:r w:rsidRPr="007A0C64">
        <w:rPr>
          <w:rFonts w:ascii="Segoe UI Symbol" w:hAnsi="Segoe UI Symbol" w:cs="Segoe UI Symbol" w:hint="eastAsia"/>
          <w:b/>
          <w:sz w:val="28"/>
          <w:szCs w:val="28"/>
        </w:rPr>
        <w:t>4</w:t>
      </w:r>
      <w:r w:rsidRPr="007A0C64">
        <w:rPr>
          <w:rFonts w:ascii="Segoe UI Symbol" w:hAnsi="Segoe UI Symbol" w:cs="Segoe UI Symbol" w:hint="eastAsia"/>
          <w:b/>
          <w:sz w:val="28"/>
          <w:szCs w:val="28"/>
        </w:rPr>
        <w:t>、</w:t>
      </w:r>
      <w:r w:rsidRPr="007A0C64">
        <w:rPr>
          <w:rFonts w:asciiTheme="minorEastAsia" w:hAnsiTheme="minorEastAsia"/>
          <w:b/>
          <w:sz w:val="28"/>
          <w:szCs w:val="28"/>
        </w:rPr>
        <w:t>实施流程</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阶段一：需求分析与任务场景创建</w:t>
      </w:r>
      <w:r w:rsidRPr="007A0C64">
        <w:rPr>
          <w:rFonts w:asciiTheme="minorEastAsia" w:hAnsiTheme="minorEastAsia"/>
          <w:sz w:val="28"/>
          <w:szCs w:val="28"/>
        </w:rPr>
        <w:br/>
        <w:t>教师输入教学单元目标，MGX自动生成情境与任务初稿，教师微调。</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阶段二：项目任务的AI辅助拆解与设计</w:t>
      </w:r>
      <w:r w:rsidRPr="007A0C64">
        <w:rPr>
          <w:rFonts w:asciiTheme="minorEastAsia" w:hAnsiTheme="minorEastAsia"/>
          <w:sz w:val="28"/>
          <w:szCs w:val="28"/>
        </w:rPr>
        <w:br/>
        <w:t>通过MGX生成任务的功能分解图、变量关系图、流程图，帮助学生理清思路。</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阶段三：学生开展项目开发与互动测试</w:t>
      </w:r>
      <w:r w:rsidRPr="007A0C64">
        <w:rPr>
          <w:rFonts w:asciiTheme="minorEastAsia" w:hAnsiTheme="minorEastAsia"/>
          <w:sz w:val="28"/>
          <w:szCs w:val="28"/>
        </w:rPr>
        <w:br/>
      </w:r>
      <w:r w:rsidRPr="007A0C64">
        <w:rPr>
          <w:rFonts w:asciiTheme="minorEastAsia" w:hAnsiTheme="minorEastAsia"/>
          <w:sz w:val="28"/>
          <w:szCs w:val="28"/>
        </w:rPr>
        <w:lastRenderedPageBreak/>
        <w:t>学生在MGX环境中完成项目编写，系统自动提供提示与反馈。</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阶段四：数据采集与计算思维成长评价</w:t>
      </w:r>
      <w:r w:rsidRPr="007A0C64">
        <w:rPr>
          <w:rFonts w:asciiTheme="minorEastAsia" w:hAnsiTheme="minorEastAsia"/>
          <w:sz w:val="28"/>
          <w:szCs w:val="28"/>
        </w:rPr>
        <w:br/>
        <w:t>系统记录编程行为数据，评估学生在“抽象、分解、设计”等方面的成长。</w:t>
      </w:r>
    </w:p>
    <w:p w:rsidR="007A0C64" w:rsidRPr="007A0C64" w:rsidRDefault="007A0C64" w:rsidP="007A0C64">
      <w:pPr>
        <w:rPr>
          <w:rFonts w:asciiTheme="minorEastAsia" w:hAnsiTheme="minorEastAsia"/>
          <w:b/>
          <w:sz w:val="28"/>
          <w:szCs w:val="28"/>
        </w:rPr>
      </w:pPr>
      <w:r w:rsidRPr="007A0C64">
        <w:rPr>
          <w:rFonts w:asciiTheme="minorEastAsia" w:hAnsiTheme="minorEastAsia" w:hint="eastAsia"/>
          <w:b/>
          <w:sz w:val="28"/>
          <w:szCs w:val="28"/>
        </w:rPr>
        <w:t>5、</w:t>
      </w:r>
      <w:r w:rsidRPr="007A0C64">
        <w:rPr>
          <w:rFonts w:asciiTheme="minorEastAsia" w:hAnsiTheme="minorEastAsia"/>
          <w:b/>
          <w:sz w:val="28"/>
          <w:szCs w:val="28"/>
        </w:rPr>
        <w:t>教学内容示例：智能垃圾分类小程序</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项目目标：设计一个根据垃圾种类判断垃圾桶颜色的小程序</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关键任务：判断结构设计（if-else）、循环录入垃圾数据、结果统计展示</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AI协作流程：</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教师用自然语言描述任务；</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MGX生成流程图、函数原型和初步代码框架；</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学生在MGX生成的界面中逐步补全代码；</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平台提供个性化语法和逻辑提示；</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学生可生成图形界面并进行模拟测试。</w:t>
      </w:r>
    </w:p>
    <w:p w:rsidR="007A0C64" w:rsidRPr="007A0C64" w:rsidRDefault="007A0C64" w:rsidP="007A0C64">
      <w:pPr>
        <w:rPr>
          <w:rFonts w:asciiTheme="minorEastAsia" w:hAnsiTheme="minorEastAsia"/>
          <w:b/>
          <w:sz w:val="28"/>
          <w:szCs w:val="28"/>
        </w:rPr>
      </w:pPr>
      <w:r w:rsidRPr="007A0C64">
        <w:rPr>
          <w:rFonts w:asciiTheme="minorEastAsia" w:hAnsiTheme="minorEastAsia" w:hint="eastAsia"/>
          <w:b/>
          <w:sz w:val="28"/>
          <w:szCs w:val="28"/>
        </w:rPr>
        <w:t>6</w:t>
      </w:r>
      <w:r w:rsidRPr="007A0C64">
        <w:rPr>
          <w:rFonts w:asciiTheme="minorEastAsia" w:hAnsiTheme="minorEastAsia"/>
          <w:b/>
          <w:sz w:val="28"/>
          <w:szCs w:val="28"/>
        </w:rPr>
        <w:t>、数据收集与评价方式</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本研究将采用以下多元方式收集教学效果数据：</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编程行为数据：记录学生在平台中的编辑、调试、运行过程，分析其思维路径；</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前后测任务比较：设置前测和后测项目，评估计算思维能力变化；</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教学观察与访谈：了解学生对于MGX生成任务的接受度、理解度及自主建构感；</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系统生成学习报告：利用MGX平台的行为追踪功能自动生成计算思维</w:t>
      </w:r>
      <w:r w:rsidRPr="007A0C64">
        <w:rPr>
          <w:rFonts w:asciiTheme="minorEastAsia" w:hAnsiTheme="minorEastAsia"/>
          <w:sz w:val="28"/>
          <w:szCs w:val="28"/>
        </w:rPr>
        <w:lastRenderedPageBreak/>
        <w:t>成长报告，辅助分析。</w:t>
      </w:r>
    </w:p>
    <w:p w:rsidR="007A0C64" w:rsidRPr="007A0C64" w:rsidRDefault="007A0C64" w:rsidP="007A0C64">
      <w:pPr>
        <w:rPr>
          <w:rFonts w:asciiTheme="minorEastAsia" w:hAnsiTheme="minorEastAsia"/>
          <w:b/>
          <w:sz w:val="28"/>
          <w:szCs w:val="28"/>
        </w:rPr>
      </w:pPr>
      <w:r w:rsidRPr="007A0C64">
        <w:rPr>
          <w:rFonts w:asciiTheme="minorEastAsia" w:hAnsiTheme="minorEastAsia" w:hint="eastAsia"/>
          <w:b/>
          <w:sz w:val="28"/>
          <w:szCs w:val="28"/>
        </w:rPr>
        <w:t>7</w:t>
      </w:r>
      <w:r w:rsidRPr="007A0C64">
        <w:rPr>
          <w:rFonts w:asciiTheme="minorEastAsia" w:hAnsiTheme="minorEastAsia"/>
          <w:b/>
          <w:sz w:val="28"/>
          <w:szCs w:val="28"/>
        </w:rPr>
        <w:t>、预期成果与意义</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设计出一套适合初中阶段的、可由AI辅助构建的项目式</w:t>
      </w:r>
      <w:bookmarkStart w:id="0" w:name="_GoBack"/>
      <w:bookmarkEnd w:id="0"/>
      <w:r w:rsidRPr="007A0C64">
        <w:rPr>
          <w:rFonts w:asciiTheme="minorEastAsia" w:hAnsiTheme="minorEastAsia"/>
          <w:sz w:val="28"/>
          <w:szCs w:val="28"/>
        </w:rPr>
        <w:t>教学任务库；</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形成一套“计算思维递进培养”的教学内容生成与调整机制；</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以MGX平台为支撑，构建可复制推广的智能教学原型系统；</w:t>
      </w:r>
    </w:p>
    <w:p w:rsidR="007A0C64" w:rsidRPr="007A0C64" w:rsidRDefault="007A0C64" w:rsidP="007A0C64">
      <w:pPr>
        <w:rPr>
          <w:rFonts w:asciiTheme="minorEastAsia" w:hAnsiTheme="minorEastAsia"/>
          <w:sz w:val="28"/>
          <w:szCs w:val="28"/>
        </w:rPr>
      </w:pPr>
      <w:r w:rsidRPr="007A0C64">
        <w:rPr>
          <w:rFonts w:asciiTheme="minorEastAsia" w:hAnsiTheme="minorEastAsia"/>
          <w:sz w:val="28"/>
          <w:szCs w:val="28"/>
        </w:rPr>
        <w:t>为人工智能辅助项目式教学设计提供实证基础与理论支撑。</w:t>
      </w:r>
    </w:p>
    <w:p w:rsidR="007A0C64" w:rsidRPr="007A0C64" w:rsidRDefault="007A0C64" w:rsidP="007A0C64">
      <w:pPr>
        <w:rPr>
          <w:rFonts w:asciiTheme="minorEastAsia" w:hAnsiTheme="minorEastAsia"/>
          <w:b/>
          <w:sz w:val="28"/>
          <w:szCs w:val="28"/>
        </w:rPr>
      </w:pPr>
    </w:p>
    <w:sectPr w:rsidR="007A0C64" w:rsidRPr="007A0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2972"/>
    <w:multiLevelType w:val="multilevel"/>
    <w:tmpl w:val="77E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D5EB1"/>
    <w:multiLevelType w:val="multilevel"/>
    <w:tmpl w:val="F61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043E"/>
    <w:multiLevelType w:val="multilevel"/>
    <w:tmpl w:val="B67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117E8"/>
    <w:multiLevelType w:val="multilevel"/>
    <w:tmpl w:val="AA06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210B6"/>
    <w:multiLevelType w:val="multilevel"/>
    <w:tmpl w:val="A8A0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417B55"/>
    <w:multiLevelType w:val="multilevel"/>
    <w:tmpl w:val="688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639E2"/>
    <w:multiLevelType w:val="multilevel"/>
    <w:tmpl w:val="C02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43071"/>
    <w:multiLevelType w:val="multilevel"/>
    <w:tmpl w:val="1B7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B6924"/>
    <w:multiLevelType w:val="multilevel"/>
    <w:tmpl w:val="D46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D0480"/>
    <w:multiLevelType w:val="multilevel"/>
    <w:tmpl w:val="C0CA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AD236B"/>
    <w:multiLevelType w:val="multilevel"/>
    <w:tmpl w:val="119E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8B799E"/>
    <w:multiLevelType w:val="multilevel"/>
    <w:tmpl w:val="F1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D07B71"/>
    <w:multiLevelType w:val="multilevel"/>
    <w:tmpl w:val="BFD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5B2E67"/>
    <w:multiLevelType w:val="multilevel"/>
    <w:tmpl w:val="C82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1"/>
  </w:num>
  <w:num w:numId="5">
    <w:abstractNumId w:val="4"/>
  </w:num>
  <w:num w:numId="6">
    <w:abstractNumId w:val="7"/>
  </w:num>
  <w:num w:numId="7">
    <w:abstractNumId w:val="5"/>
  </w:num>
  <w:num w:numId="8">
    <w:abstractNumId w:val="9"/>
  </w:num>
  <w:num w:numId="9">
    <w:abstractNumId w:val="0"/>
  </w:num>
  <w:num w:numId="10">
    <w:abstractNumId w:val="10"/>
  </w:num>
  <w:num w:numId="11">
    <w:abstractNumId w:val="11"/>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64"/>
    <w:rsid w:val="00010DB0"/>
    <w:rsid w:val="007A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0C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A0C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0C64"/>
    <w:rPr>
      <w:rFonts w:ascii="宋体" w:eastAsia="宋体" w:hAnsi="宋体" w:cs="宋体"/>
      <w:b/>
      <w:bCs/>
      <w:kern w:val="0"/>
      <w:sz w:val="36"/>
      <w:szCs w:val="36"/>
    </w:rPr>
  </w:style>
  <w:style w:type="character" w:customStyle="1" w:styleId="3Char">
    <w:name w:val="标题 3 Char"/>
    <w:basedOn w:val="a0"/>
    <w:link w:val="3"/>
    <w:uiPriority w:val="9"/>
    <w:rsid w:val="007A0C64"/>
    <w:rPr>
      <w:rFonts w:ascii="宋体" w:eastAsia="宋体" w:hAnsi="宋体" w:cs="宋体"/>
      <w:b/>
      <w:bCs/>
      <w:kern w:val="0"/>
      <w:sz w:val="27"/>
      <w:szCs w:val="27"/>
    </w:rPr>
  </w:style>
  <w:style w:type="paragraph" w:styleId="a3">
    <w:name w:val="Normal (Web)"/>
    <w:basedOn w:val="a"/>
    <w:uiPriority w:val="99"/>
    <w:semiHidden/>
    <w:unhideWhenUsed/>
    <w:rsid w:val="007A0C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0C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0C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A0C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0C64"/>
    <w:rPr>
      <w:rFonts w:ascii="宋体" w:eastAsia="宋体" w:hAnsi="宋体" w:cs="宋体"/>
      <w:b/>
      <w:bCs/>
      <w:kern w:val="0"/>
      <w:sz w:val="36"/>
      <w:szCs w:val="36"/>
    </w:rPr>
  </w:style>
  <w:style w:type="character" w:customStyle="1" w:styleId="3Char">
    <w:name w:val="标题 3 Char"/>
    <w:basedOn w:val="a0"/>
    <w:link w:val="3"/>
    <w:uiPriority w:val="9"/>
    <w:rsid w:val="007A0C64"/>
    <w:rPr>
      <w:rFonts w:ascii="宋体" w:eastAsia="宋体" w:hAnsi="宋体" w:cs="宋体"/>
      <w:b/>
      <w:bCs/>
      <w:kern w:val="0"/>
      <w:sz w:val="27"/>
      <w:szCs w:val="27"/>
    </w:rPr>
  </w:style>
  <w:style w:type="paragraph" w:styleId="a3">
    <w:name w:val="Normal (Web)"/>
    <w:basedOn w:val="a"/>
    <w:uiPriority w:val="99"/>
    <w:semiHidden/>
    <w:unhideWhenUsed/>
    <w:rsid w:val="007A0C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0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24036">
      <w:bodyDiv w:val="1"/>
      <w:marLeft w:val="0"/>
      <w:marRight w:val="0"/>
      <w:marTop w:val="0"/>
      <w:marBottom w:val="0"/>
      <w:divBdr>
        <w:top w:val="none" w:sz="0" w:space="0" w:color="auto"/>
        <w:left w:val="none" w:sz="0" w:space="0" w:color="auto"/>
        <w:bottom w:val="none" w:sz="0" w:space="0" w:color="auto"/>
        <w:right w:val="none" w:sz="0" w:space="0" w:color="auto"/>
      </w:divBdr>
    </w:div>
    <w:div w:id="919675563">
      <w:bodyDiv w:val="1"/>
      <w:marLeft w:val="0"/>
      <w:marRight w:val="0"/>
      <w:marTop w:val="0"/>
      <w:marBottom w:val="0"/>
      <w:divBdr>
        <w:top w:val="none" w:sz="0" w:space="0" w:color="auto"/>
        <w:left w:val="none" w:sz="0" w:space="0" w:color="auto"/>
        <w:bottom w:val="none" w:sz="0" w:space="0" w:color="auto"/>
        <w:right w:val="none" w:sz="0" w:space="0" w:color="auto"/>
      </w:divBdr>
      <w:divsChild>
        <w:div w:id="1004170539">
          <w:marLeft w:val="0"/>
          <w:marRight w:val="0"/>
          <w:marTop w:val="0"/>
          <w:marBottom w:val="0"/>
          <w:divBdr>
            <w:top w:val="none" w:sz="0" w:space="0" w:color="auto"/>
            <w:left w:val="none" w:sz="0" w:space="0" w:color="auto"/>
            <w:bottom w:val="none" w:sz="0" w:space="0" w:color="auto"/>
            <w:right w:val="none" w:sz="0" w:space="0" w:color="auto"/>
          </w:divBdr>
          <w:divsChild>
            <w:div w:id="1168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1571">
      <w:bodyDiv w:val="1"/>
      <w:marLeft w:val="0"/>
      <w:marRight w:val="0"/>
      <w:marTop w:val="0"/>
      <w:marBottom w:val="0"/>
      <w:divBdr>
        <w:top w:val="none" w:sz="0" w:space="0" w:color="auto"/>
        <w:left w:val="none" w:sz="0" w:space="0" w:color="auto"/>
        <w:bottom w:val="none" w:sz="0" w:space="0" w:color="auto"/>
        <w:right w:val="none" w:sz="0" w:space="0" w:color="auto"/>
      </w:divBdr>
      <w:divsChild>
        <w:div w:id="1782722926">
          <w:marLeft w:val="0"/>
          <w:marRight w:val="0"/>
          <w:marTop w:val="0"/>
          <w:marBottom w:val="0"/>
          <w:divBdr>
            <w:top w:val="none" w:sz="0" w:space="0" w:color="auto"/>
            <w:left w:val="none" w:sz="0" w:space="0" w:color="auto"/>
            <w:bottom w:val="none" w:sz="0" w:space="0" w:color="auto"/>
            <w:right w:val="none" w:sz="0" w:space="0" w:color="auto"/>
          </w:divBdr>
          <w:divsChild>
            <w:div w:id="17005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liboyan</dc:creator>
  <cp:lastModifiedBy>liboyan</cp:lastModifiedBy>
  <cp:revision>1</cp:revision>
  <dcterms:created xsi:type="dcterms:W3CDTF">2025-06-04T07:31:00Z</dcterms:created>
  <dcterms:modified xsi:type="dcterms:W3CDTF">2025-06-04T07:40:00Z</dcterms:modified>
</cp:coreProperties>
</file>