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scom6pvdqhq" w:id="0"/>
      <w:bookmarkEnd w:id="0"/>
      <w:r w:rsidDel="00000000" w:rsidR="00000000" w:rsidRPr="00000000">
        <w:rPr>
          <w:rtl w:val="0"/>
        </w:rPr>
        <w:t xml:space="preserve">Reference Lists</w:t>
      </w:r>
    </w:p>
    <w:p w:rsidR="00000000" w:rsidDel="00000000" w:rsidP="00000000" w:rsidRDefault="00000000" w:rsidRPr="00000000" w14:paraId="00000002">
      <w:pPr>
        <w:ind w:left="720" w:hanging="720"/>
        <w:rPr/>
      </w:pPr>
      <w:r w:rsidDel="00000000" w:rsidR="00000000" w:rsidRPr="00000000">
        <w:rPr>
          <w:rtl w:val="0"/>
        </w:rPr>
        <w:t xml:space="preserve">Zhang, R., Li, H., Chen, A., Liu, Z., &amp; Lee, Y.-C. (2024). AI Privacy in Context: A Comparative Study of Public and Institutional Discourse on Conversational AI Privacy in the US and Chinese Social Media. </w:t>
      </w:r>
      <w:r w:rsidDel="00000000" w:rsidR="00000000" w:rsidRPr="00000000">
        <w:rPr>
          <w:i w:val="1"/>
          <w:rtl w:val="0"/>
        </w:rPr>
        <w:t xml:space="preserve">Social Media + Society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(4). Retrieved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https://doi.org/10.1177/20563051241290845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720"/>
        <w:rPr/>
      </w:pPr>
      <w:r w:rsidDel="00000000" w:rsidR="00000000" w:rsidRPr="00000000">
        <w:rPr>
          <w:rtl w:val="0"/>
        </w:rPr>
        <w:t xml:space="preserve">Office of the Privacy Commissioner of Canada. (2023, December 7). </w:t>
      </w:r>
      <w:r w:rsidDel="00000000" w:rsidR="00000000" w:rsidRPr="00000000">
        <w:rPr>
          <w:i w:val="1"/>
          <w:rtl w:val="0"/>
        </w:rPr>
        <w:t xml:space="preserve">Principles for responsible, trustworthy and privacy-protective generative AI Technologies</w:t>
      </w:r>
      <w:r w:rsidDel="00000000" w:rsidR="00000000" w:rsidRPr="00000000">
        <w:rPr>
          <w:rtl w:val="0"/>
        </w:rPr>
        <w:t xml:space="preserve">. Retrieved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https://www.priv.gc.ca/en/privacy-topics/technology/artificial-intelligence/gd_principles_ai/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77/20563051241290845" TargetMode="External"/><Relationship Id="rId7" Type="http://schemas.openxmlformats.org/officeDocument/2006/relationships/hyperlink" Target="https://www.priv.gc.ca/en/privacy-topics/technology/artificial-intelligence/gd_principles_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