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25A6F8" w14:textId="6123A102" w:rsidR="00D265FF" w:rsidRDefault="00F64C6C">
      <w:r w:rsidRPr="00F64C6C">
        <w:rPr>
          <w:b/>
          <w:bCs/>
        </w:rPr>
        <w:t>Title:</w:t>
      </w:r>
      <w:r>
        <w:t xml:space="preserve"> Detecting and Disambiguating “Hidden” Cochlear Pathologies</w:t>
      </w:r>
    </w:p>
    <w:p w14:paraId="15C83350" w14:textId="29DBB464" w:rsidR="00F64C6C" w:rsidRPr="00F64C6C" w:rsidRDefault="00F64C6C">
      <w:pPr>
        <w:rPr>
          <w:b/>
          <w:bCs/>
        </w:rPr>
      </w:pPr>
      <w:r w:rsidRPr="00F64C6C">
        <w:rPr>
          <w:b/>
          <w:bCs/>
        </w:rPr>
        <w:t>Introduction</w:t>
      </w:r>
    </w:p>
    <w:p w14:paraId="26D197E6" w14:textId="3D0544CD" w:rsidR="00F64C6C" w:rsidRDefault="00F64C6C">
      <w:r>
        <w:rPr>
          <w:rFonts w:ascii="Arial" w:hAnsi="Arial" w:cs="Arial"/>
        </w:rPr>
        <w:t>S</w:t>
      </w:r>
      <w:r>
        <w:rPr>
          <w:rFonts w:ascii="Arial" w:hAnsi="Arial" w:cs="Arial"/>
        </w:rPr>
        <w:t xml:space="preserve">ome types of damage to the inner ear are not detected by standard, clinical hearing tests. In this study, I investigate two such “hidden” pathologies, </w:t>
      </w:r>
      <w:r w:rsidRPr="006C156A">
        <w:rPr>
          <w:rFonts w:ascii="Arial" w:hAnsi="Arial" w:cs="Arial"/>
        </w:rPr>
        <w:t>inner hair cell (IHC) damage and cochlear synaptopathy (CS)</w:t>
      </w:r>
      <w:r>
        <w:rPr>
          <w:rFonts w:ascii="Arial" w:hAnsi="Arial" w:cs="Arial"/>
        </w:rPr>
        <w:t>, which</w:t>
      </w:r>
      <w:r w:rsidRPr="006C156A">
        <w:rPr>
          <w:rFonts w:ascii="Arial" w:hAnsi="Arial" w:cs="Arial"/>
        </w:rPr>
        <w:t xml:space="preserve"> can masquerade as clinically normal hearing despite potentially having detrimental effects on speech perception. </w:t>
      </w:r>
      <w:r>
        <w:rPr>
          <w:rFonts w:ascii="Arial" w:hAnsi="Arial" w:cs="Arial"/>
        </w:rPr>
        <w:t>This dataset aims to identify whether other biomarkers of auditory function are more sensitive to these two pathologies than the traditional hearing test, and if any of these biomarkers differentiate between IHC damage and CS.</w:t>
      </w:r>
    </w:p>
    <w:p w14:paraId="5FD9F8B8" w14:textId="6E56B3D1" w:rsidR="00F64C6C" w:rsidRDefault="00F64C6C" w:rsidP="00F64C6C">
      <w:pPr>
        <w:spacing w:line="300" w:lineRule="exact"/>
        <w:jc w:val="both"/>
        <w:rPr>
          <w:rFonts w:ascii="Arial" w:hAnsi="Arial" w:cs="Arial"/>
        </w:rPr>
      </w:pPr>
      <w:r>
        <w:rPr>
          <w:rFonts w:ascii="Arial" w:hAnsi="Arial" w:cs="Arial"/>
        </w:rPr>
        <w:t xml:space="preserve">The primary goal of this study is to investigate biomarkers for two different inner ear pathologies typically hidden from standard hearing testing. I will use this dataset to answer the following questions: </w:t>
      </w:r>
    </w:p>
    <w:p w14:paraId="48279218" w14:textId="77777777" w:rsidR="00F64C6C" w:rsidRDefault="00F64C6C" w:rsidP="00F64C6C">
      <w:pPr>
        <w:pStyle w:val="ListParagraph"/>
        <w:numPr>
          <w:ilvl w:val="0"/>
          <w:numId w:val="2"/>
        </w:numPr>
        <w:spacing w:after="200" w:line="300" w:lineRule="exact"/>
        <w:jc w:val="both"/>
        <w:rPr>
          <w:rFonts w:ascii="Arial" w:hAnsi="Arial" w:cs="Arial"/>
        </w:rPr>
      </w:pPr>
      <w:r>
        <w:rPr>
          <w:rFonts w:ascii="Arial" w:hAnsi="Arial" w:cs="Arial"/>
        </w:rPr>
        <w:t>Are any of the biomarkers (ABR, EFR, MEMR, DPOAE) sensitive to inner hair cell damage or cochlear synaptopathy? i.e., are pre-exposure responses different from post-exposure responses?</w:t>
      </w:r>
    </w:p>
    <w:p w14:paraId="311C8819" w14:textId="77777777" w:rsidR="00F64C6C" w:rsidRDefault="00F64C6C" w:rsidP="00F64C6C">
      <w:pPr>
        <w:pStyle w:val="ListParagraph"/>
        <w:numPr>
          <w:ilvl w:val="0"/>
          <w:numId w:val="2"/>
        </w:numPr>
        <w:spacing w:after="200" w:line="300" w:lineRule="exact"/>
        <w:jc w:val="both"/>
        <w:rPr>
          <w:rFonts w:ascii="Arial" w:hAnsi="Arial" w:cs="Arial"/>
        </w:rPr>
      </w:pPr>
      <w:r>
        <w:rPr>
          <w:rFonts w:ascii="Arial" w:hAnsi="Arial" w:cs="Arial"/>
        </w:rPr>
        <w:t xml:space="preserve">Does IHC damage affect the biomarkers differently than CS? i.e., are post-exposure responses for the two groups different across any of the individual biomarkers? </w:t>
      </w:r>
    </w:p>
    <w:p w14:paraId="2E9DF7B5" w14:textId="77777777" w:rsidR="00F64C6C" w:rsidRPr="00756CD8" w:rsidRDefault="00F64C6C" w:rsidP="00F64C6C">
      <w:pPr>
        <w:pStyle w:val="ListParagraph"/>
        <w:numPr>
          <w:ilvl w:val="0"/>
          <w:numId w:val="2"/>
        </w:numPr>
        <w:spacing w:after="200" w:line="300" w:lineRule="exact"/>
        <w:jc w:val="both"/>
        <w:rPr>
          <w:rFonts w:ascii="Arial" w:hAnsi="Arial" w:cs="Arial"/>
        </w:rPr>
      </w:pPr>
      <w:r>
        <w:rPr>
          <w:rFonts w:ascii="Arial" w:hAnsi="Arial" w:cs="Arial"/>
        </w:rPr>
        <w:t xml:space="preserve">Can integration of results across biomarkers better differentiate the groups than a single biomarker alone? </w:t>
      </w:r>
    </w:p>
    <w:p w14:paraId="7D349F4F" w14:textId="0F3D4AE5" w:rsidR="00F64C6C" w:rsidRPr="006B469A" w:rsidRDefault="00F64C6C" w:rsidP="00F64C6C">
      <w:pPr>
        <w:spacing w:line="300" w:lineRule="exact"/>
        <w:jc w:val="both"/>
        <w:rPr>
          <w:rFonts w:ascii="Arial" w:hAnsi="Arial" w:cs="Arial"/>
          <w:b/>
          <w:bCs/>
          <w:lang w:eastAsia="zh-CN"/>
        </w:rPr>
      </w:pPr>
      <w:r>
        <w:rPr>
          <w:rFonts w:ascii="Arial" w:hAnsi="Arial" w:cs="Arial"/>
          <w:lang w:eastAsia="zh-CN"/>
        </w:rPr>
        <w:t xml:space="preserve">Following the above aims, I hypothesize that: </w:t>
      </w:r>
    </w:p>
    <w:p w14:paraId="66D0A19E" w14:textId="77777777" w:rsidR="00F64C6C" w:rsidRDefault="00F64C6C" w:rsidP="00F64C6C">
      <w:pPr>
        <w:pStyle w:val="ListParagraph"/>
        <w:numPr>
          <w:ilvl w:val="0"/>
          <w:numId w:val="3"/>
        </w:numPr>
        <w:spacing w:after="200" w:line="300" w:lineRule="exact"/>
        <w:jc w:val="both"/>
        <w:rPr>
          <w:rFonts w:ascii="Arial" w:hAnsi="Arial" w:cs="Arial"/>
        </w:rPr>
      </w:pPr>
      <w:r>
        <w:rPr>
          <w:rFonts w:ascii="Arial" w:hAnsi="Arial" w:cs="Arial"/>
        </w:rPr>
        <w:t xml:space="preserve">ABR and DPOAEs will not be different before and after exposure since they are primarily driven by outer hair cell function rather than inner hair cell function. EFR amplitudes and MEMR thresholds will both be significantly worse in the post-exposure condition compared to the pre-exposure condition. </w:t>
      </w:r>
    </w:p>
    <w:p w14:paraId="6CD5176B" w14:textId="77777777" w:rsidR="00F64C6C" w:rsidRDefault="00F64C6C" w:rsidP="00F64C6C">
      <w:pPr>
        <w:pStyle w:val="ListParagraph"/>
        <w:numPr>
          <w:ilvl w:val="0"/>
          <w:numId w:val="3"/>
        </w:numPr>
        <w:spacing w:after="200" w:line="300" w:lineRule="exact"/>
        <w:jc w:val="both"/>
        <w:rPr>
          <w:rFonts w:ascii="Arial" w:hAnsi="Arial" w:cs="Arial"/>
        </w:rPr>
      </w:pPr>
      <w:r>
        <w:rPr>
          <w:rFonts w:ascii="Arial" w:hAnsi="Arial" w:cs="Arial"/>
        </w:rPr>
        <w:t>While both CS and IHC dysfunction will both reduce EFR amplitudes, MEMR thresholds will be reduced more in the TTS group than the CA group.</w:t>
      </w:r>
    </w:p>
    <w:p w14:paraId="7328E76D" w14:textId="276C14E1" w:rsidR="00F64C6C" w:rsidRPr="00F64C6C" w:rsidRDefault="00F64C6C" w:rsidP="00F64C6C">
      <w:pPr>
        <w:pStyle w:val="ListParagraph"/>
        <w:numPr>
          <w:ilvl w:val="0"/>
          <w:numId w:val="3"/>
        </w:numPr>
        <w:spacing w:after="200" w:line="300" w:lineRule="exact"/>
        <w:jc w:val="both"/>
        <w:rPr>
          <w:rFonts w:ascii="Arial" w:hAnsi="Arial" w:cs="Arial"/>
        </w:rPr>
      </w:pPr>
      <w:r>
        <w:rPr>
          <w:rFonts w:ascii="Arial" w:hAnsi="Arial" w:cs="Arial"/>
        </w:rPr>
        <w:t xml:space="preserve">Integration across all biomarkers will differentiate between the CA and TTS exposure groups better than any individual metric. </w:t>
      </w:r>
    </w:p>
    <w:p w14:paraId="41DB3B1B" w14:textId="544A3577" w:rsidR="00F64C6C" w:rsidRPr="00F64C6C" w:rsidRDefault="00F64C6C">
      <w:pPr>
        <w:rPr>
          <w:b/>
          <w:bCs/>
        </w:rPr>
      </w:pPr>
      <w:r w:rsidRPr="00F64C6C">
        <w:rPr>
          <w:b/>
          <w:bCs/>
        </w:rPr>
        <w:t>Methods</w:t>
      </w:r>
    </w:p>
    <w:p w14:paraId="69786FF6" w14:textId="77777777" w:rsidR="00F64C6C" w:rsidRDefault="00F64C6C" w:rsidP="00F64C6C">
      <w:pPr>
        <w:spacing w:line="300" w:lineRule="exact"/>
        <w:ind w:firstLine="360"/>
        <w:jc w:val="both"/>
        <w:rPr>
          <w:rFonts w:ascii="Arial" w:hAnsi="Arial" w:cs="Arial"/>
        </w:rPr>
      </w:pPr>
      <w:r>
        <w:rPr>
          <w:rFonts w:ascii="Arial" w:hAnsi="Arial" w:cs="Arial"/>
        </w:rPr>
        <w:t xml:space="preserve">Chinchillas are a commonly used animal model of human hearing (Trevino et al., 2019). 16 chinchillas were randomly assigned to one of two exposure groups, maintaining an equal number of male and female chinchillas in each group. One group was </w:t>
      </w:r>
      <w:r w:rsidRPr="006C156A">
        <w:rPr>
          <w:rFonts w:ascii="Arial" w:hAnsi="Arial" w:cs="Arial"/>
        </w:rPr>
        <w:t>exposed to noise for 2 hours to induce cochlear synaptopathy</w:t>
      </w:r>
      <w:r>
        <w:rPr>
          <w:rFonts w:ascii="Arial" w:hAnsi="Arial" w:cs="Arial"/>
        </w:rPr>
        <w:t xml:space="preserve"> (Kujawa &amp; Liberman, 2009). This group is labeled TTS because the noise exposure causes a temporary threshold shift (TTS) that recovers after two weeks. The other group was </w:t>
      </w:r>
      <w:r w:rsidRPr="006C156A">
        <w:rPr>
          <w:rFonts w:ascii="Arial" w:hAnsi="Arial" w:cs="Arial"/>
        </w:rPr>
        <w:t xml:space="preserve">administered Carboplatin (CA) to induce mild (~15%) selective inner-hair-cell loss and significant stereocilia dysfunction </w:t>
      </w:r>
      <w:r w:rsidRPr="006C156A">
        <w:rPr>
          <w:rFonts w:ascii="Arial" w:hAnsi="Arial" w:cs="Arial"/>
        </w:rPr>
        <w:lastRenderedPageBreak/>
        <w:t>in the surviving inner hair cells</w:t>
      </w:r>
      <w:r>
        <w:rPr>
          <w:rFonts w:ascii="Arial" w:hAnsi="Arial" w:cs="Arial"/>
        </w:rPr>
        <w:t xml:space="preserve"> (</w:t>
      </w:r>
      <w:proofErr w:type="spellStart"/>
      <w:r>
        <w:rPr>
          <w:rFonts w:ascii="Arial" w:hAnsi="Arial" w:cs="Arial"/>
        </w:rPr>
        <w:t>Lobarinas</w:t>
      </w:r>
      <w:proofErr w:type="spellEnd"/>
      <w:r>
        <w:rPr>
          <w:rFonts w:ascii="Arial" w:hAnsi="Arial" w:cs="Arial"/>
        </w:rPr>
        <w:t xml:space="preserve"> et al., 2013)</w:t>
      </w:r>
      <w:r w:rsidRPr="006C156A">
        <w:rPr>
          <w:rFonts w:ascii="Arial" w:hAnsi="Arial" w:cs="Arial"/>
        </w:rPr>
        <w:t>.</w:t>
      </w:r>
      <w:r w:rsidRPr="005D6CCE">
        <w:rPr>
          <w:rFonts w:ascii="Arial" w:hAnsi="Arial" w:cs="Arial"/>
        </w:rPr>
        <w:t xml:space="preserve"> </w:t>
      </w:r>
      <w:r>
        <w:rPr>
          <w:rFonts w:ascii="Arial" w:hAnsi="Arial" w:cs="Arial"/>
        </w:rPr>
        <w:t xml:space="preserve">All data was collected at Purdue University as part of my thesis project. Both before and 2 weeks after the exposure, hearing was evaluated using 4 different biomarkers sensitive to at least CS: </w:t>
      </w:r>
    </w:p>
    <w:p w14:paraId="0DFCBCC2" w14:textId="38C7BAA9" w:rsidR="00F64C6C" w:rsidRPr="00F64C6C" w:rsidRDefault="00F64C6C">
      <w:pPr>
        <w:rPr>
          <w:i/>
          <w:iCs/>
        </w:rPr>
      </w:pPr>
      <w:r w:rsidRPr="00F64C6C">
        <w:rPr>
          <w:i/>
          <w:iCs/>
        </w:rPr>
        <w:t>Measures</w:t>
      </w:r>
    </w:p>
    <w:p w14:paraId="26DAC7C8" w14:textId="77777777" w:rsidR="00F64C6C" w:rsidRDefault="00F64C6C" w:rsidP="00F64C6C">
      <w:pPr>
        <w:pStyle w:val="ListParagraph"/>
        <w:numPr>
          <w:ilvl w:val="0"/>
          <w:numId w:val="1"/>
        </w:numPr>
        <w:spacing w:after="200" w:line="300" w:lineRule="exact"/>
        <w:jc w:val="both"/>
        <w:rPr>
          <w:rFonts w:ascii="Arial" w:hAnsi="Arial" w:cs="Arial"/>
        </w:rPr>
      </w:pPr>
      <w:r w:rsidRPr="005D6CCE">
        <w:rPr>
          <w:rFonts w:ascii="Arial" w:hAnsi="Arial" w:cs="Arial"/>
          <w:u w:val="single"/>
        </w:rPr>
        <w:t>Auditory Brainstem Response (ABR) Thresholds:</w:t>
      </w:r>
      <w:r>
        <w:rPr>
          <w:rFonts w:ascii="Arial" w:hAnsi="Arial" w:cs="Arial"/>
        </w:rPr>
        <w:t xml:space="preserve"> This is the gold standard for clinical assessment of hearing. Tone bursts at different frequencies elicit an electrical response which is measured from subdermal needle electrodes. The lowest sound level which elicits a repeatable response is deemed to be the hearing threshold. Thresholds were measured at 500, 1000, 2000, 4000, and 8000 Hz.</w:t>
      </w:r>
    </w:p>
    <w:p w14:paraId="322F079E" w14:textId="77777777" w:rsidR="00F64C6C" w:rsidRDefault="00F64C6C" w:rsidP="00F64C6C">
      <w:pPr>
        <w:pStyle w:val="ListParagraph"/>
        <w:numPr>
          <w:ilvl w:val="0"/>
          <w:numId w:val="1"/>
        </w:numPr>
        <w:spacing w:after="200" w:line="300" w:lineRule="exact"/>
        <w:jc w:val="both"/>
        <w:rPr>
          <w:rFonts w:ascii="Arial" w:hAnsi="Arial" w:cs="Arial"/>
        </w:rPr>
      </w:pPr>
      <w:r w:rsidRPr="005D6CCE">
        <w:rPr>
          <w:rFonts w:ascii="Arial" w:hAnsi="Arial" w:cs="Arial"/>
          <w:u w:val="single"/>
        </w:rPr>
        <w:t>Envelope Following Response (EFR):</w:t>
      </w:r>
      <w:r>
        <w:rPr>
          <w:rFonts w:ascii="Arial" w:hAnsi="Arial" w:cs="Arial"/>
        </w:rPr>
        <w:t xml:space="preserve"> the electrophysiological response to a rectangular amplitude modulated (RAM) tone was recorded. The EFR amplitude was calculated as the sum of the first four harmonics of the modulation frequency (</w:t>
      </w:r>
      <w:proofErr w:type="spellStart"/>
      <w:r>
        <w:rPr>
          <w:rFonts w:ascii="Arial" w:hAnsi="Arial" w:cs="Arial"/>
        </w:rPr>
        <w:t>Vasilkov</w:t>
      </w:r>
      <w:proofErr w:type="spellEnd"/>
      <w:r>
        <w:rPr>
          <w:rFonts w:ascii="Arial" w:hAnsi="Arial" w:cs="Arial"/>
        </w:rPr>
        <w:t xml:space="preserve"> et al, 2019). </w:t>
      </w:r>
    </w:p>
    <w:p w14:paraId="51440892" w14:textId="77777777" w:rsidR="00F64C6C" w:rsidRDefault="00F64C6C" w:rsidP="00F64C6C">
      <w:pPr>
        <w:pStyle w:val="ListParagraph"/>
        <w:numPr>
          <w:ilvl w:val="0"/>
          <w:numId w:val="1"/>
        </w:numPr>
        <w:spacing w:after="200" w:line="300" w:lineRule="exact"/>
        <w:jc w:val="both"/>
        <w:rPr>
          <w:rFonts w:ascii="Arial" w:hAnsi="Arial" w:cs="Arial"/>
        </w:rPr>
      </w:pPr>
      <w:r w:rsidRPr="005D6CCE">
        <w:rPr>
          <w:rFonts w:ascii="Arial" w:hAnsi="Arial" w:cs="Arial"/>
          <w:u w:val="single"/>
        </w:rPr>
        <w:t>Middle Ear Muscle Reflex (MEMR) Threshold:</w:t>
      </w:r>
      <w:r>
        <w:rPr>
          <w:rFonts w:ascii="Arial" w:hAnsi="Arial" w:cs="Arial"/>
        </w:rPr>
        <w:t xml:space="preserve"> The lowest noise level that elicited a contraction of the middle ear muscle was recorded (</w:t>
      </w:r>
      <w:proofErr w:type="spellStart"/>
      <w:r>
        <w:rPr>
          <w:rFonts w:ascii="Arial" w:hAnsi="Arial" w:cs="Arial"/>
        </w:rPr>
        <w:t>Mepani</w:t>
      </w:r>
      <w:proofErr w:type="spellEnd"/>
      <w:r>
        <w:rPr>
          <w:rFonts w:ascii="Arial" w:hAnsi="Arial" w:cs="Arial"/>
        </w:rPr>
        <w:t xml:space="preserve"> et al., 2020). </w:t>
      </w:r>
    </w:p>
    <w:p w14:paraId="3A09B084" w14:textId="77777777" w:rsidR="00F64C6C" w:rsidRPr="005D6CCE" w:rsidRDefault="00F64C6C" w:rsidP="00F64C6C">
      <w:pPr>
        <w:pStyle w:val="ListParagraph"/>
        <w:numPr>
          <w:ilvl w:val="0"/>
          <w:numId w:val="1"/>
        </w:numPr>
        <w:spacing w:after="200" w:line="300" w:lineRule="exact"/>
        <w:jc w:val="both"/>
        <w:rPr>
          <w:rFonts w:ascii="Arial" w:hAnsi="Arial" w:cs="Arial"/>
        </w:rPr>
      </w:pPr>
      <w:r w:rsidRPr="005D6CCE">
        <w:rPr>
          <w:rFonts w:ascii="Arial" w:hAnsi="Arial" w:cs="Arial"/>
          <w:u w:val="single"/>
        </w:rPr>
        <w:t xml:space="preserve">Distortion Product Otoacoustic Emissions (DPOAEs): </w:t>
      </w:r>
      <w:r>
        <w:rPr>
          <w:rFonts w:ascii="Arial" w:hAnsi="Arial" w:cs="Arial"/>
        </w:rPr>
        <w:t>DPOAEs</w:t>
      </w:r>
      <w:r w:rsidRPr="00B44CAA">
        <w:rPr>
          <w:rFonts w:ascii="Arial" w:hAnsi="Arial" w:cs="Arial"/>
        </w:rPr>
        <w:t xml:space="preserve"> were measured from 500-16000 Hz and reported as the weighted average at 9 discrete half-octave frequency bands from 750-12000 Hz</w:t>
      </w:r>
      <w:r>
        <w:rPr>
          <w:rFonts w:ascii="Arial" w:hAnsi="Arial" w:cs="Arial"/>
        </w:rPr>
        <w:t xml:space="preserve"> (Abdala et al, 2018)</w:t>
      </w:r>
      <w:r w:rsidRPr="00B44CAA">
        <w:rPr>
          <w:rFonts w:ascii="Arial" w:hAnsi="Arial" w:cs="Arial"/>
        </w:rPr>
        <w:t xml:space="preserve">. </w:t>
      </w:r>
    </w:p>
    <w:p w14:paraId="71F33066" w14:textId="77777777" w:rsidR="00F64C6C" w:rsidRDefault="00F64C6C"/>
    <w:p w14:paraId="4A378410" w14:textId="3EB874E3" w:rsidR="00F64C6C" w:rsidRDefault="00F64C6C">
      <w:pPr>
        <w:rPr>
          <w:b/>
          <w:bCs/>
        </w:rPr>
      </w:pPr>
      <w:r w:rsidRPr="00F64C6C">
        <w:rPr>
          <w:b/>
          <w:bCs/>
        </w:rPr>
        <w:t>Results</w:t>
      </w:r>
    </w:p>
    <w:p w14:paraId="6EFD2704" w14:textId="3E230019" w:rsidR="00F64C6C" w:rsidRDefault="00F64C6C" w:rsidP="00F64C6C">
      <w:pPr>
        <w:rPr>
          <w:b/>
          <w:bCs/>
        </w:rPr>
      </w:pPr>
      <w:r>
        <w:rPr>
          <w:b/>
          <w:bCs/>
        </w:rPr>
        <w:t>Effect of Exposure</w:t>
      </w:r>
    </w:p>
    <w:p w14:paraId="05FD9606" w14:textId="7E078728" w:rsidR="00F64C6C" w:rsidRDefault="00F64C6C" w:rsidP="00F64C6C">
      <w:pPr>
        <w:rPr>
          <w:b/>
          <w:bCs/>
        </w:rPr>
      </w:pPr>
      <w:r>
        <w:rPr>
          <w:b/>
          <w:bCs/>
        </w:rPr>
        <w:t xml:space="preserve">Can CA and TTS be differentiated? </w:t>
      </w:r>
    </w:p>
    <w:p w14:paraId="00626B83" w14:textId="0F8854EC" w:rsidR="00F64C6C" w:rsidRDefault="00F64C6C" w:rsidP="00F64C6C">
      <w:pPr>
        <w:rPr>
          <w:b/>
          <w:bCs/>
        </w:rPr>
      </w:pPr>
      <w:r>
        <w:rPr>
          <w:b/>
          <w:bCs/>
        </w:rPr>
        <w:t>Biomarker Integration</w:t>
      </w:r>
    </w:p>
    <w:p w14:paraId="0B80D211" w14:textId="77777777" w:rsidR="00F64C6C" w:rsidRPr="00F64C6C" w:rsidRDefault="00F64C6C" w:rsidP="00F64C6C">
      <w:pPr>
        <w:rPr>
          <w:b/>
          <w:bCs/>
        </w:rPr>
      </w:pPr>
    </w:p>
    <w:p w14:paraId="68DD9841" w14:textId="77777777" w:rsidR="00F64C6C" w:rsidRDefault="00F64C6C"/>
    <w:p w14:paraId="28F64D01" w14:textId="26DA2768" w:rsidR="00F64C6C" w:rsidRDefault="00F64C6C">
      <w:r>
        <w:t>Conclusions</w:t>
      </w:r>
    </w:p>
    <w:p w14:paraId="0AD5D88E" w14:textId="77777777" w:rsidR="00F64C6C" w:rsidRDefault="00F64C6C"/>
    <w:p w14:paraId="610C950A" w14:textId="77777777" w:rsidR="00F64C6C" w:rsidRPr="00DA49E0" w:rsidRDefault="00F64C6C" w:rsidP="00F64C6C">
      <w:pPr>
        <w:spacing w:line="300" w:lineRule="exact"/>
        <w:jc w:val="both"/>
        <w:rPr>
          <w:rFonts w:ascii="Arial" w:eastAsia="Times New Roman" w:hAnsi="Arial" w:cs="Arial"/>
          <w:color w:val="222222"/>
          <w:shd w:val="clear" w:color="auto" w:fill="FFFFFF"/>
        </w:rPr>
      </w:pPr>
      <w:r w:rsidRPr="00C544B3">
        <w:rPr>
          <w:rFonts w:ascii="Arial" w:hAnsi="Arial" w:cs="Arial" w:hint="eastAsia"/>
          <w:b/>
          <w:bCs/>
          <w:lang w:eastAsia="zh-CN"/>
        </w:rPr>
        <w:t>R</w:t>
      </w:r>
      <w:r w:rsidRPr="00C544B3">
        <w:rPr>
          <w:rFonts w:ascii="Arial" w:hAnsi="Arial" w:cs="Arial"/>
          <w:b/>
          <w:bCs/>
          <w:lang w:eastAsia="zh-CN"/>
        </w:rPr>
        <w:t>eferences</w:t>
      </w:r>
    </w:p>
    <w:p w14:paraId="3ABE973F" w14:textId="77777777" w:rsidR="00F64C6C" w:rsidRDefault="00F64C6C" w:rsidP="00F64C6C">
      <w:pPr>
        <w:spacing w:line="300" w:lineRule="exact"/>
        <w:ind w:left="418" w:hanging="418"/>
        <w:jc w:val="both"/>
        <w:rPr>
          <w:rFonts w:ascii="Arial" w:hAnsi="Arial" w:cs="Arial"/>
          <w:lang w:eastAsia="zh-CN"/>
        </w:rPr>
      </w:pPr>
      <w:r w:rsidRPr="00DA49E0">
        <w:rPr>
          <w:rFonts w:ascii="Arial" w:hAnsi="Arial" w:cs="Arial"/>
          <w:lang w:eastAsia="zh-CN"/>
        </w:rPr>
        <w:t xml:space="preserve">Abdala, C., Guardia, Y. C., &amp; Shera, C. A. (2018). Swept-tone stimulus-frequency otoacoustic emissions: Normative data and methodological considerations. </w:t>
      </w:r>
      <w:r w:rsidRPr="00DA49E0">
        <w:rPr>
          <w:rFonts w:ascii="Arial" w:hAnsi="Arial" w:cs="Arial"/>
          <w:i/>
          <w:iCs/>
          <w:lang w:eastAsia="zh-CN"/>
        </w:rPr>
        <w:t>The Journal of the Acoustical Society of America</w:t>
      </w:r>
      <w:r w:rsidRPr="00DA49E0">
        <w:rPr>
          <w:rFonts w:ascii="Arial" w:hAnsi="Arial" w:cs="Arial"/>
          <w:lang w:eastAsia="zh-CN"/>
        </w:rPr>
        <w:t xml:space="preserve">, </w:t>
      </w:r>
      <w:r w:rsidRPr="00DA49E0">
        <w:rPr>
          <w:rFonts w:ascii="Arial" w:hAnsi="Arial" w:cs="Arial"/>
          <w:i/>
          <w:iCs/>
          <w:lang w:eastAsia="zh-CN"/>
        </w:rPr>
        <w:t>143</w:t>
      </w:r>
      <w:r w:rsidRPr="00DA49E0">
        <w:rPr>
          <w:rFonts w:ascii="Arial" w:hAnsi="Arial" w:cs="Arial"/>
          <w:lang w:eastAsia="zh-CN"/>
        </w:rPr>
        <w:t xml:space="preserve">(1), 181–192. </w:t>
      </w:r>
      <w:hyperlink r:id="rId7" w:history="1">
        <w:r w:rsidRPr="00DA49E0">
          <w:rPr>
            <w:rStyle w:val="Hyperlink"/>
            <w:rFonts w:ascii="Arial" w:hAnsi="Arial" w:cs="Arial"/>
            <w:lang w:eastAsia="zh-CN"/>
          </w:rPr>
          <w:t>https://doi.org/10.1121/1.5020275</w:t>
        </w:r>
      </w:hyperlink>
    </w:p>
    <w:p w14:paraId="3CBD13F8" w14:textId="77777777" w:rsidR="00F64C6C" w:rsidRPr="009A5723" w:rsidRDefault="00F64C6C" w:rsidP="00F64C6C">
      <w:pPr>
        <w:spacing w:line="300" w:lineRule="exact"/>
        <w:ind w:left="418" w:hanging="418"/>
        <w:jc w:val="both"/>
        <w:rPr>
          <w:rFonts w:ascii="Arial" w:hAnsi="Arial" w:cs="Arial"/>
          <w:lang w:eastAsia="zh-CN"/>
        </w:rPr>
      </w:pPr>
      <w:r w:rsidRPr="009A5723">
        <w:rPr>
          <w:rFonts w:ascii="Arial" w:hAnsi="Arial" w:cs="Arial"/>
          <w:lang w:eastAsia="zh-CN"/>
        </w:rPr>
        <w:t xml:space="preserve">Kujawa, S. G., &amp; Liberman, M. C. (2009). Adding Insult to Injury: Cochlear Nerve Degeneration after “Temporary” Noise-Induced Hearing Loss. Journal of </w:t>
      </w:r>
      <w:r w:rsidRPr="009A5723">
        <w:rPr>
          <w:rFonts w:ascii="Arial" w:hAnsi="Arial" w:cs="Arial"/>
          <w:lang w:eastAsia="zh-CN"/>
        </w:rPr>
        <w:lastRenderedPageBreak/>
        <w:t>Neuroscience, 29(45), 14077–14085. https://doi.org/10.1523/JNEUROSCI.2845-09.2009</w:t>
      </w:r>
    </w:p>
    <w:p w14:paraId="3CB3E0E5" w14:textId="77777777" w:rsidR="00F64C6C" w:rsidRPr="009A5723" w:rsidRDefault="00F64C6C" w:rsidP="00F64C6C">
      <w:pPr>
        <w:spacing w:line="300" w:lineRule="exact"/>
        <w:ind w:left="418" w:hanging="418"/>
        <w:jc w:val="both"/>
        <w:rPr>
          <w:rFonts w:ascii="Arial" w:hAnsi="Arial" w:cs="Arial"/>
          <w:lang w:eastAsia="zh-CN"/>
        </w:rPr>
      </w:pPr>
      <w:proofErr w:type="spellStart"/>
      <w:r w:rsidRPr="009A5723">
        <w:rPr>
          <w:rFonts w:ascii="Arial" w:hAnsi="Arial" w:cs="Arial"/>
          <w:lang w:eastAsia="zh-CN"/>
        </w:rPr>
        <w:t>Lobarinas</w:t>
      </w:r>
      <w:proofErr w:type="spellEnd"/>
      <w:r w:rsidRPr="009A5723">
        <w:rPr>
          <w:rFonts w:ascii="Arial" w:hAnsi="Arial" w:cs="Arial"/>
          <w:lang w:eastAsia="zh-CN"/>
        </w:rPr>
        <w:t xml:space="preserve">, E., Salvi, R., &amp; Ding, D. (2013). Insensitivity of the audiogram to carboplatin induced inner hair cell loss in chinchillas. </w:t>
      </w:r>
      <w:r w:rsidRPr="009A5723">
        <w:rPr>
          <w:rFonts w:ascii="Arial" w:hAnsi="Arial" w:cs="Arial"/>
          <w:i/>
          <w:iCs/>
          <w:lang w:eastAsia="zh-CN"/>
        </w:rPr>
        <w:t>Hearing Research</w:t>
      </w:r>
      <w:r w:rsidRPr="009A5723">
        <w:rPr>
          <w:rFonts w:ascii="Arial" w:hAnsi="Arial" w:cs="Arial"/>
          <w:lang w:eastAsia="zh-CN"/>
        </w:rPr>
        <w:t xml:space="preserve">, </w:t>
      </w:r>
      <w:r w:rsidRPr="009A5723">
        <w:rPr>
          <w:rFonts w:ascii="Arial" w:hAnsi="Arial" w:cs="Arial"/>
          <w:i/>
          <w:iCs/>
          <w:lang w:eastAsia="zh-CN"/>
        </w:rPr>
        <w:t>302</w:t>
      </w:r>
      <w:r w:rsidRPr="009A5723">
        <w:rPr>
          <w:rFonts w:ascii="Arial" w:hAnsi="Arial" w:cs="Arial"/>
          <w:lang w:eastAsia="zh-CN"/>
        </w:rPr>
        <w:t xml:space="preserve">, 113–120. </w:t>
      </w:r>
      <w:hyperlink r:id="rId8" w:history="1">
        <w:r w:rsidRPr="009A5723">
          <w:rPr>
            <w:rStyle w:val="Hyperlink"/>
            <w:rFonts w:ascii="Arial" w:hAnsi="Arial" w:cs="Arial"/>
            <w:color w:val="auto"/>
            <w:lang w:eastAsia="zh-CN"/>
          </w:rPr>
          <w:t>https://doi.org/10.1016/j.heares.2013.03.012</w:t>
        </w:r>
      </w:hyperlink>
    </w:p>
    <w:p w14:paraId="5BC775D3" w14:textId="77777777" w:rsidR="00F64C6C" w:rsidRPr="009A5723" w:rsidRDefault="00F64C6C" w:rsidP="00F64C6C">
      <w:pPr>
        <w:spacing w:line="300" w:lineRule="exact"/>
        <w:ind w:left="418" w:hanging="418"/>
        <w:jc w:val="both"/>
        <w:rPr>
          <w:rFonts w:ascii="Arial" w:hAnsi="Arial" w:cs="Arial"/>
          <w:lang w:eastAsia="zh-CN"/>
        </w:rPr>
      </w:pPr>
      <w:proofErr w:type="spellStart"/>
      <w:r w:rsidRPr="009A5723">
        <w:rPr>
          <w:rFonts w:ascii="Arial" w:hAnsi="Arial" w:cs="Arial"/>
          <w:lang w:eastAsia="zh-CN"/>
        </w:rPr>
        <w:t>Mepani</w:t>
      </w:r>
      <w:proofErr w:type="spellEnd"/>
      <w:r w:rsidRPr="009A5723">
        <w:rPr>
          <w:rFonts w:ascii="Arial" w:hAnsi="Arial" w:cs="Arial"/>
          <w:lang w:eastAsia="zh-CN"/>
        </w:rPr>
        <w:t xml:space="preserve">, A. M., Kirk, S. A., Hancock, K. E., Bennett, K., de </w:t>
      </w:r>
      <w:proofErr w:type="spellStart"/>
      <w:r w:rsidRPr="009A5723">
        <w:rPr>
          <w:rFonts w:ascii="Arial" w:hAnsi="Arial" w:cs="Arial"/>
          <w:lang w:eastAsia="zh-CN"/>
        </w:rPr>
        <w:t>Gruttola</w:t>
      </w:r>
      <w:proofErr w:type="spellEnd"/>
      <w:r w:rsidRPr="009A5723">
        <w:rPr>
          <w:rFonts w:ascii="Arial" w:hAnsi="Arial" w:cs="Arial"/>
          <w:lang w:eastAsia="zh-CN"/>
        </w:rPr>
        <w:t xml:space="preserve">, V., Liberman, M. C., &amp; Maison, S. F. (2020). Middle Ear Muscle Reflex and Word Recognition in “Normal-Hearing” Adults: Evidence for Cochlear Synaptopathy? </w:t>
      </w:r>
      <w:r w:rsidRPr="009A5723">
        <w:rPr>
          <w:rFonts w:ascii="Arial" w:hAnsi="Arial" w:cs="Arial"/>
          <w:i/>
          <w:iCs/>
          <w:lang w:eastAsia="zh-CN"/>
        </w:rPr>
        <w:t>Ear and Hearing</w:t>
      </w:r>
      <w:r w:rsidRPr="009A5723">
        <w:rPr>
          <w:rFonts w:ascii="Arial" w:hAnsi="Arial" w:cs="Arial"/>
          <w:lang w:eastAsia="zh-CN"/>
        </w:rPr>
        <w:t xml:space="preserve">, </w:t>
      </w:r>
      <w:r w:rsidRPr="009A5723">
        <w:rPr>
          <w:rFonts w:ascii="Arial" w:hAnsi="Arial" w:cs="Arial"/>
          <w:i/>
          <w:iCs/>
          <w:lang w:eastAsia="zh-CN"/>
        </w:rPr>
        <w:t>41</w:t>
      </w:r>
      <w:r w:rsidRPr="009A5723">
        <w:rPr>
          <w:rFonts w:ascii="Arial" w:hAnsi="Arial" w:cs="Arial"/>
          <w:lang w:eastAsia="zh-CN"/>
        </w:rPr>
        <w:t xml:space="preserve">(1), 25–38. </w:t>
      </w:r>
      <w:hyperlink r:id="rId9" w:history="1">
        <w:r w:rsidRPr="009A5723">
          <w:rPr>
            <w:rStyle w:val="Hyperlink"/>
            <w:rFonts w:ascii="Arial" w:hAnsi="Arial" w:cs="Arial"/>
            <w:color w:val="auto"/>
            <w:lang w:eastAsia="zh-CN"/>
          </w:rPr>
          <w:t>https://doi.org/10.1097/AUD.0000000000000804</w:t>
        </w:r>
      </w:hyperlink>
    </w:p>
    <w:p w14:paraId="0E00082E" w14:textId="77777777" w:rsidR="00F64C6C" w:rsidRPr="009A5723" w:rsidRDefault="00F64C6C" w:rsidP="00F64C6C">
      <w:pPr>
        <w:spacing w:line="300" w:lineRule="exact"/>
        <w:ind w:left="418" w:hanging="418"/>
        <w:jc w:val="both"/>
        <w:rPr>
          <w:rFonts w:ascii="Arial" w:hAnsi="Arial" w:cs="Arial"/>
          <w:lang w:eastAsia="zh-CN"/>
        </w:rPr>
      </w:pPr>
      <w:r w:rsidRPr="009A5723">
        <w:rPr>
          <w:rFonts w:ascii="Arial" w:hAnsi="Arial" w:cs="Arial"/>
          <w:lang w:eastAsia="zh-CN"/>
        </w:rPr>
        <w:t xml:space="preserve">Trevino, M., </w:t>
      </w:r>
      <w:proofErr w:type="spellStart"/>
      <w:r w:rsidRPr="009A5723">
        <w:rPr>
          <w:rFonts w:ascii="Arial" w:hAnsi="Arial" w:cs="Arial"/>
          <w:lang w:eastAsia="zh-CN"/>
        </w:rPr>
        <w:t>Lobarinas</w:t>
      </w:r>
      <w:proofErr w:type="spellEnd"/>
      <w:r w:rsidRPr="009A5723">
        <w:rPr>
          <w:rFonts w:ascii="Arial" w:hAnsi="Arial" w:cs="Arial"/>
          <w:lang w:eastAsia="zh-CN"/>
        </w:rPr>
        <w:t xml:space="preserve">, E., Maulden, A. C., &amp; Heinz, M. G. (2019). The chinchilla animal model for hearing science and noise-induced hearing loss. </w:t>
      </w:r>
      <w:r w:rsidRPr="009A5723">
        <w:rPr>
          <w:rFonts w:ascii="Arial" w:hAnsi="Arial" w:cs="Arial"/>
          <w:i/>
          <w:iCs/>
          <w:lang w:eastAsia="zh-CN"/>
        </w:rPr>
        <w:t>The Journal of the Acoustical Society of America</w:t>
      </w:r>
      <w:r w:rsidRPr="009A5723">
        <w:rPr>
          <w:rFonts w:ascii="Arial" w:hAnsi="Arial" w:cs="Arial"/>
          <w:lang w:eastAsia="zh-CN"/>
        </w:rPr>
        <w:t xml:space="preserve">, </w:t>
      </w:r>
      <w:r w:rsidRPr="009A5723">
        <w:rPr>
          <w:rFonts w:ascii="Arial" w:hAnsi="Arial" w:cs="Arial"/>
          <w:i/>
          <w:iCs/>
          <w:lang w:eastAsia="zh-CN"/>
        </w:rPr>
        <w:t>146</w:t>
      </w:r>
      <w:r w:rsidRPr="009A5723">
        <w:rPr>
          <w:rFonts w:ascii="Arial" w:hAnsi="Arial" w:cs="Arial"/>
          <w:lang w:eastAsia="zh-CN"/>
        </w:rPr>
        <w:t xml:space="preserve">(5), 3710–3732. </w:t>
      </w:r>
      <w:hyperlink r:id="rId10" w:history="1">
        <w:r w:rsidRPr="009A5723">
          <w:rPr>
            <w:rStyle w:val="Hyperlink"/>
            <w:rFonts w:ascii="Arial" w:hAnsi="Arial" w:cs="Arial"/>
            <w:color w:val="auto"/>
            <w:lang w:eastAsia="zh-CN"/>
          </w:rPr>
          <w:t>https://doi.org/10.1121/1.5132950</w:t>
        </w:r>
      </w:hyperlink>
    </w:p>
    <w:p w14:paraId="32468F19" w14:textId="77777777" w:rsidR="00F64C6C" w:rsidRPr="009A5723" w:rsidRDefault="00F64C6C" w:rsidP="00F64C6C">
      <w:pPr>
        <w:spacing w:line="300" w:lineRule="exact"/>
        <w:ind w:left="418" w:hanging="418"/>
        <w:jc w:val="both"/>
        <w:rPr>
          <w:rFonts w:ascii="Arial" w:hAnsi="Arial" w:cs="Arial"/>
          <w:lang w:eastAsia="zh-CN"/>
        </w:rPr>
      </w:pPr>
      <w:proofErr w:type="spellStart"/>
      <w:r w:rsidRPr="009A5723">
        <w:rPr>
          <w:rFonts w:ascii="Arial" w:hAnsi="Arial" w:cs="Arial"/>
          <w:lang w:eastAsia="zh-CN"/>
        </w:rPr>
        <w:t>Vasilkov</w:t>
      </w:r>
      <w:proofErr w:type="spellEnd"/>
      <w:r w:rsidRPr="009A5723">
        <w:rPr>
          <w:rFonts w:ascii="Arial" w:hAnsi="Arial" w:cs="Arial"/>
          <w:lang w:eastAsia="zh-CN"/>
        </w:rPr>
        <w:t xml:space="preserve">, V., Garrett, M., Mauermann, M., &amp; Verhulst, S. (2021). Enhancing the sensitivity of the envelope-following response for cochlear synaptopathy screening in humans: The role of stimulus envelope. </w:t>
      </w:r>
      <w:r w:rsidRPr="009A5723">
        <w:rPr>
          <w:rFonts w:ascii="Arial" w:hAnsi="Arial" w:cs="Arial"/>
          <w:i/>
          <w:iCs/>
          <w:lang w:eastAsia="zh-CN"/>
        </w:rPr>
        <w:t>Hearing Research</w:t>
      </w:r>
      <w:r w:rsidRPr="009A5723">
        <w:rPr>
          <w:rFonts w:ascii="Arial" w:hAnsi="Arial" w:cs="Arial"/>
          <w:lang w:eastAsia="zh-CN"/>
        </w:rPr>
        <w:t xml:space="preserve">, </w:t>
      </w:r>
      <w:r w:rsidRPr="009A5723">
        <w:rPr>
          <w:rFonts w:ascii="Arial" w:hAnsi="Arial" w:cs="Arial"/>
          <w:i/>
          <w:iCs/>
          <w:lang w:eastAsia="zh-CN"/>
        </w:rPr>
        <w:t>400</w:t>
      </w:r>
      <w:r w:rsidRPr="009A5723">
        <w:rPr>
          <w:rFonts w:ascii="Arial" w:hAnsi="Arial" w:cs="Arial"/>
          <w:lang w:eastAsia="zh-CN"/>
        </w:rPr>
        <w:t xml:space="preserve">, 108132. </w:t>
      </w:r>
      <w:hyperlink r:id="rId11" w:history="1">
        <w:r w:rsidRPr="009A5723">
          <w:rPr>
            <w:rStyle w:val="Hyperlink"/>
            <w:rFonts w:ascii="Arial" w:hAnsi="Arial" w:cs="Arial"/>
            <w:color w:val="auto"/>
            <w:lang w:eastAsia="zh-CN"/>
          </w:rPr>
          <w:t>https://doi.org/10.1016/j.heares.2020.108132</w:t>
        </w:r>
      </w:hyperlink>
    </w:p>
    <w:p w14:paraId="0AF12B08" w14:textId="77777777" w:rsidR="00F64C6C" w:rsidRDefault="00F64C6C"/>
    <w:sectPr w:rsidR="00F64C6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6932C8" w14:textId="77777777" w:rsidR="005E3437" w:rsidRDefault="005E3437" w:rsidP="00F64C6C">
      <w:pPr>
        <w:spacing w:after="0" w:line="240" w:lineRule="auto"/>
      </w:pPr>
      <w:r>
        <w:separator/>
      </w:r>
    </w:p>
  </w:endnote>
  <w:endnote w:type="continuationSeparator" w:id="0">
    <w:p w14:paraId="174C82AB" w14:textId="77777777" w:rsidR="005E3437" w:rsidRDefault="005E3437" w:rsidP="00F64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DB58FF" w14:textId="77777777" w:rsidR="005E3437" w:rsidRDefault="005E3437" w:rsidP="00F64C6C">
      <w:pPr>
        <w:spacing w:after="0" w:line="240" w:lineRule="auto"/>
      </w:pPr>
      <w:r>
        <w:separator/>
      </w:r>
    </w:p>
  </w:footnote>
  <w:footnote w:type="continuationSeparator" w:id="0">
    <w:p w14:paraId="37D42FA1" w14:textId="77777777" w:rsidR="005E3437" w:rsidRDefault="005E3437" w:rsidP="00F64C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DAF36" w14:textId="77777777" w:rsidR="00F64C6C" w:rsidRPr="00F64C6C" w:rsidRDefault="00F64C6C" w:rsidP="00F64C6C">
    <w:pPr>
      <w:pStyle w:val="Header"/>
      <w:rPr>
        <w:sz w:val="20"/>
        <w:szCs w:val="20"/>
        <w:u w:val="single"/>
      </w:rPr>
    </w:pPr>
    <w:r w:rsidRPr="00F64C6C">
      <w:rPr>
        <w:sz w:val="20"/>
        <w:szCs w:val="20"/>
        <w:u w:val="single"/>
      </w:rPr>
      <w:t xml:space="preserve">Detecting and Disambiguating “Hidden” Cochlear Pathologies </w:t>
    </w:r>
    <w:r w:rsidRPr="00F64C6C">
      <w:rPr>
        <w:sz w:val="20"/>
        <w:szCs w:val="20"/>
        <w:u w:val="single"/>
      </w:rPr>
      <w:tab/>
      <w:t>Samantha Hauser</w:t>
    </w:r>
  </w:p>
  <w:p w14:paraId="36374883" w14:textId="77777777" w:rsidR="00F64C6C" w:rsidRDefault="00F64C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6F406F"/>
    <w:multiLevelType w:val="hybridMultilevel"/>
    <w:tmpl w:val="FFBEC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C47513"/>
    <w:multiLevelType w:val="hybridMultilevel"/>
    <w:tmpl w:val="FFBECB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BD36957"/>
    <w:multiLevelType w:val="hybridMultilevel"/>
    <w:tmpl w:val="83886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2687458">
    <w:abstractNumId w:val="2"/>
  </w:num>
  <w:num w:numId="2" w16cid:durableId="1439253591">
    <w:abstractNumId w:val="0"/>
  </w:num>
  <w:num w:numId="3" w16cid:durableId="589855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C6C"/>
    <w:rsid w:val="005E3437"/>
    <w:rsid w:val="00D265FF"/>
    <w:rsid w:val="00D50756"/>
    <w:rsid w:val="00E67C70"/>
    <w:rsid w:val="00F64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F980D"/>
  <w15:chartTrackingRefBased/>
  <w15:docId w15:val="{5F305668-AA44-4402-A98C-64BAB0F6C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C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4C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4C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4C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4C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4C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4C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4C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4C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C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4C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4C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4C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4C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4C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4C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4C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4C6C"/>
    <w:rPr>
      <w:rFonts w:eastAsiaTheme="majorEastAsia" w:cstheme="majorBidi"/>
      <w:color w:val="272727" w:themeColor="text1" w:themeTint="D8"/>
    </w:rPr>
  </w:style>
  <w:style w:type="paragraph" w:styleId="Title">
    <w:name w:val="Title"/>
    <w:basedOn w:val="Normal"/>
    <w:next w:val="Normal"/>
    <w:link w:val="TitleChar"/>
    <w:uiPriority w:val="10"/>
    <w:qFormat/>
    <w:rsid w:val="00F64C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C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4C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4C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4C6C"/>
    <w:pPr>
      <w:spacing w:before="160"/>
      <w:jc w:val="center"/>
    </w:pPr>
    <w:rPr>
      <w:i/>
      <w:iCs/>
      <w:color w:val="404040" w:themeColor="text1" w:themeTint="BF"/>
    </w:rPr>
  </w:style>
  <w:style w:type="character" w:customStyle="1" w:styleId="QuoteChar">
    <w:name w:val="Quote Char"/>
    <w:basedOn w:val="DefaultParagraphFont"/>
    <w:link w:val="Quote"/>
    <w:uiPriority w:val="29"/>
    <w:rsid w:val="00F64C6C"/>
    <w:rPr>
      <w:i/>
      <w:iCs/>
      <w:color w:val="404040" w:themeColor="text1" w:themeTint="BF"/>
    </w:rPr>
  </w:style>
  <w:style w:type="paragraph" w:styleId="ListParagraph">
    <w:name w:val="List Paragraph"/>
    <w:basedOn w:val="Normal"/>
    <w:uiPriority w:val="34"/>
    <w:qFormat/>
    <w:rsid w:val="00F64C6C"/>
    <w:pPr>
      <w:ind w:left="720"/>
      <w:contextualSpacing/>
    </w:pPr>
  </w:style>
  <w:style w:type="character" w:styleId="IntenseEmphasis">
    <w:name w:val="Intense Emphasis"/>
    <w:basedOn w:val="DefaultParagraphFont"/>
    <w:uiPriority w:val="21"/>
    <w:qFormat/>
    <w:rsid w:val="00F64C6C"/>
    <w:rPr>
      <w:i/>
      <w:iCs/>
      <w:color w:val="0F4761" w:themeColor="accent1" w:themeShade="BF"/>
    </w:rPr>
  </w:style>
  <w:style w:type="paragraph" w:styleId="IntenseQuote">
    <w:name w:val="Intense Quote"/>
    <w:basedOn w:val="Normal"/>
    <w:next w:val="Normal"/>
    <w:link w:val="IntenseQuoteChar"/>
    <w:uiPriority w:val="30"/>
    <w:qFormat/>
    <w:rsid w:val="00F64C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4C6C"/>
    <w:rPr>
      <w:i/>
      <w:iCs/>
      <w:color w:val="0F4761" w:themeColor="accent1" w:themeShade="BF"/>
    </w:rPr>
  </w:style>
  <w:style w:type="character" w:styleId="IntenseReference">
    <w:name w:val="Intense Reference"/>
    <w:basedOn w:val="DefaultParagraphFont"/>
    <w:uiPriority w:val="32"/>
    <w:qFormat/>
    <w:rsid w:val="00F64C6C"/>
    <w:rPr>
      <w:b/>
      <w:bCs/>
      <w:smallCaps/>
      <w:color w:val="0F4761" w:themeColor="accent1" w:themeShade="BF"/>
      <w:spacing w:val="5"/>
    </w:rPr>
  </w:style>
  <w:style w:type="paragraph" w:styleId="Header">
    <w:name w:val="header"/>
    <w:basedOn w:val="Normal"/>
    <w:link w:val="HeaderChar"/>
    <w:uiPriority w:val="99"/>
    <w:unhideWhenUsed/>
    <w:rsid w:val="00F64C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C6C"/>
  </w:style>
  <w:style w:type="paragraph" w:styleId="Footer">
    <w:name w:val="footer"/>
    <w:basedOn w:val="Normal"/>
    <w:link w:val="FooterChar"/>
    <w:uiPriority w:val="99"/>
    <w:unhideWhenUsed/>
    <w:rsid w:val="00F64C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C6C"/>
  </w:style>
  <w:style w:type="character" w:styleId="Hyperlink">
    <w:name w:val="Hyperlink"/>
    <w:basedOn w:val="DefaultParagraphFont"/>
    <w:uiPriority w:val="99"/>
    <w:unhideWhenUsed/>
    <w:rsid w:val="00F64C6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heares.2013.03.01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21/1.5020275"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heares.2020.108132" TargetMode="External"/><Relationship Id="rId5" Type="http://schemas.openxmlformats.org/officeDocument/2006/relationships/footnotes" Target="footnotes.xml"/><Relationship Id="rId10" Type="http://schemas.openxmlformats.org/officeDocument/2006/relationships/hyperlink" Target="https://doi.org/10.1121/1.5132950" TargetMode="External"/><Relationship Id="rId4" Type="http://schemas.openxmlformats.org/officeDocument/2006/relationships/webSettings" Target="webSettings.xml"/><Relationship Id="rId9" Type="http://schemas.openxmlformats.org/officeDocument/2006/relationships/hyperlink" Target="https://doi.org/10.1097/AUD.000000000000080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Hauser</dc:creator>
  <cp:keywords/>
  <dc:description/>
  <cp:lastModifiedBy>Samantha Hauser</cp:lastModifiedBy>
  <cp:revision>1</cp:revision>
  <dcterms:created xsi:type="dcterms:W3CDTF">2024-11-18T03:36:00Z</dcterms:created>
  <dcterms:modified xsi:type="dcterms:W3CDTF">2024-11-18T03:52:00Z</dcterms:modified>
</cp:coreProperties>
</file>