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8339C" w14:textId="160BD996" w:rsidR="00432B94" w:rsidRDefault="0018273F" w:rsidP="0018273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Historians sometimes forget that history is continually being made and experienced before it is studied, interpreted, and read. These latter activities have their own history, of course, which may impinge in unexpected ways on public events. It is difficult to predict when </w:t>
      </w:r>
      <w:r>
        <w:rPr>
          <w:rFonts w:ascii="Trebuchet MS" w:hAnsi="Trebuchet MS"/>
          <w:color w:val="2A2A2A"/>
          <w:sz w:val="20"/>
          <w:szCs w:val="20"/>
          <w:bdr w:val="none" w:sz="0" w:space="0" w:color="auto" w:frame="1"/>
          <w:shd w:val="clear" w:color="auto" w:fill="FFFF00"/>
        </w:rPr>
        <w:t>“new pasts”</w:t>
      </w:r>
      <w:r>
        <w:rPr>
          <w:rFonts w:ascii="Trebuchet MS" w:hAnsi="Trebuchet MS"/>
          <w:color w:val="2A2A2A"/>
          <w:sz w:val="20"/>
          <w:szCs w:val="20"/>
          <w:shd w:val="clear" w:color="auto" w:fill="FFFFFF"/>
        </w:rPr>
        <w:t> will overturn established historical interpretations and change the course of history.</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In the fall of 1954, for example, C. Vann Woodward delivered a lecture series at the University of Virginia which challenged the </w:t>
      </w:r>
      <w:r>
        <w:rPr>
          <w:rFonts w:ascii="Trebuchet MS" w:hAnsi="Trebuchet MS"/>
          <w:color w:val="2A2A2A"/>
          <w:sz w:val="20"/>
          <w:szCs w:val="20"/>
          <w:bdr w:val="none" w:sz="0" w:space="0" w:color="auto" w:frame="1"/>
          <w:shd w:val="clear" w:color="auto" w:fill="FFFF00"/>
        </w:rPr>
        <w:t>prevailing dogma</w:t>
      </w:r>
      <w:r>
        <w:rPr>
          <w:rFonts w:ascii="Trebuchet MS" w:hAnsi="Trebuchet MS"/>
          <w:color w:val="2A2A2A"/>
          <w:sz w:val="20"/>
          <w:szCs w:val="20"/>
          <w:shd w:val="clear" w:color="auto" w:fill="FFFFFF"/>
        </w:rPr>
        <w:t> concerning the history, continuity, and uniformity of racial segregation in the South. He argued that the Jim Crow laws of the late nineteenth and early twentieth centuries not only codified traditional practice but also were a determined effort to erase the considerable progress made by Black people during and after Reconstruction in the 1870’s. This revisionist view of Jim Crow legislation grew in part from the research that Woodward had done for the NAACP legal campaign during its preparation for Brown v. Board of Education. The Supreme Court had issued its ruling in this epochal desegregation case a few months before Woodward’s lectures.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The lectures were soon published as a book, </w:t>
      </w:r>
      <w:r>
        <w:rPr>
          <w:rFonts w:ascii="Trebuchet MS" w:hAnsi="Trebuchet MS"/>
          <w:i/>
          <w:iCs/>
          <w:color w:val="2A2A2A"/>
          <w:sz w:val="20"/>
          <w:szCs w:val="20"/>
          <w:bdr w:val="none" w:sz="0" w:space="0" w:color="auto" w:frame="1"/>
        </w:rPr>
        <w:t>The Strange Career of Jim Crow</w:t>
      </w:r>
      <w:r>
        <w:rPr>
          <w:rFonts w:ascii="Trebuchet MS" w:hAnsi="Trebuchet MS"/>
          <w:color w:val="2A2A2A"/>
          <w:sz w:val="20"/>
          <w:szCs w:val="20"/>
          <w:shd w:val="clear" w:color="auto" w:fill="FFFFFF"/>
        </w:rPr>
        <w:t>. Ten years later, in a preface to the second revised edition, Woodward confessed with ironic modesty that the first edition “had begun to suffer under some of the </w:t>
      </w:r>
      <w:r>
        <w:rPr>
          <w:rFonts w:ascii="Trebuchet MS" w:hAnsi="Trebuchet MS"/>
          <w:color w:val="2A2A2A"/>
          <w:sz w:val="20"/>
          <w:szCs w:val="20"/>
          <w:bdr w:val="none" w:sz="0" w:space="0" w:color="auto" w:frame="1"/>
          <w:shd w:val="clear" w:color="auto" w:fill="FFFF00"/>
        </w:rPr>
        <w:t>handicaps</w:t>
      </w:r>
      <w:r>
        <w:rPr>
          <w:rFonts w:ascii="Trebuchet MS" w:hAnsi="Trebuchet MS"/>
          <w:color w:val="2A2A2A"/>
          <w:sz w:val="20"/>
          <w:szCs w:val="20"/>
          <w:shd w:val="clear" w:color="auto" w:fill="FFFFFF"/>
        </w:rPr>
        <w:t> that might be expected in a history of the American Revolution published in 1776.” That was a bit like hearing Thomas Paine apologize for the timing of his pamphlet </w:t>
      </w:r>
      <w:r>
        <w:rPr>
          <w:rFonts w:ascii="Trebuchet MS" w:hAnsi="Trebuchet MS"/>
          <w:i/>
          <w:iCs/>
          <w:color w:val="2A2A2A"/>
          <w:sz w:val="20"/>
          <w:szCs w:val="20"/>
          <w:bdr w:val="none" w:sz="0" w:space="0" w:color="auto" w:frame="1"/>
        </w:rPr>
        <w:t>Common Sense</w:t>
      </w:r>
      <w:r>
        <w:rPr>
          <w:rFonts w:ascii="Trebuchet MS" w:hAnsi="Trebuchet MS"/>
          <w:color w:val="2A2A2A"/>
          <w:sz w:val="20"/>
          <w:szCs w:val="20"/>
          <w:shd w:val="clear" w:color="auto" w:fill="FFFFFF"/>
        </w:rPr>
        <w:t>, which had a comparable impact. Although </w:t>
      </w:r>
      <w:r>
        <w:rPr>
          <w:rFonts w:ascii="Trebuchet MS" w:hAnsi="Trebuchet MS"/>
          <w:i/>
          <w:iCs/>
          <w:color w:val="2A2A2A"/>
          <w:sz w:val="20"/>
          <w:szCs w:val="20"/>
          <w:bdr w:val="none" w:sz="0" w:space="0" w:color="auto" w:frame="1"/>
        </w:rPr>
        <w:t>Common Sense</w:t>
      </w:r>
      <w:r>
        <w:rPr>
          <w:rFonts w:ascii="Trebuchet MS" w:hAnsi="Trebuchet MS"/>
          <w:color w:val="2A2A2A"/>
          <w:sz w:val="20"/>
          <w:szCs w:val="20"/>
          <w:shd w:val="clear" w:color="auto" w:fill="FFFFFF"/>
        </w:rPr>
        <w:t> also had a mass readership, Paine had intended to reach and inspire: he was not a historian, and thus not concerned with accuracy or the dangers of historical anachronism. Yet, like Paine, Woodward had an unerring sense of the revolutionary moment, and of how historical evidence could undermine the mythological tradition that was crushing the dreams of new social possibilities. Martin Luther King, Jr., testified to the profound effect of </w:t>
      </w:r>
      <w:r>
        <w:rPr>
          <w:rFonts w:ascii="Trebuchet MS" w:hAnsi="Trebuchet MS"/>
          <w:i/>
          <w:iCs/>
          <w:color w:val="2A2A2A"/>
          <w:sz w:val="20"/>
          <w:szCs w:val="20"/>
          <w:bdr w:val="none" w:sz="0" w:space="0" w:color="auto" w:frame="1"/>
        </w:rPr>
        <w:t>The Strange Career of Jim Crow</w:t>
      </w:r>
      <w:r>
        <w:rPr>
          <w:rFonts w:ascii="Trebuchet MS" w:hAnsi="Trebuchet MS"/>
          <w:color w:val="2A2A2A"/>
          <w:sz w:val="20"/>
          <w:szCs w:val="20"/>
          <w:shd w:val="clear" w:color="auto" w:fill="FFFFFF"/>
        </w:rPr>
        <w:t> on the civil rights movement by praising the book and quoting it frequently.</w:t>
      </w:r>
    </w:p>
    <w:p w14:paraId="5FA70CC8" w14:textId="382FFA84" w:rsidR="00CB5824" w:rsidRDefault="00CB5824">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23AA767E" w14:textId="77777777" w:rsidR="0018273F" w:rsidRDefault="0018273F" w:rsidP="0018273F">
      <w:pPr>
        <w:rPr>
          <w:rFonts w:ascii="Trebuchet MS" w:hAnsi="Trebuchet MS"/>
          <w:color w:val="2A2A2A"/>
          <w:sz w:val="20"/>
          <w:szCs w:val="20"/>
          <w:shd w:val="clear" w:color="auto" w:fill="FFFFFF"/>
        </w:rPr>
      </w:pPr>
      <w:bookmarkStart w:id="0" w:name="_GoBack"/>
      <w:bookmarkEnd w:id="0"/>
    </w:p>
    <w:p w14:paraId="3A372945" w14:textId="2FD905FB" w:rsidR="0018273F" w:rsidRDefault="0018273F" w:rsidP="0018273F">
      <w:pPr>
        <w:rPr>
          <w:rFonts w:ascii="Trebuchet MS" w:hAnsi="Trebuchet MS"/>
          <w:color w:val="2A2A2A"/>
          <w:sz w:val="20"/>
          <w:szCs w:val="20"/>
          <w:shd w:val="clear" w:color="auto" w:fill="FFFFFF"/>
        </w:rPr>
      </w:pPr>
      <w:r w:rsidRPr="0018273F">
        <w:rPr>
          <w:rFonts w:ascii="Trebuchet MS" w:hAnsi="Trebuchet MS"/>
          <w:color w:val="2A2A2A"/>
          <w:sz w:val="20"/>
          <w:szCs w:val="20"/>
          <w:shd w:val="clear" w:color="auto" w:fill="FFFFFF"/>
        </w:rPr>
        <w:t>The </w:t>
      </w:r>
      <w:r w:rsidRPr="0018273F">
        <w:rPr>
          <w:rFonts w:ascii="Trebuchet MS" w:hAnsi="Trebuchet MS"/>
          <w:color w:val="2A2A2A"/>
          <w:sz w:val="20"/>
          <w:szCs w:val="20"/>
          <w:bdr w:val="none" w:sz="0" w:space="0" w:color="auto" w:frame="1"/>
          <w:shd w:val="clear" w:color="auto" w:fill="FFFF00"/>
        </w:rPr>
        <w:t>“new pasts”</w:t>
      </w:r>
      <w:r w:rsidRPr="0018273F">
        <w:rPr>
          <w:rFonts w:ascii="Trebuchet MS" w:hAnsi="Trebuchet MS"/>
          <w:color w:val="2A2A2A"/>
          <w:sz w:val="20"/>
          <w:szCs w:val="20"/>
          <w:shd w:val="clear" w:color="auto" w:fill="FFFFFF"/>
        </w:rPr>
        <w:t> mentioned in line 6 can best be described as the</w:t>
      </w:r>
      <w:r w:rsidRPr="0018273F">
        <w:rPr>
          <w:rFonts w:ascii="Trebuchet MS" w:hAnsi="Trebuchet MS"/>
          <w:color w:val="2A2A2A"/>
          <w:sz w:val="20"/>
          <w:szCs w:val="20"/>
        </w:rPr>
        <w:br/>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(A) occurrence of events extremely similar to past events</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(B) history of the activities of studying, interpreting, and reading new historical writing</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(C) change in people’s understanding of the past due to more recent historical writing</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(D) overturning of established historical interpretations by politically motivated politicians</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(E) difficulty of predicting when a given historical interpretation will be overturned</w:t>
      </w:r>
    </w:p>
    <w:p w14:paraId="33C7384A" w14:textId="77777777" w:rsidR="0018273F" w:rsidRPr="0018273F" w:rsidRDefault="0018273F" w:rsidP="0018273F">
      <w:pPr>
        <w:rPr>
          <w:rFonts w:ascii="Trebuchet MS" w:hAnsi="Trebuchet MS"/>
          <w:color w:val="2A2A2A"/>
          <w:sz w:val="20"/>
          <w:szCs w:val="20"/>
          <w:shd w:val="clear" w:color="auto" w:fill="FFFFFF"/>
        </w:rPr>
      </w:pPr>
    </w:p>
    <w:p w14:paraId="23A20611" w14:textId="7CC73B02" w:rsidR="0018273F" w:rsidRDefault="0018273F" w:rsidP="0018273F">
      <w:pPr>
        <w:rPr>
          <w:rFonts w:ascii="Trebuchet MS" w:hAnsi="Trebuchet MS"/>
          <w:color w:val="2A2A2A"/>
          <w:sz w:val="20"/>
          <w:szCs w:val="20"/>
          <w:shd w:val="clear" w:color="auto" w:fill="FFFFFF"/>
        </w:rPr>
      </w:pPr>
      <w:r w:rsidRPr="0018273F">
        <w:rPr>
          <w:rFonts w:ascii="Trebuchet MS" w:hAnsi="Trebuchet MS"/>
          <w:color w:val="2A2A2A"/>
          <w:sz w:val="20"/>
          <w:szCs w:val="20"/>
          <w:shd w:val="clear" w:color="auto" w:fill="FFFFFF"/>
        </w:rPr>
        <w:t>2. It can be inferred from the passage that the </w:t>
      </w:r>
      <w:r w:rsidRPr="0018273F">
        <w:rPr>
          <w:rFonts w:ascii="Trebuchet MS" w:hAnsi="Trebuchet MS"/>
          <w:color w:val="2A2A2A"/>
          <w:sz w:val="20"/>
          <w:szCs w:val="20"/>
          <w:bdr w:val="none" w:sz="0" w:space="0" w:color="auto" w:frame="1"/>
          <w:shd w:val="clear" w:color="auto" w:fill="FFFF00"/>
        </w:rPr>
        <w:t>“prevailing dogma”</w:t>
      </w:r>
      <w:r w:rsidRPr="0018273F">
        <w:rPr>
          <w:rFonts w:ascii="Trebuchet MS" w:hAnsi="Trebuchet MS"/>
          <w:color w:val="2A2A2A"/>
          <w:sz w:val="20"/>
          <w:szCs w:val="20"/>
          <w:shd w:val="clear" w:color="auto" w:fill="FFFFFF"/>
        </w:rPr>
        <w:t>(line 10) held that</w:t>
      </w:r>
      <w:r w:rsidRPr="0018273F">
        <w:rPr>
          <w:rFonts w:ascii="Trebuchet MS" w:hAnsi="Trebuchet MS"/>
          <w:color w:val="2A2A2A"/>
          <w:sz w:val="20"/>
          <w:szCs w:val="20"/>
        </w:rPr>
        <w:br/>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(A) Jim Crow laws were passed to give legal status to well-established discriminatory practices in the South</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(B) Jim Crow laws were passed to establish order and uniformity in the discriminatory practices of different southern states</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(C) Jim Crow laws were passed to erase the social gains that Black people had achieved since Reconstruction</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(D) the continuity of racial segregation in the South was disrupted by passage of Jim Crow laws</w:t>
      </w:r>
      <w:r w:rsidRPr="0018273F">
        <w:rPr>
          <w:rFonts w:ascii="Trebuchet MS" w:hAnsi="Trebuchet MS"/>
          <w:color w:val="2A2A2A"/>
          <w:sz w:val="20"/>
          <w:szCs w:val="20"/>
        </w:rPr>
        <w:br/>
      </w:r>
      <w:r w:rsidRPr="0018273F">
        <w:rPr>
          <w:rFonts w:ascii="Trebuchet MS" w:hAnsi="Trebuchet MS"/>
          <w:color w:val="2A2A2A"/>
          <w:sz w:val="20"/>
          <w:szCs w:val="20"/>
          <w:shd w:val="clear" w:color="auto" w:fill="FFFFFF"/>
        </w:rPr>
        <w:t>(E) the Jim Crow laws of the late nineteenth and early twentieth centuries were passed to reverse the effect of earlier Jim Crow laws</w:t>
      </w:r>
    </w:p>
    <w:p w14:paraId="022FAA8D" w14:textId="0E46B01E" w:rsidR="0018273F" w:rsidRDefault="0018273F" w:rsidP="0018273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3. Which of the following is the best example of writing that is likely to be subject to the kinds of </w:t>
      </w:r>
      <w:r>
        <w:rPr>
          <w:rFonts w:ascii="Trebuchet MS" w:hAnsi="Trebuchet MS"/>
          <w:color w:val="2A2A2A"/>
          <w:sz w:val="20"/>
          <w:szCs w:val="20"/>
          <w:bdr w:val="none" w:sz="0" w:space="0" w:color="auto" w:frame="1"/>
          <w:shd w:val="clear" w:color="auto" w:fill="FFFF00"/>
        </w:rPr>
        <w:t>“handicaps”</w:t>
      </w:r>
      <w:r>
        <w:rPr>
          <w:rFonts w:ascii="Trebuchet MS" w:hAnsi="Trebuchet MS"/>
          <w:color w:val="2A2A2A"/>
          <w:sz w:val="20"/>
          <w:szCs w:val="20"/>
          <w:shd w:val="clear" w:color="auto" w:fill="FFFFFF"/>
        </w:rPr>
        <w:t> referred to in line 27?</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A history of an auto manufacturing plant written by an employee during an auto-buying boom</w:t>
      </w:r>
      <w:r>
        <w:rPr>
          <w:rFonts w:ascii="Trebuchet MS" w:hAnsi="Trebuchet MS"/>
          <w:color w:val="2A2A2A"/>
          <w:sz w:val="20"/>
          <w:szCs w:val="20"/>
        </w:rPr>
        <w:br/>
      </w:r>
      <w:r>
        <w:rPr>
          <w:rFonts w:ascii="Trebuchet MS" w:hAnsi="Trebuchet MS"/>
          <w:color w:val="2A2A2A"/>
          <w:sz w:val="20"/>
          <w:szCs w:val="20"/>
          <w:shd w:val="clear" w:color="auto" w:fill="FFFFFF"/>
        </w:rPr>
        <w:t xml:space="preserve">(B) A critique of a </w:t>
      </w:r>
      <w:proofErr w:type="spellStart"/>
      <w:r>
        <w:rPr>
          <w:rFonts w:ascii="Trebuchet MS" w:hAnsi="Trebuchet MS"/>
          <w:color w:val="2A2A2A"/>
          <w:sz w:val="20"/>
          <w:szCs w:val="20"/>
          <w:shd w:val="clear" w:color="auto" w:fill="FFFFFF"/>
        </w:rPr>
        <w:t>statewide</w:t>
      </w:r>
      <w:proofErr w:type="spellEnd"/>
      <w:r>
        <w:rPr>
          <w:rFonts w:ascii="Trebuchet MS" w:hAnsi="Trebuchet MS"/>
          <w:color w:val="2A2A2A"/>
          <w:sz w:val="20"/>
          <w:szCs w:val="20"/>
          <w:shd w:val="clear" w:color="auto" w:fill="FFFFFF"/>
        </w:rPr>
        <w:t xml:space="preserve"> school-desegregation plan written by an elementary school teacher in that state</w:t>
      </w:r>
      <w:r>
        <w:rPr>
          <w:rFonts w:ascii="Trebuchet MS" w:hAnsi="Trebuchet MS"/>
          <w:color w:val="2A2A2A"/>
          <w:sz w:val="20"/>
          <w:szCs w:val="20"/>
        </w:rPr>
        <w:br/>
      </w:r>
      <w:r>
        <w:rPr>
          <w:rFonts w:ascii="Trebuchet MS" w:hAnsi="Trebuchet MS"/>
          <w:color w:val="2A2A2A"/>
          <w:sz w:val="20"/>
          <w:szCs w:val="20"/>
          <w:shd w:val="clear" w:color="auto" w:fill="FFFFFF"/>
        </w:rPr>
        <w:t>(C) A newspaper article assessing the historical importance of a United States President written shortly after the President has taken office</w:t>
      </w:r>
      <w:r>
        <w:rPr>
          <w:rFonts w:ascii="Trebuchet MS" w:hAnsi="Trebuchet MS"/>
          <w:color w:val="2A2A2A"/>
          <w:sz w:val="20"/>
          <w:szCs w:val="20"/>
        </w:rPr>
        <w:br/>
      </w:r>
      <w:r>
        <w:rPr>
          <w:rFonts w:ascii="Trebuchet MS" w:hAnsi="Trebuchet MS"/>
          <w:color w:val="2A2A2A"/>
          <w:sz w:val="20"/>
          <w:szCs w:val="20"/>
          <w:shd w:val="clear" w:color="auto" w:fill="FFFFFF"/>
        </w:rPr>
        <w:t>(D) A scientific paper describing the benefits of a certain surgical technique written by the surgeon who developed the technique</w:t>
      </w:r>
      <w:r>
        <w:rPr>
          <w:rFonts w:ascii="Trebuchet MS" w:hAnsi="Trebuchet MS"/>
          <w:color w:val="2A2A2A"/>
          <w:sz w:val="20"/>
          <w:szCs w:val="20"/>
        </w:rPr>
        <w:br/>
      </w:r>
      <w:r>
        <w:rPr>
          <w:rFonts w:ascii="Trebuchet MS" w:hAnsi="Trebuchet MS"/>
          <w:color w:val="2A2A2A"/>
          <w:sz w:val="20"/>
          <w:szCs w:val="20"/>
          <w:shd w:val="clear" w:color="auto" w:fill="FFFFFF"/>
        </w:rPr>
        <w:t>(E) Diary entries narrating the events of a battle written by a soldier who participated in the battle</w:t>
      </w:r>
    </w:p>
    <w:p w14:paraId="48DF2EF6" w14:textId="17BA10B5" w:rsidR="0018273F" w:rsidRDefault="0018273F" w:rsidP="0018273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4. The passage suggests that C. Vann Woodward and Thomas Paine were similar in all of the following ways EXCEPT: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Both had works published in the midst of important historical events.</w:t>
      </w:r>
      <w:r>
        <w:rPr>
          <w:rFonts w:ascii="Trebuchet MS" w:hAnsi="Trebuchet MS"/>
          <w:color w:val="2A2A2A"/>
          <w:sz w:val="20"/>
          <w:szCs w:val="20"/>
        </w:rPr>
        <w:br/>
      </w:r>
      <w:r>
        <w:rPr>
          <w:rFonts w:ascii="Trebuchet MS" w:hAnsi="Trebuchet MS"/>
          <w:color w:val="2A2A2A"/>
          <w:sz w:val="20"/>
          <w:szCs w:val="20"/>
          <w:shd w:val="clear" w:color="auto" w:fill="FFFFFF"/>
        </w:rPr>
        <w:t>(B) Both wrote works that enjoyed widespread popularity.</w:t>
      </w:r>
      <w:r>
        <w:rPr>
          <w:rFonts w:ascii="Trebuchet MS" w:hAnsi="Trebuchet MS"/>
          <w:color w:val="2A2A2A"/>
          <w:sz w:val="20"/>
          <w:szCs w:val="20"/>
        </w:rPr>
        <w:br/>
      </w:r>
      <w:r>
        <w:rPr>
          <w:rFonts w:ascii="Trebuchet MS" w:hAnsi="Trebuchet MS"/>
          <w:color w:val="2A2A2A"/>
          <w:sz w:val="20"/>
          <w:szCs w:val="20"/>
          <w:shd w:val="clear" w:color="auto" w:fill="FFFFFF"/>
        </w:rPr>
        <w:t>(C) Both exhibited an understanding of the relevance of historical evidence to contemporary issues.</w:t>
      </w:r>
      <w:r>
        <w:rPr>
          <w:rFonts w:ascii="Trebuchet MS" w:hAnsi="Trebuchet MS"/>
          <w:color w:val="2A2A2A"/>
          <w:sz w:val="20"/>
          <w:szCs w:val="20"/>
        </w:rPr>
        <w:br/>
      </w:r>
      <w:r>
        <w:rPr>
          <w:rFonts w:ascii="Trebuchet MS" w:hAnsi="Trebuchet MS"/>
          <w:color w:val="2A2A2A"/>
          <w:sz w:val="20"/>
          <w:szCs w:val="20"/>
          <w:shd w:val="clear" w:color="auto" w:fill="FFFFFF"/>
        </w:rPr>
        <w:t>(D) The works of both had a significant effect on events following their publication.</w:t>
      </w:r>
      <w:r>
        <w:rPr>
          <w:rFonts w:ascii="Trebuchet MS" w:hAnsi="Trebuchet MS"/>
          <w:color w:val="2A2A2A"/>
          <w:sz w:val="20"/>
          <w:szCs w:val="20"/>
        </w:rPr>
        <w:br/>
      </w:r>
      <w:r>
        <w:rPr>
          <w:rFonts w:ascii="Trebuchet MS" w:hAnsi="Trebuchet MS"/>
          <w:color w:val="2A2A2A"/>
          <w:sz w:val="20"/>
          <w:szCs w:val="20"/>
          <w:shd w:val="clear" w:color="auto" w:fill="FFFFFF"/>
        </w:rPr>
        <w:t>(E) Both were able to set aside worries about historical anachronism in order to reach and inspire.</w:t>
      </w:r>
    </w:p>
    <w:p w14:paraId="581FB750" w14:textId="753A25D0" w:rsidR="0018273F" w:rsidRDefault="0018273F" w:rsidP="0018273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5. The attitude of the author of the passage toward the work of C. Vann Woodward is best described as one of</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respectful regard</w:t>
      </w:r>
      <w:r>
        <w:rPr>
          <w:rFonts w:ascii="Trebuchet MS" w:hAnsi="Trebuchet MS"/>
          <w:color w:val="2A2A2A"/>
          <w:sz w:val="20"/>
          <w:szCs w:val="20"/>
        </w:rPr>
        <w:br/>
      </w:r>
      <w:r>
        <w:rPr>
          <w:rFonts w:ascii="Trebuchet MS" w:hAnsi="Trebuchet MS"/>
          <w:color w:val="2A2A2A"/>
          <w:sz w:val="20"/>
          <w:szCs w:val="20"/>
          <w:shd w:val="clear" w:color="auto" w:fill="FFFFFF"/>
        </w:rPr>
        <w:t>(B) qualified approbation</w:t>
      </w:r>
      <w:r>
        <w:rPr>
          <w:rFonts w:ascii="Trebuchet MS" w:hAnsi="Trebuchet MS"/>
          <w:color w:val="2A2A2A"/>
          <w:sz w:val="20"/>
          <w:szCs w:val="20"/>
        </w:rPr>
        <w:br/>
      </w:r>
      <w:r>
        <w:rPr>
          <w:rFonts w:ascii="Trebuchet MS" w:hAnsi="Trebuchet MS"/>
          <w:color w:val="2A2A2A"/>
          <w:sz w:val="20"/>
          <w:szCs w:val="20"/>
          <w:shd w:val="clear" w:color="auto" w:fill="FFFFFF"/>
        </w:rPr>
        <w:t xml:space="preserve">(C) implied </w:t>
      </w:r>
      <w:proofErr w:type="spellStart"/>
      <w:r>
        <w:rPr>
          <w:rFonts w:ascii="Trebuchet MS" w:hAnsi="Trebuchet MS"/>
          <w:color w:val="2A2A2A"/>
          <w:sz w:val="20"/>
          <w:szCs w:val="20"/>
          <w:shd w:val="clear" w:color="auto" w:fill="FFFFFF"/>
        </w:rPr>
        <w:t>skepticism</w:t>
      </w:r>
      <w:proofErr w:type="spellEnd"/>
      <w:r>
        <w:rPr>
          <w:rFonts w:ascii="Trebuchet MS" w:hAnsi="Trebuchet MS"/>
          <w:color w:val="2A2A2A"/>
          <w:sz w:val="20"/>
          <w:szCs w:val="20"/>
        </w:rPr>
        <w:br/>
      </w:r>
      <w:r>
        <w:rPr>
          <w:rFonts w:ascii="Trebuchet MS" w:hAnsi="Trebuchet MS"/>
          <w:color w:val="2A2A2A"/>
          <w:sz w:val="20"/>
          <w:szCs w:val="20"/>
          <w:shd w:val="clear" w:color="auto" w:fill="FFFFFF"/>
        </w:rPr>
        <w:t>(D) pointed criticism</w:t>
      </w:r>
      <w:r>
        <w:rPr>
          <w:rFonts w:ascii="Trebuchet MS" w:hAnsi="Trebuchet MS"/>
          <w:color w:val="2A2A2A"/>
          <w:sz w:val="20"/>
          <w:szCs w:val="20"/>
        </w:rPr>
        <w:br/>
      </w:r>
      <w:r>
        <w:rPr>
          <w:rFonts w:ascii="Trebuchet MS" w:hAnsi="Trebuchet MS"/>
          <w:color w:val="2A2A2A"/>
          <w:sz w:val="20"/>
          <w:szCs w:val="20"/>
          <w:shd w:val="clear" w:color="auto" w:fill="FFFFFF"/>
        </w:rPr>
        <w:t>(E) fervent advocacy</w:t>
      </w:r>
    </w:p>
    <w:p w14:paraId="52C993B3" w14:textId="1D9B4A1A" w:rsidR="0018273F" w:rsidRPr="0018273F" w:rsidRDefault="0018273F" w:rsidP="0018273F">
      <w:r>
        <w:rPr>
          <w:rFonts w:ascii="Trebuchet MS" w:hAnsi="Trebuchet MS"/>
          <w:color w:val="2A2A2A"/>
          <w:sz w:val="20"/>
          <w:szCs w:val="20"/>
          <w:shd w:val="clear" w:color="auto" w:fill="FFFFFF"/>
        </w:rPr>
        <w:t>6. Which of the following best describes the new idea expressed by C. Vann Woodward in his University of Virginia lectures in 1954?</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Southern racial segregation was continuous and uniform.</w:t>
      </w:r>
      <w:r>
        <w:rPr>
          <w:rFonts w:ascii="Trebuchet MS" w:hAnsi="Trebuchet MS"/>
          <w:color w:val="2A2A2A"/>
          <w:sz w:val="20"/>
          <w:szCs w:val="20"/>
        </w:rPr>
        <w:br/>
      </w:r>
      <w:r>
        <w:rPr>
          <w:rFonts w:ascii="Trebuchet MS" w:hAnsi="Trebuchet MS"/>
          <w:color w:val="2A2A2A"/>
          <w:sz w:val="20"/>
          <w:szCs w:val="20"/>
          <w:shd w:val="clear" w:color="auto" w:fill="FFFFFF"/>
        </w:rPr>
        <w:lastRenderedPageBreak/>
        <w:t>(B) Black people made considerable progress only after Reconstruction.</w:t>
      </w:r>
      <w:r>
        <w:rPr>
          <w:rFonts w:ascii="Trebuchet MS" w:hAnsi="Trebuchet MS"/>
          <w:color w:val="2A2A2A"/>
          <w:sz w:val="20"/>
          <w:szCs w:val="20"/>
        </w:rPr>
        <w:br/>
      </w:r>
      <w:r>
        <w:rPr>
          <w:rFonts w:ascii="Trebuchet MS" w:hAnsi="Trebuchet MS"/>
          <w:color w:val="2A2A2A"/>
          <w:sz w:val="20"/>
          <w:szCs w:val="20"/>
          <w:shd w:val="clear" w:color="auto" w:fill="FFFFFF"/>
        </w:rPr>
        <w:t>(C) Jim Crow legislation was conventional in nature.</w:t>
      </w:r>
      <w:r>
        <w:rPr>
          <w:rFonts w:ascii="Trebuchet MS" w:hAnsi="Trebuchet MS"/>
          <w:color w:val="2A2A2A"/>
          <w:sz w:val="20"/>
          <w:szCs w:val="20"/>
        </w:rPr>
        <w:br/>
      </w:r>
      <w:r>
        <w:rPr>
          <w:rFonts w:ascii="Trebuchet MS" w:hAnsi="Trebuchet MS"/>
          <w:color w:val="2A2A2A"/>
          <w:sz w:val="20"/>
          <w:szCs w:val="20"/>
          <w:shd w:val="clear" w:color="auto" w:fill="FFFFFF"/>
        </w:rPr>
        <w:t>(D) Jim Crow laws did not go as far in codifying traditional practice as they might have.</w:t>
      </w:r>
      <w:r>
        <w:rPr>
          <w:rFonts w:ascii="Trebuchet MS" w:hAnsi="Trebuchet MS"/>
          <w:color w:val="2A2A2A"/>
          <w:sz w:val="20"/>
          <w:szCs w:val="20"/>
        </w:rPr>
        <w:br/>
      </w:r>
      <w:r>
        <w:rPr>
          <w:rFonts w:ascii="Trebuchet MS" w:hAnsi="Trebuchet MS"/>
          <w:color w:val="2A2A2A"/>
          <w:sz w:val="20"/>
          <w:szCs w:val="20"/>
          <w:shd w:val="clear" w:color="auto" w:fill="FFFFFF"/>
        </w:rPr>
        <w:t>(E) Jim Crow laws did much more than merely reinforce a tradition of segregation.</w:t>
      </w:r>
    </w:p>
    <w:sectPr w:rsidR="0018273F" w:rsidRPr="0018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A171A57"/>
    <w:multiLevelType w:val="hybridMultilevel"/>
    <w:tmpl w:val="54D271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18273F"/>
    <w:rsid w:val="00432B94"/>
    <w:rsid w:val="006E075F"/>
    <w:rsid w:val="008059BD"/>
    <w:rsid w:val="00B93461"/>
    <w:rsid w:val="00C80C6A"/>
    <w:rsid w:val="00CB1A7B"/>
    <w:rsid w:val="00CB5824"/>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12</cp:revision>
  <dcterms:created xsi:type="dcterms:W3CDTF">2018-10-09T02:49:00Z</dcterms:created>
  <dcterms:modified xsi:type="dcterms:W3CDTF">2018-10-12T00:52:00Z</dcterms:modified>
</cp:coreProperties>
</file>