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F4E79"/>
          <w:sz w:val="36"/>
          <w:szCs w:val="36"/>
        </w:rPr>
        <w:t xml:space="preserve">THE PHYSICS AND EVOLUTION OF</w:t>
      </w:r>
    </w:p>
    <w:p>
      <w:pPr>
        <w:spacing w:before="0" w:after="240"/>
        <w:jc w:val="center"/>
      </w:pPr>
      <w:r>
        <w:rPr>
          <w:rFonts w:ascii="Arial" w:cs="Arial" w:eastAsia="Arial" w:hAnsi="Arial"/>
          <w:b/>
          <w:bCs/>
          <w:color w:val="1F4E79"/>
          <w:sz w:val="72"/>
          <w:szCs w:val="72"/>
        </w:rPr>
        <w:t xml:space="preserve">SNELL'S LAW</w:t>
      </w:r>
    </w:p>
    <w:p>
      <w:pPr>
        <w:spacing w:before="0" w:after="720"/>
        <w:jc w:val="center"/>
      </w:pPr>
      <w:r>
        <w:rPr>
          <w:rFonts w:ascii="Arial" w:cs="Arial" w:eastAsia="Arial" w:hAnsi="Arial"/>
          <w:i/>
          <w:iCs/>
          <w:color w:val="2E75B6"/>
          <w:sz w:val="32"/>
          <w:szCs w:val="32"/>
        </w:rPr>
        <w:t xml:space="preserve">A Comprehensive Research Report</w:t>
      </w:r>
    </w:p>
    <w:p>
      <w:pPr>
        <w:pBdr>
          <w:bottom w:val="single" w:color="1F4E79" w:sz="8" w:space="1"/>
        </w:pBdr>
        <w:spacing w:before="0" w:after="480"/>
      </w:pPr>
      <w:r>
        <w:t xml:space="preserve"/>
      </w:r>
    </w:p>
    <w:p>
      <w:pPr>
        <w:spacing w:before="0" w:after="240"/>
        <w:jc w:val="center"/>
      </w:pPr>
      <w:r>
        <w:rPr>
          <w:rFonts w:ascii="Arial" w:cs="Arial" w:eastAsia="Arial" w:hAnsi="Arial"/>
          <w:color w:val="404040"/>
          <w:sz w:val="28"/>
          <w:szCs w:val="28"/>
        </w:rPr>
        <w:t xml:space="preserve">From Ancient Geometry to Photonic Computing</w:t>
      </w:r>
    </w:p>
    <w:p>
      <w:pPr>
        <w:spacing w:before="0" w:after="120"/>
        <w:jc w:val="center"/>
      </w:pPr>
      <w:r>
        <w:rPr>
          <w:rFonts w:ascii="Arial" w:cs="Arial" w:eastAsia="Arial" w:hAnsi="Arial"/>
          <w:color w:val="606060"/>
          <w:sz w:val="22"/>
          <w:szCs w:val="22"/>
        </w:rPr>
        <w:t xml:space="preserve">Covering: Theoretical Foundations • Historical Chronology • Physical Derivations</w:t>
      </w:r>
    </w:p>
    <w:p>
      <w:pPr>
        <w:spacing w:before="0" w:after="2880"/>
        <w:jc w:val="center"/>
      </w:pPr>
      <w:r>
        <w:rPr>
          <w:rFonts w:ascii="Arial" w:cs="Arial" w:eastAsia="Arial" w:hAnsi="Arial"/>
          <w:color w:val="606060"/>
          <w:sz w:val="22"/>
          <w:szCs w:val="22"/>
        </w:rPr>
        <w:t xml:space="preserve">Total Internal Reflection • Dispersion • Modern Applications</w:t>
      </w:r>
    </w:p>
    <w:p>
      <w:pPr>
        <w:pBdr>
          <w:top w:val="single" w:color="CCCCCC" w:sz="4" w:space="1"/>
        </w:pBdr>
        <w:spacing w:before="240" w:after="0"/>
        <w:jc w:val="center"/>
      </w:pPr>
      <w:r>
        <w:rPr>
          <w:rFonts w:ascii="Arial" w:cs="Arial" w:eastAsia="Arial" w:hAnsi="Arial"/>
          <w:color w:val="808080"/>
          <w:sz w:val="18"/>
          <w:szCs w:val="18"/>
        </w:rPr>
        <w:t xml:space="preserve">Prepared for Advanced Optical Sciences Curriculum • Extended Academic Edition</w:t>
      </w:r>
    </w:p>
    <w:p>
      <w:pPr>
        <w:sectPr>
          <w:pgSz w:w="12240" w:h="15840" w:orient="portrait"/>
          <w:pgMar w:top="1440" w:right="1440" w:bottom="1440" w:left="1440" w:header="708" w:footer="708" w:gutter="0"/>
          <w:pgNumType/>
          <w:docGrid w:linePitch="360"/>
        </w:sectPr>
      </w:pPr>
    </w:p>
    <w:p>
      <w:pPr>
        <w:pStyle w:val="Heading1"/>
        <w:pBdr>
          <w:bottom w:val="single" w:color="1F4E79" w:sz="6" w:space="1"/>
        </w:pBdr>
        <w:spacing w:before="400" w:after="200"/>
      </w:pPr>
      <w:r>
        <w:rPr>
          <w:rFonts w:ascii="Arial" w:cs="Arial" w:eastAsia="Arial" w:hAnsi="Arial"/>
          <w:b/>
          <w:bCs/>
          <w:color w:val="1F4E79"/>
          <w:sz w:val="32"/>
          <w:szCs w:val="32"/>
        </w:rPr>
        <w:t xml:space="preserve">1. Theoretical Foundations of Refraction</w:t>
      </w:r>
    </w:p>
    <w:p>
      <w:pPr>
        <w:spacing w:before="80" w:after="120"/>
        <w:jc w:val="both"/>
      </w:pPr>
      <w:r>
        <w:rPr>
          <w:rFonts w:ascii="Arial" w:cs="Arial" w:eastAsia="Arial" w:hAnsi="Arial"/>
          <w:sz w:val="22"/>
          <w:szCs w:val="22"/>
        </w:rPr>
        <w:t xml:space="preserve">A ubiquitous empirical observation in classical optics involves the bending of light as it traverses the boundary between two disparate substances. This phenomenon, known as refraction, is the change in direction of a wave as it crosses an interface between two media. Refraction occurs because light propagates at different velocities depending on the optical density of the medium it inhabits.</w:t>
      </w:r>
    </w:p>
    <w:p>
      <w:pPr>
        <w:pStyle w:val="Heading2"/>
        <w:spacing w:before="300" w:after="120"/>
      </w:pPr>
      <w:r>
        <w:rPr>
          <w:rFonts w:ascii="Arial" w:cs="Arial" w:eastAsia="Arial" w:hAnsi="Arial"/>
          <w:b/>
          <w:bCs/>
          <w:color w:val="2E75B6"/>
          <w:sz w:val="26"/>
          <w:szCs w:val="26"/>
        </w:rPr>
        <w:t xml:space="preserve">1.1 Defining the Refractive Index</w:t>
      </w:r>
    </w:p>
    <w:p>
      <w:pPr>
        <w:spacing w:before="80" w:after="120"/>
        <w:jc w:val="both"/>
      </w:pPr>
      <w:r>
        <w:rPr>
          <w:rFonts w:ascii="Arial" w:cs="Arial" w:eastAsia="Arial" w:hAnsi="Arial"/>
          <w:sz w:val="22"/>
          <w:szCs w:val="22"/>
        </w:rPr>
        <w:t xml:space="preserve">The refractive index (n) is a dimensionless value representing the factor by which a medium reduces the speed of light relative to its velocity in a vacuum. It is formally defined as the ratio:</w:t>
      </w:r>
    </w:p>
    <w:p>
      <w:pPr>
        <w:spacing w:before="160" w:after="160"/>
        <w:ind w:left="720"/>
        <w:jc w:val="center"/>
      </w:pPr>
      <w:r>
        <w:rPr>
          <w:rFonts w:ascii="Courier New" w:cs="Courier New" w:eastAsia="Courier New" w:hAnsi="Courier New"/>
          <w:i/>
          <w:iCs/>
          <w:color w:val="1F4E79"/>
          <w:sz w:val="22"/>
          <w:szCs w:val="22"/>
        </w:rPr>
        <w:t xml:space="preserve">n = c / v</w:t>
      </w:r>
    </w:p>
    <w:p>
      <w:pPr>
        <w:spacing w:before="80" w:after="120"/>
        <w:jc w:val="both"/>
      </w:pPr>
      <w:r>
        <w:rPr>
          <w:rFonts w:ascii="Arial" w:cs="Arial" w:eastAsia="Arial" w:hAnsi="Arial"/>
          <w:sz w:val="22"/>
          <w:szCs w:val="22"/>
        </w:rPr>
        <w:t xml:space="preserve">where c is the speed of light in a vacuum (approximately 2.99 × 10⁸ m/s) and v is the phase velocity of light within the medium. Since c represents a universal speed limit in nature, the refractive index for all transparent materials found in nature necessarily exceeds 1.0. Materials with higher refractive indices are considered optically denser.</w:t>
      </w:r>
    </w:p>
    <w:p>
      <w:pPr>
        <w:spacing w:before="80" w:after="120"/>
        <w:jc w:val="both"/>
      </w:pPr>
      <w:r>
        <w:rPr>
          <w:rFonts w:ascii="Arial" w:cs="Arial" w:eastAsia="Arial" w:hAnsi="Arial"/>
          <w:sz w:val="22"/>
          <w:szCs w:val="22"/>
        </w:rPr>
        <w:t xml:space="preserve">The refractive index is not merely an abstract constant; it is an intrinsic material property with deep physical significance. It determines the bending angle at boundaries, governs the extent of chromatic dispersion, and establishes the critical angle threshold for total internal reflection.</w:t>
      </w:r>
    </w:p>
    <w:p>
      <w:pPr>
        <w:pStyle w:val="Heading2"/>
        <w:spacing w:before="300" w:after="120"/>
      </w:pPr>
      <w:r>
        <w:rPr>
          <w:rFonts w:ascii="Arial" w:cs="Arial" w:eastAsia="Arial" w:hAnsi="Arial"/>
          <w:b/>
          <w:bCs/>
          <w:color w:val="2E75B6"/>
          <w:sz w:val="26"/>
          <w:szCs w:val="26"/>
        </w:rPr>
        <w:t xml:space="preserve">1.2 The Mathematical Formula: Snell's Law</w:t>
      </w:r>
    </w:p>
    <w:p>
      <w:pPr>
        <w:spacing w:before="80" w:after="120"/>
        <w:jc w:val="both"/>
      </w:pPr>
      <w:r>
        <w:rPr>
          <w:rFonts w:ascii="Arial" w:cs="Arial" w:eastAsia="Arial" w:hAnsi="Arial"/>
          <w:sz w:val="22"/>
          <w:szCs w:val="22"/>
        </w:rPr>
        <w:t xml:space="preserve">The standard trigonometric expression for the law of refraction, universally known as Snell's Law, is written as:</w:t>
      </w:r>
    </w:p>
    <w:p>
      <w:pPr>
        <w:spacing w:before="160" w:after="160"/>
        <w:ind w:left="720"/>
        <w:jc w:val="center"/>
      </w:pPr>
      <w:r>
        <w:rPr>
          <w:rFonts w:ascii="Courier New" w:cs="Courier New" w:eastAsia="Courier New" w:hAnsi="Courier New"/>
          <w:i/>
          <w:iCs/>
          <w:color w:val="1F4E79"/>
          <w:sz w:val="22"/>
          <w:szCs w:val="22"/>
        </w:rPr>
        <w:t xml:space="preserve">n₁ sinθ₁ = n₂ sinθ₂</w:t>
      </w:r>
    </w:p>
    <w:p>
      <w:pPr>
        <w:spacing w:before="80" w:after="120"/>
        <w:jc w:val="both"/>
      </w:pPr>
      <w:r>
        <w:rPr>
          <w:rFonts w:ascii="Arial" w:cs="Arial" w:eastAsia="Arial" w:hAnsi="Arial"/>
          <w:sz w:val="22"/>
          <w:szCs w:val="22"/>
        </w:rPr>
        <w:t xml:space="preserve">In this relation, n₁ and n₂ are the refractive indices of the incident and refractive media respectively, while θ₁ and θ₂ are the angles of incidence and refraction measured from the Normal — an imaginary line drawn perpendicular to the interface at the point of incidence.</w:t>
      </w:r>
    </w:p>
    <w:p>
      <w:pPr>
        <w:spacing w:before="80" w:after="120"/>
        <w:jc w:val="both"/>
      </w:pPr>
      <w:r>
        <w:rPr>
          <w:rFonts w:ascii="Arial" w:cs="Arial" w:eastAsia="Arial" w:hAnsi="Arial"/>
          <w:sz w:val="22"/>
          <w:szCs w:val="22"/>
        </w:rPr>
        <w:t xml:space="preserve">The law elegantly encapsulates a conservation principle: the product of the refractive index and the sine of the propagation angle remains invariant as light crosses a planar interface. This preserved quantity is directly proportional to the component of the light's wave vector that runs parallel to the interface.</w:t>
      </w:r>
    </w:p>
    <w:p>
      <w:pPr>
        <w:pStyle w:val="Heading2"/>
        <w:spacing w:before="300" w:after="120"/>
      </w:pPr>
      <w:r>
        <w:rPr>
          <w:rFonts w:ascii="Arial" w:cs="Arial" w:eastAsia="Arial" w:hAnsi="Arial"/>
          <w:b/>
          <w:bCs/>
          <w:color w:val="2E75B6"/>
          <w:sz w:val="26"/>
          <w:szCs w:val="26"/>
        </w:rPr>
        <w:t xml:space="preserve">1.3 Media Property Table</w:t>
      </w:r>
    </w:p>
    <w:p>
      <w:pPr>
        <w:spacing w:before="80" w:after="120"/>
        <w:jc w:val="both"/>
      </w:pPr>
      <w:r>
        <w:rPr>
          <w:rFonts w:ascii="Arial" w:cs="Arial" w:eastAsia="Arial" w:hAnsi="Arial"/>
          <w:sz w:val="22"/>
          <w:szCs w:val="22"/>
        </w:rPr>
        <w:t xml:space="preserve">The following data represents the refractive indices and phase velocities for key substances at standard conditions (20°C, 1 atm):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Substance</w:t>
            </w:r>
          </w:p>
        </w:tc>
        <w:tc>
          <w:tcPr>
            <w:tcW w:type="dxa" w:w="22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Refractive Index (n)</w:t>
            </w:r>
          </w:p>
        </w:tc>
        <w:tc>
          <w:tcPr>
            <w:tcW w:type="dxa" w:w="22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Velocity (m/s)</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Optical Density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Vacuum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1.0000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2.99 × 10⁸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Reference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Air (STP)</w:t>
            </w:r>
          </w:p>
        </w:tc>
        <w:tc>
          <w:tcPr>
            <w:tcW w:type="dxa" w:w="2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1.0003</w:t>
            </w:r>
          </w:p>
        </w:tc>
        <w:tc>
          <w:tcPr>
            <w:tcW w:type="dxa" w:w="2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2.99 × 10⁸</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Very 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Water (20°C)</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1.3330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2.25 × 10⁸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Low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Crown Glass</w:t>
            </w:r>
          </w:p>
        </w:tc>
        <w:tc>
          <w:tcPr>
            <w:tcW w:type="dxa" w:w="2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1.5200</w:t>
            </w:r>
          </w:p>
        </w:tc>
        <w:tc>
          <w:tcPr>
            <w:tcW w:type="dxa" w:w="2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1.97 × 10⁸</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Flint Glass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1.6600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1.81 × 10⁸</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Medium-High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Diamond</w:t>
            </w:r>
          </w:p>
        </w:tc>
        <w:tc>
          <w:tcPr>
            <w:tcW w:type="dxa" w:w="2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2.4170</w:t>
            </w:r>
          </w:p>
        </w:tc>
        <w:tc>
          <w:tcPr>
            <w:tcW w:type="dxa" w:w="22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1.24 × 10⁸</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Very High</w:t>
            </w:r>
          </w:p>
        </w:tc>
      </w:tr>
    </w:tbl>
    <w:p>
      <w:pPr>
        <w:spacing w:before="60" w:after="60"/>
      </w:pPr>
      <w:r>
        <w:t xml:space="preserve"/>
      </w:r>
    </w:p>
    <w:p>
      <w:pPr>
        <w:pStyle w:val="Heading2"/>
        <w:spacing w:before="300" w:after="120"/>
      </w:pPr>
      <w:r>
        <w:rPr>
          <w:rFonts w:ascii="Arial" w:cs="Arial" w:eastAsia="Arial" w:hAnsi="Arial"/>
          <w:b/>
          <w:bCs/>
          <w:color w:val="2E75B6"/>
          <w:sz w:val="26"/>
          <w:szCs w:val="26"/>
        </w:rPr>
        <w:t xml:space="preserve">1.4 Geometric Principles</w:t>
      </w:r>
    </w:p>
    <w:p>
      <w:pPr>
        <w:spacing w:before="80" w:after="120"/>
        <w:jc w:val="both"/>
      </w:pPr>
      <w:r>
        <w:rPr>
          <w:rFonts w:ascii="Arial" w:cs="Arial" w:eastAsia="Arial" w:hAnsi="Arial"/>
          <w:sz w:val="22"/>
          <w:szCs w:val="22"/>
        </w:rPr>
        <w:t xml:space="preserve">All trajectories of light are analyzed relative to the Normal. The direction of bending relative to the normal directly encodes the relationship between the optical densities of the two media:</w:t>
      </w:r>
    </w:p>
    <w:p>
      <w:pPr>
        <w:pStyle w:val="ListParagraph"/>
        <w:numPr>
          <w:ilvl w:val="0"/>
          <w:numId w:val="2"/>
        </w:numPr>
        <w:spacing w:before="60" w:after="60"/>
      </w:pPr>
      <w:r>
        <w:rPr>
          <w:rFonts w:ascii="Arial" w:cs="Arial" w:eastAsia="Arial" w:hAnsi="Arial"/>
          <w:sz w:val="22"/>
          <w:szCs w:val="22"/>
        </w:rPr>
        <w:t xml:space="preserve">Toward the Normal: When light enters a more optically dense medium (n₁ &lt; n₂), such as moving from air into water, the light decelerates and refracts toward the normal (θ₂ &lt; θ₁). The wavefronts compress as the wavelength shortens.</w:t>
      </w:r>
    </w:p>
    <w:p>
      <w:pPr>
        <w:pStyle w:val="ListParagraph"/>
        <w:numPr>
          <w:ilvl w:val="0"/>
          <w:numId w:val="2"/>
        </w:numPr>
        <w:spacing w:before="60" w:after="60"/>
      </w:pPr>
      <w:r>
        <w:rPr>
          <w:rFonts w:ascii="Arial" w:cs="Arial" w:eastAsia="Arial" w:hAnsi="Arial"/>
          <w:sz w:val="22"/>
          <w:szCs w:val="22"/>
        </w:rPr>
        <w:t xml:space="preserve">Away from the Normal: When light transitions to a less optically dense medium (n₁ &gt; n₂), such as moving from glass into air, it accelerates and refracts away from the normal (θ₂ &gt; θ₁). The wavefronts expand as the wavelength lengthens.</w:t>
      </w:r>
    </w:p>
    <w:p>
      <w:pPr>
        <w:pStyle w:val="ListParagraph"/>
        <w:numPr>
          <w:ilvl w:val="0"/>
          <w:numId w:val="2"/>
        </w:numPr>
        <w:spacing w:before="60" w:after="60"/>
      </w:pPr>
      <w:r>
        <w:rPr>
          <w:rFonts w:ascii="Arial" w:cs="Arial" w:eastAsia="Arial" w:hAnsi="Arial"/>
          <w:sz w:val="22"/>
          <w:szCs w:val="22"/>
        </w:rPr>
        <w:t xml:space="preserve">No Bending at Normal Incidence: When light strikes an interface at θ₁ = 0° (perpendicular to the interface), it passes through without angular deviation, although its speed changes.</w:t>
      </w:r>
    </w:p>
    <w:p>
      <w:pPr>
        <w:spacing w:before="60" w:after="6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2. Historical Chronology of Discovery</w:t>
      </w:r>
    </w:p>
    <w:p>
      <w:pPr>
        <w:spacing w:before="80" w:after="120"/>
        <w:jc w:val="both"/>
      </w:pPr>
      <w:r>
        <w:rPr>
          <w:rFonts w:ascii="Arial" w:cs="Arial" w:eastAsia="Arial" w:hAnsi="Arial"/>
          <w:sz w:val="22"/>
          <w:szCs w:val="22"/>
        </w:rPr>
        <w:t xml:space="preserve">The historical trajectory of Snell's Law reveals a fascinating cross-cultural narrative of independent discovery and the eventual transition from empirical tables to rigorous mathematical formalism. The law's story is one of the most compelling in the history of science, involving contributions from Islamic, Persian, Dutch, English, and French natural philosophers spanning nearly 1,500 years.</w:t>
      </w:r>
    </w:p>
    <w:p>
      <w:pPr>
        <w:pStyle w:val="Heading2"/>
        <w:spacing w:before="300" w:after="120"/>
      </w:pPr>
      <w:r>
        <w:rPr>
          <w:rFonts w:ascii="Arial" w:cs="Arial" w:eastAsia="Arial" w:hAnsi="Arial"/>
          <w:b/>
          <w:bCs/>
          <w:color w:val="2E75B6"/>
          <w:sz w:val="26"/>
          <w:szCs w:val="26"/>
        </w:rPr>
        <w:t xml:space="preserve">2.1 Ancient and Medieval Beginnings</w:t>
      </w:r>
    </w:p>
    <w:p>
      <w:pPr>
        <w:pStyle w:val="ListParagraph"/>
        <w:numPr>
          <w:ilvl w:val="0"/>
          <w:numId w:val="2"/>
        </w:numPr>
        <w:spacing w:before="60" w:after="60"/>
      </w:pPr>
      <w:r>
        <w:rPr>
          <w:rFonts w:ascii="Arial" w:cs="Arial" w:eastAsia="Arial" w:hAnsi="Arial"/>
          <w:sz w:val="22"/>
          <w:szCs w:val="22"/>
        </w:rPr>
        <w:t xml:space="preserve">Ptolemy (2nd Century AD): In Alexandria, Claudius Ptolemy conducted pioneering experiments on the air-water interface. He compiled extensive empirical tables of refraction angles but proposed an inaccurate linear relationship between the angles of incidence and refraction. Modern historians of science suggest he may have subtly altered his recorded data to match his preconceived theory, representing one of the earliest documented cases of confirmation bias in scientific literature.</w:t>
      </w:r>
    </w:p>
    <w:p>
      <w:pPr>
        <w:pStyle w:val="ListParagraph"/>
        <w:numPr>
          <w:ilvl w:val="0"/>
          <w:numId w:val="2"/>
        </w:numPr>
        <w:spacing w:before="60" w:after="60"/>
      </w:pPr>
      <w:r>
        <w:rPr>
          <w:rFonts w:ascii="Arial" w:cs="Arial" w:eastAsia="Arial" w:hAnsi="Arial"/>
          <w:sz w:val="22"/>
          <w:szCs w:val="22"/>
        </w:rPr>
        <w:t xml:space="preserve">Alhazen / Ibn al-Haytham (11th Century): Working in Egypt under Fatimid patronage, Ibn al-Haytham produced his monumental Book of Optics (Kitab al-Manazir). He made profound contributions to the geometry of refraction and introduced the concept of the optical normal. While his experimental rigor was unparalleled for the era, he stopped just short of articulating the trigonometric sine relationship that would become Snell's Law.</w:t>
      </w:r>
    </w:p>
    <w:p>
      <w:pPr>
        <w:pStyle w:val="Heading2"/>
        <w:spacing w:before="300" w:after="120"/>
      </w:pPr>
      <w:r>
        <w:rPr>
          <w:rFonts w:ascii="Arial" w:cs="Arial" w:eastAsia="Arial" w:hAnsi="Arial"/>
          <w:b/>
          <w:bCs/>
          <w:color w:val="2E75B6"/>
          <w:sz w:val="26"/>
          <w:szCs w:val="26"/>
        </w:rPr>
        <w:t xml:space="preserve">2.2 Ibn Sahl and the First Accurate Formulation (984 AD)</w:t>
      </w:r>
    </w:p>
    <w:p>
      <w:pPr>
        <w:spacing w:before="80" w:after="120"/>
        <w:jc w:val="both"/>
      </w:pPr>
      <w:r>
        <w:rPr>
          <w:rFonts w:ascii="Arial" w:cs="Arial" w:eastAsia="Arial" w:hAnsi="Arial"/>
          <w:sz w:val="22"/>
          <w:szCs w:val="22"/>
        </w:rPr>
        <w:t xml:space="preserve">The Persian mathematician and physicist Ibn Sahl, associated with the Abbasid court in Baghdad, provided the first historically accurate and geometrically complete description of refraction in his treatise On Burning Mirrors and Lenses (Fi'l-masaʾil al-manaqib). His approach was purely geometric: he defined the law as a constant ratio between the lengths of specific line segments in the refracted ray's geometric construction — effectively encoding the sine relationship in geometric form before trigonometric notation was standardized.</w:t>
      </w:r>
    </w:p>
    <w:p>
      <w:pPr>
        <w:spacing w:before="80" w:after="120"/>
        <w:jc w:val="both"/>
      </w:pPr>
      <w:r>
        <w:rPr>
          <w:rFonts w:ascii="Arial" w:cs="Arial" w:eastAsia="Arial" w:hAnsi="Arial"/>
          <w:sz w:val="22"/>
          <w:szCs w:val="22"/>
        </w:rPr>
        <w:t xml:space="preserve">Crucially, Ibn Sahl immediately applied this discovery to the practical problem of lens design. He used the geometric law to design anaclastic lenses — complex curved surfaces that focus light without geometric aberrations, a problem not solved in the Western tradition until the 17th century. The rediscovery of Ibn Sahl's manuscript at the Institut de France in 1993 by Roshdi Rashed significantly revised the Western-centric history of optics.</w:t>
      </w:r>
    </w:p>
    <w:p>
      <w:pPr>
        <w:pStyle w:val="Heading2"/>
        <w:spacing w:before="300" w:after="120"/>
      </w:pPr>
      <w:r>
        <w:rPr>
          <w:rFonts w:ascii="Arial" w:cs="Arial" w:eastAsia="Arial" w:hAnsi="Arial"/>
          <w:b/>
          <w:bCs/>
          <w:color w:val="2E75B6"/>
          <w:sz w:val="26"/>
          <w:szCs w:val="26"/>
        </w:rPr>
        <w:t xml:space="preserve">2.3 The Renaissance Rediscoveries</w:t>
      </w:r>
    </w:p>
    <w:p>
      <w:pPr>
        <w:pStyle w:val="ListParagraph"/>
        <w:numPr>
          <w:ilvl w:val="0"/>
          <w:numId w:val="2"/>
        </w:numPr>
        <w:spacing w:before="60" w:after="60"/>
      </w:pPr>
      <w:r>
        <w:rPr>
          <w:rFonts w:ascii="Arial" w:cs="Arial" w:eastAsia="Arial" w:hAnsi="Arial"/>
          <w:sz w:val="22"/>
          <w:szCs w:val="22"/>
        </w:rPr>
        <w:t xml:space="preserve">Thomas Harriot (1602): The English polymath and navigator, best known for his astronomical observations predating Galileo, arrived at the sine law through careful experimental observation. He corresponded extensively with Johannes Kepler on the subject of optics. However, Harriot chose not to publish his findings during his lifetime, leaving them buried in his personal papers where they remained obscure for centuries until modern historical scholarship uncovered them.</w:t>
      </w:r>
    </w:p>
    <w:p>
      <w:pPr>
        <w:pStyle w:val="ListParagraph"/>
        <w:numPr>
          <w:ilvl w:val="0"/>
          <w:numId w:val="2"/>
        </w:numPr>
        <w:spacing w:before="60" w:after="60"/>
      </w:pPr>
      <w:r>
        <w:rPr>
          <w:rFonts w:ascii="Arial" w:cs="Arial" w:eastAsia="Arial" w:hAnsi="Arial"/>
          <w:sz w:val="22"/>
          <w:szCs w:val="22"/>
        </w:rPr>
        <w:t xml:space="preserve">Willebrord Snellius (1621): The Dutch astronomer and mathematician Willebrord Snel van Royen derived a mathematically equivalent formulation of the refraction law. Like Harriot, he did not publish it during his lifetime. The work was recognized and eventually published posthumously by Christiaan Huygens, whose authority and prominence cemented the name 'Snell' into the permanent scientific lexicon, a geographic accident of posthumous publication that has persisted to the present day.</w:t>
      </w:r>
    </w:p>
    <w:p>
      <w:pPr>
        <w:pStyle w:val="ListParagraph"/>
        <w:numPr>
          <w:ilvl w:val="0"/>
          <w:numId w:val="2"/>
        </w:numPr>
        <w:spacing w:before="60" w:after="60"/>
      </w:pPr>
      <w:r>
        <w:rPr>
          <w:rFonts w:ascii="Arial" w:cs="Arial" w:eastAsia="Arial" w:hAnsi="Arial"/>
          <w:sz w:val="22"/>
          <w:szCs w:val="22"/>
        </w:rPr>
        <w:t xml:space="preserve">René Descartes (1637): The French philosopher-mathematician published the law in his landmark essay Dioptrics, appended to his Discourse on the Method. He utilized a mechanical projectile model for light and, critically, assumed that light travels faster in denser media — the inverse of the physical reality later established by Foucault. Despite this fundamentally flawed physical premise, his publication was enormously influential in popularizing the law's application in optical instrument design.</w:t>
      </w:r>
    </w:p>
    <w:p>
      <w:pPr>
        <w:pStyle w:val="Heading2"/>
        <w:spacing w:before="300" w:after="120"/>
      </w:pPr>
      <w:r>
        <w:rPr>
          <w:rFonts w:ascii="Arial" w:cs="Arial" w:eastAsia="Arial" w:hAnsi="Arial"/>
          <w:b/>
          <w:bCs/>
          <w:color w:val="2E75B6"/>
          <w:sz w:val="26"/>
          <w:szCs w:val="26"/>
        </w:rPr>
        <w:t xml:space="preserve">2.4 Historical Controversy and Naming</w:t>
      </w:r>
    </w:p>
    <w:p>
      <w:pPr>
        <w:spacing w:before="80" w:after="120"/>
        <w:jc w:val="both"/>
      </w:pPr>
      <w:r>
        <w:rPr>
          <w:rFonts w:ascii="Arial" w:cs="Arial" w:eastAsia="Arial" w:hAnsi="Arial"/>
          <w:sz w:val="22"/>
          <w:szCs w:val="22"/>
        </w:rPr>
        <w:t xml:space="preserve">In the latter half of the 17th century, a significant academic controversy erupted over Descartes' claim to independent discovery. Scholars including Isaac Vossius, Pierre de Fermat (who had already developed his own derivation from first principles), and Christiaan Huygens all accused Descartes of having seen Snell's unpublished manuscripts and then concocting his own mechanical justification after the fact.</w:t>
      </w:r>
    </w:p>
    <w:p>
      <w:pPr>
        <w:spacing w:before="80" w:after="120"/>
        <w:jc w:val="both"/>
      </w:pPr>
      <w:r>
        <w:rPr>
          <w:rFonts w:ascii="Arial" w:cs="Arial" w:eastAsia="Arial" w:hAnsi="Arial"/>
          <w:sz w:val="22"/>
          <w:szCs w:val="22"/>
        </w:rPr>
        <w:t xml:space="preserve">While modern historians of science generally believe that Descartes' derivation was mathematically independent of Snell's, the controversy left a lasting imprint on scientific nomenclature. In France, the law is routinely referred to as 'la loi de Descartes' or the 'Snell-Descartes Law.' In the English-speaking world and most of Northern Europe, the eponym 'Snell's Law' prevails. In a more historically accurate framing, it might justifiably bear the name of Ibn Sahl.</w:t>
      </w:r>
    </w:p>
    <w:p>
      <w:pPr>
        <w:spacing w:before="60" w:after="6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3. Physical Derivations from Multiple Perspectives</w:t>
      </w:r>
    </w:p>
    <w:p>
      <w:pPr>
        <w:spacing w:before="80" w:after="120"/>
        <w:jc w:val="both"/>
      </w:pPr>
      <w:r>
        <w:rPr>
          <w:rFonts w:ascii="Arial" w:cs="Arial" w:eastAsia="Arial" w:hAnsi="Arial"/>
          <w:sz w:val="22"/>
          <w:szCs w:val="22"/>
        </w:rPr>
        <w:t xml:space="preserve">The enduring intellectual prestige of Snell's Law rests substantially on its derivability from nearly every major theoretical framework developed in physics over the past four centuries. This convergence across radically different physical pictures — mechanical, geometric, electromagnetic, and quantum mechanical — is a strong indicator of the law's fundamental, non-contingent character.</w:t>
      </w:r>
    </w:p>
    <w:p>
      <w:pPr>
        <w:pStyle w:val="Heading2"/>
        <w:spacing w:before="300" w:after="120"/>
      </w:pPr>
      <w:r>
        <w:rPr>
          <w:rFonts w:ascii="Arial" w:cs="Arial" w:eastAsia="Arial" w:hAnsi="Arial"/>
          <w:b/>
          <w:bCs/>
          <w:color w:val="2E75B6"/>
          <w:sz w:val="26"/>
          <w:szCs w:val="26"/>
        </w:rPr>
        <w:t xml:space="preserve">3.1 Fermat's Principle of Least Time</w:t>
      </w:r>
    </w:p>
    <w:p>
      <w:pPr>
        <w:spacing w:before="80" w:after="120"/>
        <w:jc w:val="both"/>
      </w:pPr>
      <w:r>
        <w:rPr>
          <w:rFonts w:ascii="Arial" w:cs="Arial" w:eastAsia="Arial" w:hAnsi="Arial"/>
          <w:sz w:val="22"/>
          <w:szCs w:val="22"/>
        </w:rPr>
        <w:t xml:space="preserve">Pierre de Fermat proposed in 1662 that light, in traveling between any two points, follows the path that requires the minimum time. This is more precisely stated as a stationary-time principle (the travel time is a local extremum), though minimum-time captures the essential intuition. This principle has a famous and pedagogically effective illustration known as the lifeguard analogy:</w:t>
      </w:r>
    </w:p>
    <w:p>
      <w:pPr>
        <w:spacing w:before="80" w:after="120"/>
        <w:jc w:val="both"/>
      </w:pPr>
      <w:r>
        <w:rPr>
          <w:rFonts w:ascii="Arial" w:cs="Arial" w:eastAsia="Arial" w:hAnsi="Arial"/>
          <w:sz w:val="22"/>
          <w:szCs w:val="22"/>
        </w:rPr>
        <w:t xml:space="preserve">A lifeguard on a beach can run at high speed on sand but swims much more slowly in the water. To reach a drowning swimmer in the shortest possible time, the optimal strategy is not to run in a straight line to the swimmer, but to run further along the beach (the fast medium) and minimize the distance swum in the water (the slow medium). The optimal crossing point is precisely the one predicted by Snell's Law.</w:t>
      </w:r>
    </w:p>
    <w:p>
      <w:pPr>
        <w:spacing w:before="80" w:after="120"/>
        <w:jc w:val="both"/>
      </w:pPr>
      <w:r>
        <w:rPr>
          <w:rFonts w:ascii="Arial" w:cs="Arial" w:eastAsia="Arial" w:hAnsi="Arial"/>
          <w:sz w:val="22"/>
          <w:szCs w:val="22"/>
        </w:rPr>
        <w:t xml:space="preserve">Fermat used his mathematical technique of adequality — a precursor to differential calculus developed decades before Newton and Leibniz formalized their approaches — to find the stationary point of the total travel time equation:</w:t>
      </w:r>
    </w:p>
    <w:p>
      <w:pPr>
        <w:spacing w:before="160" w:after="160"/>
        <w:ind w:left="720"/>
        <w:jc w:val="center"/>
      </w:pPr>
      <w:r>
        <w:rPr>
          <w:rFonts w:ascii="Courier New" w:cs="Courier New" w:eastAsia="Courier New" w:hAnsi="Courier New"/>
          <w:i/>
          <w:iCs/>
          <w:color w:val="1F4E79"/>
          <w:sz w:val="22"/>
          <w:szCs w:val="22"/>
        </w:rPr>
        <w:t xml:space="preserve">T = d₁/v₁ + d₂/v₂</w:t>
      </w:r>
    </w:p>
    <w:p>
      <w:pPr>
        <w:spacing w:before="80" w:after="120"/>
        <w:jc w:val="both"/>
      </w:pPr>
      <w:r>
        <w:rPr>
          <w:rFonts w:ascii="Arial" w:cs="Arial" w:eastAsia="Arial" w:hAnsi="Arial"/>
          <w:sz w:val="22"/>
          <w:szCs w:val="22"/>
        </w:rPr>
        <w:t xml:space="preserve">By differentiating T with respect to the position of the crossing point and setting the derivative to zero, the sine relationship emerges naturally as the condition for minimum travel time.</w:t>
      </w:r>
    </w:p>
    <w:p>
      <w:pPr>
        <w:pStyle w:val="Heading2"/>
        <w:spacing w:before="300" w:after="120"/>
      </w:pPr>
      <w:r>
        <w:rPr>
          <w:rFonts w:ascii="Arial" w:cs="Arial" w:eastAsia="Arial" w:hAnsi="Arial"/>
          <w:b/>
          <w:bCs/>
          <w:color w:val="2E75B6"/>
          <w:sz w:val="26"/>
          <w:szCs w:val="26"/>
        </w:rPr>
        <w:t xml:space="preserve">3.2 Huygens' Principle of Wavefront Evolution</w:t>
      </w:r>
    </w:p>
    <w:p>
      <w:pPr>
        <w:spacing w:before="80" w:after="120"/>
        <w:jc w:val="both"/>
      </w:pPr>
      <w:r>
        <w:rPr>
          <w:rFonts w:ascii="Arial" w:cs="Arial" w:eastAsia="Arial" w:hAnsi="Arial"/>
          <w:sz w:val="22"/>
          <w:szCs w:val="22"/>
        </w:rPr>
        <w:t xml:space="preserve">Christiaan Huygens proposed in 1678 that every point on an advancing wavefront acts as the source of secondary spherical wavelets. The new wavefront at any subsequent moment is the tangent envelope (common tangent surface) of all these secondary wavelets. This principle elegantly explains both diffraction and refraction.</w:t>
      </w:r>
    </w:p>
    <w:p>
      <w:pPr>
        <w:spacing w:before="80" w:after="120"/>
        <w:jc w:val="both"/>
      </w:pPr>
      <w:r>
        <w:rPr>
          <w:rFonts w:ascii="Arial" w:cs="Arial" w:eastAsia="Arial" w:hAnsi="Arial"/>
          <w:sz w:val="22"/>
          <w:szCs w:val="22"/>
        </w:rPr>
        <w:t xml:space="preserve">When a planar wavefront strikes a refractive boundary at an oblique angle, the portion of the wavefront that crosses the boundary first begins propagating at the new velocity v₂. The portion still in the original medium continues at v₁. The result is a geometric 'pivoting' of the overall wavefront. If v₂ &lt; v₁ (entering a denser medium), the secondary wavelets in medium 2 have smaller radii, causing the new wavefront to tilt toward the normal. A straightforward application of similar triangles to this geometric construction directly yields Snell's Law.</w:t>
      </w:r>
    </w:p>
    <w:p>
      <w:pPr>
        <w:pStyle w:val="Heading2"/>
        <w:spacing w:before="300" w:after="120"/>
      </w:pPr>
      <w:r>
        <w:rPr>
          <w:rFonts w:ascii="Arial" w:cs="Arial" w:eastAsia="Arial" w:hAnsi="Arial"/>
          <w:b/>
          <w:bCs/>
          <w:color w:val="2E75B6"/>
          <w:sz w:val="26"/>
          <w:szCs w:val="26"/>
        </w:rPr>
        <w:t xml:space="preserve">3.3 Maxwell's Electromagnetic Boundary Conditions</w:t>
      </w:r>
    </w:p>
    <w:p>
      <w:pPr>
        <w:spacing w:before="80" w:after="120"/>
        <w:jc w:val="both"/>
      </w:pPr>
      <w:r>
        <w:rPr>
          <w:rFonts w:ascii="Arial" w:cs="Arial" w:eastAsia="Arial" w:hAnsi="Arial"/>
          <w:sz w:val="22"/>
          <w:szCs w:val="22"/>
        </w:rPr>
        <w:t xml:space="preserve">In Maxwell's electromagnetic framework (1865), Snell's Law emerges as a strict requirement for the mathematical consistency of the electromagnetic field at a refractive interface. The tangential component of the electric field must be continuous across any boundary (from Faraday's law). This physical requirement of continuity means that the spatial oscillation frequency of the wave parallel to the interface — technically, the tangential component of the wave vector, kₓ — must be identical on both sides:</w:t>
      </w:r>
    </w:p>
    <w:p>
      <w:pPr>
        <w:spacing w:before="160" w:after="160"/>
        <w:ind w:left="720"/>
        <w:jc w:val="center"/>
      </w:pPr>
      <w:r>
        <w:rPr>
          <w:rFonts w:ascii="Courier New" w:cs="Courier New" w:eastAsia="Courier New" w:hAnsi="Courier New"/>
          <w:i/>
          <w:iCs/>
          <w:color w:val="1F4E79"/>
          <w:sz w:val="22"/>
          <w:szCs w:val="22"/>
        </w:rPr>
        <w:t xml:space="preserve">k₁ sinθ₁ = k₂ sinθ₂</w:t>
      </w:r>
    </w:p>
    <w:p>
      <w:pPr>
        <w:spacing w:before="80" w:after="120"/>
        <w:jc w:val="both"/>
      </w:pPr>
      <w:r>
        <w:rPr>
          <w:rFonts w:ascii="Arial" w:cs="Arial" w:eastAsia="Arial" w:hAnsi="Arial"/>
          <w:sz w:val="22"/>
          <w:szCs w:val="22"/>
        </w:rPr>
        <w:t xml:space="preserve">Since the wave vector k = nω/c (where ω is the angular frequency, constant across the interface), this is algebraically equivalent to Snell's Law. This derivation reveals that refraction is a consequence of translational symmetry parallel to the interface.</w:t>
      </w:r>
    </w:p>
    <w:p>
      <w:pPr>
        <w:pStyle w:val="Heading2"/>
        <w:spacing w:before="300" w:after="120"/>
      </w:pPr>
      <w:r>
        <w:rPr>
          <w:rFonts w:ascii="Arial" w:cs="Arial" w:eastAsia="Arial" w:hAnsi="Arial"/>
          <w:b/>
          <w:bCs/>
          <w:color w:val="2E75B6"/>
          <w:sz w:val="26"/>
          <w:szCs w:val="26"/>
        </w:rPr>
        <w:t xml:space="preserve">3.4 Photon Momentum Conservation</w:t>
      </w:r>
    </w:p>
    <w:p>
      <w:pPr>
        <w:spacing w:before="80" w:after="120"/>
        <w:jc w:val="both"/>
      </w:pPr>
      <w:r>
        <w:rPr>
          <w:rFonts w:ascii="Arial" w:cs="Arial" w:eastAsia="Arial" w:hAnsi="Arial"/>
          <w:sz w:val="22"/>
          <w:szCs w:val="22"/>
        </w:rPr>
        <w:t xml:space="preserve">In quantum mechanics and quantum electrodynamics, the wave vector k is directly related to photon momentum by de Broglie's relation (p = ħk). The continuity of the tangential wave vector component is therefore a statement about the conservation of transverse photon momentum. While the total momentum of a photon increases upon entering a denser medium (p = ħnω/c), the component of momentum parallel to the interface is conserved, dictating the change in propagation direction in a manner consistent with the classical sine law.</w:t>
      </w:r>
    </w:p>
    <w:p>
      <w:pPr>
        <w:pStyle w:val="Heading2"/>
        <w:spacing w:before="300" w:after="120"/>
      </w:pPr>
      <w:r>
        <w:rPr>
          <w:rFonts w:ascii="Arial" w:cs="Arial" w:eastAsia="Arial" w:hAnsi="Arial"/>
          <w:b/>
          <w:bCs/>
          <w:color w:val="2E75B6"/>
          <w:sz w:val="26"/>
          <w:szCs w:val="26"/>
        </w:rPr>
        <w:t xml:space="preserve">3.5 Wavefront Continuity</w:t>
      </w:r>
    </w:p>
    <w:p>
      <w:pPr>
        <w:spacing w:before="80" w:after="120"/>
        <w:jc w:val="both"/>
      </w:pPr>
      <w:r>
        <w:rPr>
          <w:rFonts w:ascii="Arial" w:cs="Arial" w:eastAsia="Arial" w:hAnsi="Arial"/>
          <w:sz w:val="22"/>
          <w:szCs w:val="22"/>
        </w:rPr>
        <w:t xml:space="preserve">A further elegant perspective interprets refraction as a consequence of the requirement that wavefronts remain spatially continuous at a boundary. Since the frequency of light (f) is invariant across any linear interface, a change in wave speed (v = λf) necessarily implies a change in wavelength (λ). For a wavefront to remain a single connected surface across the interface, the change in wavelength must be accompanied by a corresponding change in propagation angle. This geometric requirement, when formalized, yields Snell's Law.</w:t>
      </w:r>
    </w:p>
    <w:p>
      <w:pPr>
        <w:spacing w:before="60" w:after="6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4. Total Internal Reflection (TIR) and Critical Angles</w:t>
      </w:r>
    </w:p>
    <w:p>
      <w:pPr>
        <w:spacing w:before="80" w:after="120"/>
        <w:jc w:val="both"/>
      </w:pPr>
      <w:r>
        <w:rPr>
          <w:rFonts w:ascii="Arial" w:cs="Arial" w:eastAsia="Arial" w:hAnsi="Arial"/>
          <w:sz w:val="22"/>
          <w:szCs w:val="22"/>
        </w:rPr>
        <w:t xml:space="preserve">A particularly dramatic and technologically consequential boundary behavior occurs when light attempts to transition from an optically denser medium to a rarer one (n₁ &gt; n₂). Under these conditions, the refracted angle θ₂ is always greater than the incident angle θ₁. If the incident angle is sufficiently large, Snell's Law predicts a refracted angle of 90° or greater — a physically impossible scenario that signals a qualitative transition in the system's behavior.</w:t>
      </w:r>
    </w:p>
    <w:p>
      <w:pPr>
        <w:pStyle w:val="Heading2"/>
        <w:spacing w:before="300" w:after="120"/>
      </w:pPr>
      <w:r>
        <w:rPr>
          <w:rFonts w:ascii="Arial" w:cs="Arial" w:eastAsia="Arial" w:hAnsi="Arial"/>
          <w:b/>
          <w:bCs/>
          <w:color w:val="2E75B6"/>
          <w:sz w:val="26"/>
          <w:szCs w:val="26"/>
        </w:rPr>
        <w:t xml:space="preserve">4.1 The Critical Angle Threshold</w:t>
      </w:r>
    </w:p>
    <w:p>
      <w:pPr>
        <w:spacing w:before="80" w:after="120"/>
        <w:jc w:val="both"/>
      </w:pPr>
      <w:r>
        <w:rPr>
          <w:rFonts w:ascii="Arial" w:cs="Arial" w:eastAsia="Arial" w:hAnsi="Arial"/>
          <w:sz w:val="22"/>
          <w:szCs w:val="22"/>
        </w:rPr>
        <w:t xml:space="preserve">The critical angle (θc) is defined as the angle of incidence in the denser medium that produces a refraction angle of exactly 90° in the rarer medium (the refracted ray travels along the interface). It is derived directly from Snell's Law:</w:t>
      </w:r>
    </w:p>
    <w:p>
      <w:pPr>
        <w:spacing w:before="160" w:after="160"/>
        <w:ind w:left="720"/>
        <w:jc w:val="center"/>
      </w:pPr>
      <w:r>
        <w:rPr>
          <w:rFonts w:ascii="Courier New" w:cs="Courier New" w:eastAsia="Courier New" w:hAnsi="Courier New"/>
          <w:i/>
          <w:iCs/>
          <w:color w:val="1F4E79"/>
          <w:sz w:val="22"/>
          <w:szCs w:val="22"/>
        </w:rPr>
        <w:t xml:space="preserve">θc = arcsin(n₂ / n₁)</w:t>
      </w:r>
    </w:p>
    <w:p>
      <w:pPr>
        <w:spacing w:before="80" w:after="120"/>
        <w:jc w:val="both"/>
      </w:pPr>
      <w:r>
        <w:rPr>
          <w:rFonts w:ascii="Arial" w:cs="Arial" w:eastAsia="Arial" w:hAnsi="Arial"/>
          <w:sz w:val="22"/>
          <w:szCs w:val="22"/>
        </w:rPr>
        <w:t xml:space="preserve">This formula is physically meaningful only when n₁ &gt; n₂. Some representative critical angles include: water-air interface: 48.6°; crown glass-air interface: 41.1°; diamond-air interface: 24.4°. The exceptionally low critical angle of diamond (24.4°) is a direct consequence of its very high refractive index and is the primary engineered feature behind its brilliance.</w:t>
      </w:r>
    </w:p>
    <w:p>
      <w:pPr>
        <w:pStyle w:val="Heading2"/>
        <w:spacing w:before="300" w:after="120"/>
      </w:pPr>
      <w:r>
        <w:rPr>
          <w:rFonts w:ascii="Arial" w:cs="Arial" w:eastAsia="Arial" w:hAnsi="Arial"/>
          <w:b/>
          <w:bCs/>
          <w:color w:val="2E75B6"/>
          <w:sz w:val="26"/>
          <w:szCs w:val="26"/>
        </w:rPr>
        <w:t xml:space="preserve">4.2 Mechanism of Total Internal Reflection</w:t>
      </w:r>
    </w:p>
    <w:p>
      <w:pPr>
        <w:spacing w:before="80" w:after="120"/>
        <w:jc w:val="both"/>
      </w:pPr>
      <w:r>
        <w:rPr>
          <w:rFonts w:ascii="Arial" w:cs="Arial" w:eastAsia="Arial" w:hAnsi="Arial"/>
          <w:sz w:val="22"/>
          <w:szCs w:val="22"/>
        </w:rPr>
        <w:t xml:space="preserve">Total internal reflection (TIR) occurs when the incident angle exceeds the critical angle (θ₁ &gt; θc). In this regime, no refracted ray is transmitted into the rarer medium. Instead, 100% of the incident light energy is reflected back into the original denser medium. This is a genuine total reflection — unlike the partial reflection at a glass surface which always transmits some fraction of the energy. This 100% energy efficiency is what makes TIR invaluable for optical waveguides and fiber optics.</w:t>
      </w:r>
    </w:p>
    <w:p>
      <w:pPr>
        <w:pStyle w:val="Heading2"/>
        <w:spacing w:before="300" w:after="120"/>
      </w:pPr>
      <w:r>
        <w:rPr>
          <w:rFonts w:ascii="Arial" w:cs="Arial" w:eastAsia="Arial" w:hAnsi="Arial"/>
          <w:b/>
          <w:bCs/>
          <w:color w:val="2E75B6"/>
          <w:sz w:val="26"/>
          <w:szCs w:val="26"/>
        </w:rPr>
        <w:t xml:space="preserve">4.3 Evanescent Waves</w:t>
      </w:r>
    </w:p>
    <w:p>
      <w:pPr>
        <w:spacing w:before="80" w:after="120"/>
        <w:jc w:val="both"/>
      </w:pPr>
      <w:r>
        <w:rPr>
          <w:rFonts w:ascii="Arial" w:cs="Arial" w:eastAsia="Arial" w:hAnsi="Arial"/>
          <w:sz w:val="22"/>
          <w:szCs w:val="22"/>
        </w:rPr>
        <w:t xml:space="preserve">While TIR prevents the propagation of energy into the rarer medium, the electromagnetic field does not undergo an abrupt discontinuity at the interface. The electromagnetic boundary conditions require continuity of the field components. The solution to Maxwell's equations in the rarer medium under TIR conditions is an evanescent wave: a field that oscillates parallel to the interface but decays exponentially with distance from the surface.</w:t>
      </w:r>
    </w:p>
    <w:p>
      <w:pPr>
        <w:spacing w:before="80" w:after="120"/>
        <w:jc w:val="both"/>
      </w:pPr>
      <w:r>
        <w:rPr>
          <w:rFonts w:ascii="Arial" w:cs="Arial" w:eastAsia="Arial" w:hAnsi="Arial"/>
          <w:sz w:val="22"/>
          <w:szCs w:val="22"/>
        </w:rPr>
        <w:t xml:space="preserve">The evanescent wave carries no net energy away from the interface in steady state. However, it is physically significant and has important technological applications. If a second dielectric medium is placed within the evanescent field's decay distance (typically a fraction of a wavelength), energy can tunnel into the second medium — a phenomenon called frustrated total internal reflection (FTIR) or optical tunneling, with direct analogies to quantum mechanical tunneling.</w:t>
      </w:r>
    </w:p>
    <w:p>
      <w:pPr>
        <w:pStyle w:val="Heading2"/>
        <w:spacing w:before="300" w:after="120"/>
      </w:pPr>
      <w:r>
        <w:rPr>
          <w:rFonts w:ascii="Arial" w:cs="Arial" w:eastAsia="Arial" w:hAnsi="Arial"/>
          <w:b/>
          <w:bCs/>
          <w:color w:val="2E75B6"/>
          <w:sz w:val="26"/>
          <w:szCs w:val="26"/>
        </w:rPr>
        <w:t xml:space="preserve">4.4 Experimental Observations</w:t>
      </w:r>
    </w:p>
    <w:p>
      <w:pPr>
        <w:pStyle w:val="ListParagraph"/>
        <w:numPr>
          <w:ilvl w:val="0"/>
          <w:numId w:val="2"/>
        </w:numPr>
        <w:spacing w:before="60" w:after="60"/>
      </w:pPr>
      <w:r>
        <w:rPr>
          <w:rFonts w:ascii="Arial" w:cs="Arial" w:eastAsia="Arial" w:hAnsi="Arial"/>
          <w:sz w:val="22"/>
          <w:szCs w:val="22"/>
        </w:rPr>
        <w:t xml:space="preserve">Isosceles Triangle Prism: Light incident normally on one face of a 45-45-90 degree prism passes through without refraction. It then strikes the hypotenuse at 45°. Since the critical angle of glass is approximately 41°, this exceeds θc, and the light undergoes TIR, emerging through the third face. This prism configuration is used in periscopes, binoculars, and retroreflectors.</w:t>
      </w:r>
    </w:p>
    <w:p>
      <w:pPr>
        <w:pStyle w:val="ListParagraph"/>
        <w:numPr>
          <w:ilvl w:val="0"/>
          <w:numId w:val="2"/>
        </w:numPr>
        <w:spacing w:before="60" w:after="60"/>
      </w:pPr>
      <w:r>
        <w:rPr>
          <w:rFonts w:ascii="Arial" w:cs="Arial" w:eastAsia="Arial" w:hAnsi="Arial"/>
          <w:sz w:val="22"/>
          <w:szCs w:val="22"/>
        </w:rPr>
        <w:t xml:space="preserve">Light Pipe in Water Stream: A laser beam directed into the narrow end of a falling curved stream of water becomes guided by the water-air interface. The parabolic stream of water acts as a flexible optical waveguide, utilizing repeated TIR at the water-air surface to guide the light through turns and even downward arcs. This demonstration, first performed in the 19th century, directly prefigures modern optical fiber technology.</w:t>
      </w:r>
    </w:p>
    <w:p>
      <w:pPr>
        <w:spacing w:before="60" w:after="6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5. Wavelength-Dependent Behavior: Dispersion</w:t>
      </w:r>
    </w:p>
    <w:p>
      <w:pPr>
        <w:spacing w:before="80" w:after="120"/>
        <w:jc w:val="both"/>
      </w:pPr>
      <w:r>
        <w:rPr>
          <w:rFonts w:ascii="Arial" w:cs="Arial" w:eastAsia="Arial" w:hAnsi="Arial"/>
          <w:sz w:val="22"/>
          <w:szCs w:val="22"/>
        </w:rPr>
        <w:t xml:space="preserve">The refractive index of a material is not a fixed constant; it is a function of the frequency (or equivalently, the wavelength) of the electromagnetic radiation passing through it. This wavelength dependence, expressed as n(λ), is known as dispersion. For most transparent optical materials (normal dispersion), the refractive index decreases as wavelength increases (i.e., blue light bends more than red light).</w:t>
      </w:r>
    </w:p>
    <w:p>
      <w:pPr>
        <w:pStyle w:val="Heading2"/>
        <w:spacing w:before="300" w:after="120"/>
      </w:pPr>
      <w:r>
        <w:rPr>
          <w:rFonts w:ascii="Arial" w:cs="Arial" w:eastAsia="Arial" w:hAnsi="Arial"/>
          <w:b/>
          <w:bCs/>
          <w:color w:val="2E75B6"/>
          <w:sz w:val="26"/>
          <w:szCs w:val="26"/>
        </w:rPr>
        <w:t xml:space="preserve">5.1 Natural Phenomena: Rainbows</w:t>
      </w:r>
    </w:p>
    <w:p>
      <w:pPr>
        <w:spacing w:before="80" w:after="120"/>
        <w:jc w:val="both"/>
      </w:pPr>
      <w:r>
        <w:rPr>
          <w:rFonts w:ascii="Arial" w:cs="Arial" w:eastAsia="Arial" w:hAnsi="Arial"/>
          <w:sz w:val="22"/>
          <w:szCs w:val="22"/>
        </w:rPr>
        <w:t xml:space="preserve">Rainbows are the most visually spectacular consequence of dispersion combined with Snell's Law. When sunlight enters a spherical raindrop, it refracts, undergoes one internal reflection, and refracts again upon exiting. Because n varies with wavelength, different colors of light are deflected by different amounts. For the primary rainbow (one internal reflection), the geometry produces an arc at approximately 42° from the antisolar point for red light (least deflected) and approximately 40° for violet light (most deflected), giving a total angular width of about 2° and placing red on the outer edge.</w:t>
      </w:r>
    </w:p>
    <w:p>
      <w:pPr>
        <w:spacing w:before="80" w:after="120"/>
        <w:jc w:val="both"/>
      </w:pPr>
      <w:r>
        <w:rPr>
          <w:rFonts w:ascii="Arial" w:cs="Arial" w:eastAsia="Arial" w:hAnsi="Arial"/>
          <w:sz w:val="22"/>
          <w:szCs w:val="22"/>
        </w:rPr>
        <w:t xml:space="preserve">Secondary rainbows (two internal reflections) appear at about 51°, are fainter, and have the color order reversed (red on the inner edge). The dark band between the primary and secondary bows is Alexander's dark band, a region where no light is redirected toward the observer.</w:t>
      </w:r>
    </w:p>
    <w:p>
      <w:pPr>
        <w:pStyle w:val="Heading2"/>
        <w:spacing w:before="300" w:after="120"/>
      </w:pPr>
      <w:r>
        <w:rPr>
          <w:rFonts w:ascii="Arial" w:cs="Arial" w:eastAsia="Arial" w:hAnsi="Arial"/>
          <w:b/>
          <w:bCs/>
          <w:color w:val="2E75B6"/>
          <w:sz w:val="26"/>
          <w:szCs w:val="26"/>
        </w:rPr>
        <w:t xml:space="preserve">5.2 Gemology and Sparkle</w:t>
      </w:r>
    </w:p>
    <w:p>
      <w:pPr>
        <w:spacing w:before="80" w:after="120"/>
        <w:jc w:val="both"/>
      </w:pPr>
      <w:r>
        <w:rPr>
          <w:rFonts w:ascii="Arial" w:cs="Arial" w:eastAsia="Arial" w:hAnsi="Arial"/>
          <w:sz w:val="22"/>
          <w:szCs w:val="22"/>
        </w:rPr>
        <w:t xml:space="preserve">The extraordinary visual appeal of a cut diamond — characterized by its 'fire' (spectral color separation) and 'brilliance' (total light return) — is an engineered consequence of Snell's Law applied to a high-dispersion, high-index material. Diamond's refractive index of n = 2.417 gives it a critical angle of only 24.4°. The facets of a well-cut diamond are oriented such that virtually all light entering through the table (top face) strikes the lower facets at angles exceeding 24.4°, undergoes multiple TIR reflections, and exits through the crown facets. During this journey, the high dispersive power of diamond (B = 0.044) separates the colors significantly, producing the characteristic spectral fire.</w:t>
      </w:r>
    </w:p>
    <w:p>
      <w:pPr>
        <w:pStyle w:val="Heading2"/>
        <w:spacing w:before="300" w:after="120"/>
      </w:pPr>
      <w:r>
        <w:rPr>
          <w:rFonts w:ascii="Arial" w:cs="Arial" w:eastAsia="Arial" w:hAnsi="Arial"/>
          <w:b/>
          <w:bCs/>
          <w:color w:val="2E75B6"/>
          <w:sz w:val="26"/>
          <w:szCs w:val="26"/>
        </w:rPr>
        <w:t xml:space="preserve">5.3 Optical Artifacts</w:t>
      </w:r>
    </w:p>
    <w:p>
      <w:pPr>
        <w:pStyle w:val="ListParagraph"/>
        <w:numPr>
          <w:ilvl w:val="0"/>
          <w:numId w:val="2"/>
        </w:numPr>
        <w:spacing w:before="60" w:after="60"/>
      </w:pPr>
      <w:r>
        <w:rPr>
          <w:rFonts w:ascii="Arial" w:cs="Arial" w:eastAsia="Arial" w:hAnsi="Arial"/>
          <w:sz w:val="22"/>
          <w:szCs w:val="22"/>
        </w:rPr>
        <w:t xml:space="preserve">Chromatic Aberration: A single converging lens has a different focal length for each wavelength of light (since n varies with λ and focal length depends on n). Blue light focuses closer to the lens than red light, producing colored halos around images of point sources. This is a fundamental limitation of simple refracting telescopes.</w:t>
      </w:r>
    </w:p>
    <w:p>
      <w:pPr>
        <w:pStyle w:val="ListParagraph"/>
        <w:numPr>
          <w:ilvl w:val="0"/>
          <w:numId w:val="2"/>
        </w:numPr>
        <w:spacing w:before="60" w:after="60"/>
      </w:pPr>
      <w:r>
        <w:rPr>
          <w:rFonts w:ascii="Arial" w:cs="Arial" w:eastAsia="Arial" w:hAnsi="Arial"/>
          <w:sz w:val="22"/>
          <w:szCs w:val="22"/>
        </w:rPr>
        <w:t xml:space="preserve">Achromatic Doublets: Optical engineers correct chromatic aberration by combining two lens elements made from glasses with different dispersive properties (Abbe V-numbers). A converging crown glass element is cemented to a diverging flint glass element. Since flint glass has significantly higher dispersive power, the combination can be engineered to bring two chosen wavelengths (typically the Fraunhofer C and F lines) to a common focus, with only residual secondary spectrum remaining.</w:t>
      </w:r>
    </w:p>
    <w:p>
      <w:pPr>
        <w:spacing w:before="60" w:after="6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6. Modern Applications and Emerging Technologies</w:t>
      </w:r>
    </w:p>
    <w:p>
      <w:pPr>
        <w:pStyle w:val="Heading2"/>
        <w:spacing w:before="300" w:after="120"/>
      </w:pPr>
      <w:r>
        <w:rPr>
          <w:rFonts w:ascii="Arial" w:cs="Arial" w:eastAsia="Arial" w:hAnsi="Arial"/>
          <w:b/>
          <w:bCs/>
          <w:color w:val="2E75B6"/>
          <w:sz w:val="26"/>
          <w:szCs w:val="26"/>
        </w:rPr>
        <w:t xml:space="preserve">6.1 Fiber Optic Communications</w:t>
      </w:r>
    </w:p>
    <w:p>
      <w:pPr>
        <w:spacing w:before="80" w:after="120"/>
        <w:jc w:val="both"/>
      </w:pPr>
      <w:r>
        <w:rPr>
          <w:rFonts w:ascii="Arial" w:cs="Arial" w:eastAsia="Arial" w:hAnsi="Arial"/>
          <w:sz w:val="22"/>
          <w:szCs w:val="22"/>
        </w:rPr>
        <w:t xml:space="preserve">Optical fiber technology is the most consequential large-scale application of total internal reflection. A standard single-mode optical fiber consists of a cylindrical silica glass core (refractive index approximately 1.462) surrounded by a concentric cladding of slightly lower-index glass (approximately 1.457). The fractional index difference (~0.3%) creates an acceptance cone for light entering the fiber. Light injected within this acceptance cone propagates via continuous TIR along the fiber's length.</w:t>
      </w:r>
    </w:p>
    <w:p>
      <w:pPr>
        <w:spacing w:before="80" w:after="120"/>
        <w:jc w:val="both"/>
      </w:pPr>
      <w:r>
        <w:rPr>
          <w:rFonts w:ascii="Arial" w:cs="Arial" w:eastAsia="Arial" w:hAnsi="Arial"/>
          <w:sz w:val="22"/>
          <w:szCs w:val="22"/>
        </w:rPr>
        <w:t xml:space="preserve">Modern submarine fiber optic cables can transmit terabits of data per second over thousands of kilometers with signal loss as low as 0.2 dB/km (well below what copper cables achieve at any distance). Dense wavelength-division multiplexing (DWDM) allows a single fiber to carry hundreds of independent optical channels simultaneously, each at a different wavelength but all governed by the same Snell's Law boundary conditions.</w:t>
      </w:r>
    </w:p>
    <w:p>
      <w:pPr>
        <w:pStyle w:val="Heading2"/>
        <w:spacing w:before="300" w:after="120"/>
      </w:pPr>
      <w:r>
        <w:rPr>
          <w:rFonts w:ascii="Arial" w:cs="Arial" w:eastAsia="Arial" w:hAnsi="Arial"/>
          <w:b/>
          <w:bCs/>
          <w:color w:val="2E75B6"/>
          <w:sz w:val="26"/>
          <w:szCs w:val="26"/>
        </w:rPr>
        <w:t xml:space="preserve">6.2 Medical Instrumentation</w:t>
      </w:r>
    </w:p>
    <w:p>
      <w:pPr>
        <w:spacing w:before="80" w:after="120"/>
        <w:jc w:val="both"/>
      </w:pPr>
      <w:r>
        <w:rPr>
          <w:rFonts w:ascii="Arial" w:cs="Arial" w:eastAsia="Arial" w:hAnsi="Arial"/>
          <w:sz w:val="22"/>
          <w:szCs w:val="22"/>
        </w:rPr>
        <w:t xml:space="preserve">Endoscopes and arthroscopes use coherent fiber bundles to transmit high-resolution images from inside the body to external imaging systems. Flexible endoscopes may contain tens of thousands of individual fibers, each corresponding to a single image pixel. Separate illumination fibers deliver white light to the imaging target. Modern video endoscopes use miniaturized CCD or CMOS sensors at the distal tip, with fiber channels reserved for illumination and instrument channels.</w:t>
      </w:r>
    </w:p>
    <w:p>
      <w:pPr>
        <w:spacing w:before="80" w:after="120"/>
        <w:jc w:val="both"/>
      </w:pPr>
      <w:r>
        <w:rPr>
          <w:rFonts w:ascii="Arial" w:cs="Arial" w:eastAsia="Arial" w:hAnsi="Arial"/>
          <w:sz w:val="22"/>
          <w:szCs w:val="22"/>
        </w:rPr>
        <w:t xml:space="preserve">Confocal endomicroscopy takes this further, using single-mode fibers and laser illumination to provide real-time histological-resolution images of tissue without biopsy — what clinicians call optical biopsy. All of this instrumentation is fundamentally enabled by the TIR-based waveguiding property that Snell's Law predicts.</w:t>
      </w:r>
    </w:p>
    <w:p>
      <w:pPr>
        <w:pStyle w:val="Heading2"/>
        <w:spacing w:before="300" w:after="120"/>
      </w:pPr>
      <w:r>
        <w:rPr>
          <w:rFonts w:ascii="Arial" w:cs="Arial" w:eastAsia="Arial" w:hAnsi="Arial"/>
          <w:b/>
          <w:bCs/>
          <w:color w:val="2E75B6"/>
          <w:sz w:val="26"/>
          <w:szCs w:val="26"/>
        </w:rPr>
        <w:t xml:space="preserve">6.3 Atmospheric Refraction: Mirages</w:t>
      </w:r>
    </w:p>
    <w:p>
      <w:pPr>
        <w:spacing w:before="80" w:after="120"/>
        <w:jc w:val="both"/>
      </w:pPr>
      <w:r>
        <w:rPr>
          <w:rFonts w:ascii="Arial" w:cs="Arial" w:eastAsia="Arial" w:hAnsi="Arial"/>
          <w:sz w:val="22"/>
          <w:szCs w:val="22"/>
        </w:rPr>
        <w:t xml:space="preserve">The atmosphere is not a uniform medium; it has vertical temperature gradients that produce corresponding gradients in its refractive index (since n for air is a function of density, which depends on temperature). Light traveling through such a gradient medium undergoes continuous refraction, bending toward the region of higher refractive index (denser, cooler air).</w:t>
      </w:r>
    </w:p>
    <w:p>
      <w:pPr>
        <w:pStyle w:val="ListParagraph"/>
        <w:numPr>
          <w:ilvl w:val="0"/>
          <w:numId w:val="2"/>
        </w:numPr>
        <w:spacing w:before="60" w:after="60"/>
      </w:pPr>
      <w:r>
        <w:rPr>
          <w:rFonts w:ascii="Arial" w:cs="Arial" w:eastAsia="Arial" w:hAnsi="Arial"/>
          <w:sz w:val="22"/>
          <w:szCs w:val="22"/>
        </w:rPr>
        <w:t xml:space="preserve">Inferior Mirages: In hot desert conditions (or on hot pavement), air near the ground is warmer and less dense than air higher up, creating a refractive index that increases with altitude. Light rays from the sky are continuously refracted upward as they descend toward the hot surface, eventually curving back up toward the observer's eye. The observer perceives this refracted sky light as coming from the ground, creating the classic illusion of a water pool or reflective lake surface.</w:t>
      </w:r>
    </w:p>
    <w:p>
      <w:pPr>
        <w:pStyle w:val="ListParagraph"/>
        <w:numPr>
          <w:ilvl w:val="0"/>
          <w:numId w:val="2"/>
        </w:numPr>
        <w:spacing w:before="60" w:after="60"/>
      </w:pPr>
      <w:r>
        <w:rPr>
          <w:rFonts w:ascii="Arial" w:cs="Arial" w:eastAsia="Arial" w:hAnsi="Arial"/>
          <w:sz w:val="22"/>
          <w:szCs w:val="22"/>
        </w:rPr>
        <w:t xml:space="preserve">Superior Mirages and Looming: Over cold surfaces (particularly polar seas), the air layer immediately above the surface is denser than air at higher altitudes. Light rays are continuously bent downward, allowing distant objects well below the geometric horizon to become visible. In extreme cases, objects can appear to float significantly above the horizon in dramatically distorted forms, a phenomenon called looming.</w:t>
      </w:r>
    </w:p>
    <w:p>
      <w:pPr>
        <w:pStyle w:val="Heading2"/>
        <w:spacing w:before="300" w:after="120"/>
      </w:pPr>
      <w:r>
        <w:rPr>
          <w:rFonts w:ascii="Arial" w:cs="Arial" w:eastAsia="Arial" w:hAnsi="Arial"/>
          <w:b/>
          <w:bCs/>
          <w:color w:val="2E75B6"/>
          <w:sz w:val="26"/>
          <w:szCs w:val="26"/>
        </w:rPr>
        <w:t xml:space="preserve">6.4 Advanced Optical Systems</w:t>
      </w:r>
    </w:p>
    <w:p>
      <w:pPr>
        <w:pStyle w:val="ListParagraph"/>
        <w:numPr>
          <w:ilvl w:val="0"/>
          <w:numId w:val="2"/>
        </w:numPr>
        <w:spacing w:before="60" w:after="60"/>
      </w:pPr>
      <w:r>
        <w:rPr>
          <w:rFonts w:ascii="Arial" w:cs="Arial" w:eastAsia="Arial" w:hAnsi="Arial"/>
          <w:sz w:val="22"/>
          <w:szCs w:val="22"/>
        </w:rPr>
        <w:t xml:space="preserve">Birefringence: In optically anisotropic crystals such as calcite (Iceland spar), quartz, and barium borate, the refractive index depends on both the wavelength and the polarization state of the light, as well as the direction of propagation through the crystal. Such materials split an incident beam into an ordinary ray (o-ray) that obeys Snell's Law, and an extraordinary ray (e-ray) that can violate Snell's Law in its standard form — refracting at normal incidence or exhibiting a different angle than Snell's Law predicts. Birefringent crystals are essential components in wave plates, polarizing beam splitters, and optical isolators.</w:t>
      </w:r>
    </w:p>
    <w:p>
      <w:pPr>
        <w:pStyle w:val="ListParagraph"/>
        <w:numPr>
          <w:ilvl w:val="0"/>
          <w:numId w:val="2"/>
        </w:numPr>
        <w:spacing w:before="60" w:after="60"/>
      </w:pPr>
      <w:r>
        <w:rPr>
          <w:rFonts w:ascii="Arial" w:cs="Arial" w:eastAsia="Arial" w:hAnsi="Arial"/>
          <w:sz w:val="22"/>
          <w:szCs w:val="22"/>
        </w:rPr>
        <w:t xml:space="preserve">Metamaterials and Negative Refraction: Victor Veselago theorized in 1968 that a material with simultaneously negative electric permittivity and negative magnetic permeability would exhibit a negative refractive index. In such a material, refracted rays would bend to the same side of the normal as the incident ray — 'backward' refraction. Practical metamaterials with negative effective refractive indices at microwave and near-infrared frequencies were first demonstrated in 2000-2001. They enable superlenses capable in principle of imaging below the diffraction limit, and perfect absorption structures.</w:t>
      </w:r>
    </w:p>
    <w:p>
      <w:pPr>
        <w:pStyle w:val="ListParagraph"/>
        <w:numPr>
          <w:ilvl w:val="0"/>
          <w:numId w:val="2"/>
        </w:numPr>
        <w:spacing w:before="60" w:after="60"/>
      </w:pPr>
      <w:r>
        <w:rPr>
          <w:rFonts w:ascii="Arial" w:cs="Arial" w:eastAsia="Arial" w:hAnsi="Arial"/>
          <w:sz w:val="22"/>
          <w:szCs w:val="22"/>
        </w:rPr>
        <w:t xml:space="preserve">Nonlinear Optics and the Kerr Effect: At extreme laser intensities, the linear relationship between the electric field and the material polarization breaks down. The Kerr effect causes the refractive index to become intensity-dependent: n = n₀ + n₂I, where n₂ is the nonlinear refractive index and I is the local optical intensity. This intensity-dependent refractive index causes laser beams to self-focus (Kerr self-focusing), a threshold phenomenon that can lead to optical damage or, if balanced against diffraction, to stable spatial solitons.</w:t>
      </w:r>
    </w:p>
    <w:p>
      <w:pPr>
        <w:spacing w:before="60" w:after="60"/>
      </w:pPr>
      <w:r>
        <w:t xml:space="preserve"/>
      </w:r>
    </w:p>
    <w:p>
      <w:pPr>
        <w:pStyle w:val="Heading1"/>
        <w:pBdr>
          <w:bottom w:val="single" w:color="1F4E79" w:sz="6" w:space="1"/>
        </w:pBdr>
        <w:spacing w:before="400" w:after="200"/>
      </w:pPr>
      <w:r>
        <w:rPr>
          <w:rFonts w:ascii="Arial" w:cs="Arial" w:eastAsia="Arial" w:hAnsi="Arial"/>
          <w:b/>
          <w:bCs/>
          <w:color w:val="1F4E79"/>
          <w:sz w:val="32"/>
          <w:szCs w:val="32"/>
        </w:rPr>
        <w:t xml:space="preserve">7. Research Synthesis and Conclusion</w:t>
      </w:r>
    </w:p>
    <w:p>
      <w:pPr>
        <w:pStyle w:val="Heading2"/>
        <w:spacing w:before="300" w:after="120"/>
      </w:pPr>
      <w:r>
        <w:rPr>
          <w:rFonts w:ascii="Arial" w:cs="Arial" w:eastAsia="Arial" w:hAnsi="Arial"/>
          <w:b/>
          <w:bCs/>
          <w:color w:val="2E75B6"/>
          <w:sz w:val="26"/>
          <w:szCs w:val="26"/>
        </w:rPr>
        <w:t xml:space="preserve">7.1 From Geometry to Photonics: A Historical Arc</w:t>
      </w:r>
    </w:p>
    <w:p>
      <w:pPr>
        <w:spacing w:before="80" w:after="120"/>
        <w:jc w:val="both"/>
      </w:pPr>
      <w:r>
        <w:rPr>
          <w:rFonts w:ascii="Arial" w:cs="Arial" w:eastAsia="Arial" w:hAnsi="Arial"/>
          <w:sz w:val="22"/>
          <w:szCs w:val="22"/>
        </w:rPr>
        <w:t xml:space="preserve">Snell's Law serves as the foundational grammar of optical science, providing the governing rules for energy and information transitions across media boundaries. Historically, the law represents a triumph of cross-cultural intellectual evolution, beginning as a 10th-century geometric tool deployed by Ibn Sahl to shape lenses in Abbasid Baghdad, and continuously refined through the Renaissance into the trigonometric form universally taught today.</w:t>
      </w:r>
    </w:p>
    <w:p>
      <w:pPr>
        <w:spacing w:before="80" w:after="120"/>
        <w:jc w:val="both"/>
      </w:pPr>
      <w:r>
        <w:rPr>
          <w:rFonts w:ascii="Arial" w:cs="Arial" w:eastAsia="Arial" w:hAnsi="Arial"/>
          <w:sz w:val="22"/>
          <w:szCs w:val="22"/>
        </w:rPr>
        <w:t xml:space="preserve">The transition of the law through the centuries mirrors the evolution of physics itself. In the 17th century, it was a mechanical principle derived from Descartes' projectile models of light corpuscles. By the 19th century, it was re-contextualized as a wave phenomenon through the geometric optics of Huygens and the field equations of Maxwell. In the 20th century, it was understood through quantum mechanics as the conservation of transverse photon momentum. Despite these radical paradigm shifts in the underlying description of what light fundamentally is, the mathematical core — the ratio of sines — remained invariant, a testament to its deep structural significance.</w:t>
      </w:r>
    </w:p>
    <w:p>
      <w:pPr>
        <w:pStyle w:val="Heading2"/>
        <w:spacing w:before="300" w:after="120"/>
      </w:pPr>
      <w:r>
        <w:rPr>
          <w:rFonts w:ascii="Arial" w:cs="Arial" w:eastAsia="Arial" w:hAnsi="Arial"/>
          <w:b/>
          <w:bCs/>
          <w:color w:val="2E75B6"/>
          <w:sz w:val="26"/>
          <w:szCs w:val="26"/>
        </w:rPr>
        <w:t xml:space="preserve">7.2 The Law in 21st Century Optics</w:t>
      </w:r>
    </w:p>
    <w:p>
      <w:pPr>
        <w:spacing w:before="80" w:after="120"/>
        <w:jc w:val="both"/>
      </w:pPr>
      <w:r>
        <w:rPr>
          <w:rFonts w:ascii="Arial" w:cs="Arial" w:eastAsia="Arial" w:hAnsi="Arial"/>
          <w:sz w:val="22"/>
          <w:szCs w:val="22"/>
        </w:rPr>
        <w:t xml:space="preserve">The modern relevance of Snell's Law has, if anything, intensified rather than diminished as optical science has descended into the nanoscale. Classical ray tracing based on Snell's Law remains the computational foundation of virtually all lens design software. Advanced 21st-century optics now extends the framework to account for phase-gradient shifts at metasurfaces (the generalized law of refraction), negative refraction in metamaterials, and the modification of effective refractive indices in photonic crystal structures.</w:t>
      </w:r>
    </w:p>
    <w:p>
      <w:pPr>
        <w:spacing w:before="80" w:after="120"/>
        <w:jc w:val="both"/>
      </w:pPr>
      <w:r>
        <w:rPr>
          <w:rFonts w:ascii="Arial" w:cs="Arial" w:eastAsia="Arial" w:hAnsi="Arial"/>
          <w:sz w:val="22"/>
          <w:szCs w:val="22"/>
        </w:rPr>
        <w:t xml:space="preserve">The law's survival through the transitions from analog optics to telecommunications-grade fiber optics and now to integrated photonic circuits for quantum computing is a testament to its truly fundamental status in the physical universe. Current research in photonic quantum computing directly employs waveguide geometry — engineered refractive index structures — to route single photons through complex quantum interference circuits.</w:t>
      </w:r>
    </w:p>
    <w:p>
      <w:pPr>
        <w:pStyle w:val="Heading2"/>
        <w:spacing w:before="300" w:after="120"/>
      </w:pPr>
      <w:r>
        <w:rPr>
          <w:rFonts w:ascii="Arial" w:cs="Arial" w:eastAsia="Arial" w:hAnsi="Arial"/>
          <w:b/>
          <w:bCs/>
          <w:color w:val="2E75B6"/>
          <w:sz w:val="26"/>
          <w:szCs w:val="26"/>
        </w:rPr>
        <w:t xml:space="preserve">7.3 Limitations and Extensions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4080"/>
      </w:tblGrid>
      <w:tr>
        <w:tc>
          <w:tcPr>
            <w:tcW w:type="dxa" w:w="2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Classical Snell's Law</w:t>
            </w:r>
          </w:p>
        </w:tc>
        <w:tc>
          <w:tcPr>
            <w:tcW w:type="dxa" w:w="264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Advanced Phenomenon</w:t>
            </w:r>
          </w:p>
        </w:tc>
        <w:tc>
          <w:tcPr>
            <w:tcW w:type="dxa" w:w="40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Physical Distinction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Isotropic Media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Birefringence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n depends on polarization/direction; e-ray violates standard form.</w:t>
            </w:r>
          </w:p>
        </w:tc>
      </w:tr>
      <w:tr>
        <w:tc>
          <w:tcPr>
            <w:tcW w:type="dxa" w:w="2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Instant Reflection</w:t>
            </w:r>
          </w:p>
        </w:tc>
        <w:tc>
          <w:tcPr>
            <w:tcW w:type="dxa" w:w="2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Goos-Hänchen Shift</w:t>
            </w:r>
          </w:p>
        </w:tc>
        <w:tc>
          <w:tcPr>
            <w:tcW w:type="dxa" w:w="40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Lateral displacement of reflected beam due to evanescent penetration.</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Positive Refraction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Negative Refraction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Light bends 'backward' in engineered metamaterials.</w:t>
            </w:r>
          </w:p>
        </w:tc>
      </w:tr>
      <w:tr>
        <w:tc>
          <w:tcPr>
            <w:tcW w:type="dxa" w:w="2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Intensity Independent</w:t>
            </w:r>
          </w:p>
        </w:tc>
        <w:tc>
          <w:tcPr>
            <w:tcW w:type="dxa" w:w="2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Kerr Effect</w:t>
            </w:r>
          </w:p>
        </w:tc>
        <w:tc>
          <w:tcPr>
            <w:tcW w:type="dxa" w:w="40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Refractive index is a function of local light intensity.</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Interface Interaction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Surface Plasmons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sz w:val="20"/>
                <w:szCs w:val="20"/>
              </w:rPr>
              <w:t xml:space="preserve">Light couples to collective electron oscillations at metal interfaces.</w:t>
            </w:r>
          </w:p>
        </w:tc>
      </w:tr>
      <w:tr>
        <w:tc>
          <w:tcPr>
            <w:tcW w:type="dxa" w:w="2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Flat Interfaces Only</w:t>
            </w:r>
          </w:p>
        </w:tc>
        <w:tc>
          <w:tcPr>
            <w:tcW w:type="dxa" w:w="26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Metasurface Refraction</w:t>
            </w:r>
          </w:p>
        </w:tc>
        <w:tc>
          <w:tcPr>
            <w:tcW w:type="dxa" w:w="40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vAlign w:val="center"/>
          </w:tcPr>
          <w:p>
            <w:pPr>
              <w:jc w:val="center"/>
            </w:pPr>
            <w:r>
              <w:rPr>
                <w:rFonts w:ascii="Arial" w:cs="Arial" w:eastAsia="Arial" w:hAnsi="Arial"/>
                <w:sz w:val="20"/>
                <w:szCs w:val="20"/>
              </w:rPr>
              <w:t xml:space="preserve">Phase gradient introduces an additional term in the sine law.</w:t>
            </w:r>
          </w:p>
        </w:tc>
      </w:tr>
    </w:tbl>
    <w:p>
      <w:pPr>
        <w:spacing w:before="60" w:after="60"/>
      </w:pPr>
      <w:r>
        <w:t xml:space="preserve"/>
      </w:r>
    </w:p>
    <w:p>
      <w:pPr>
        <w:pStyle w:val="Heading2"/>
        <w:spacing w:before="300" w:after="120"/>
      </w:pPr>
      <w:r>
        <w:rPr>
          <w:rFonts w:ascii="Arial" w:cs="Arial" w:eastAsia="Arial" w:hAnsi="Arial"/>
          <w:b/>
          <w:bCs/>
          <w:color w:val="2E75B6"/>
          <w:sz w:val="26"/>
          <w:szCs w:val="26"/>
        </w:rPr>
        <w:t xml:space="preserve">7.4 Final Conclusion</w:t>
      </w:r>
    </w:p>
    <w:p>
      <w:pPr>
        <w:spacing w:before="80" w:after="120"/>
        <w:jc w:val="both"/>
      </w:pPr>
      <w:r>
        <w:rPr>
          <w:rFonts w:ascii="Arial" w:cs="Arial" w:eastAsia="Arial" w:hAnsi="Arial"/>
          <w:sz w:val="22"/>
          <w:szCs w:val="22"/>
        </w:rPr>
        <w:t xml:space="preserve">From the burning instruments of Ibn Sahl to the meta-optical superlenses of the modern laboratory, Snell's Law remains the essential link between the propagation of light and the material world. It is the bridge between classical optical intuition and the complex, often deeply counter-intuitive behavior of light at the boundaries of matter. Its mathematical simplicity encodes a profound physical principle — the conservation of the transverse component of the photon's wave vector — that persists from the radio-frequency regime all the way to X-ray optics.</w:t>
      </w:r>
    </w:p>
    <w:p>
      <w:pPr>
        <w:spacing w:before="80" w:after="120"/>
        <w:jc w:val="both"/>
      </w:pPr>
      <w:r>
        <w:rPr>
          <w:rFonts w:ascii="Arial" w:cs="Arial" w:eastAsia="Arial" w:hAnsi="Arial"/>
          <w:sz w:val="22"/>
          <w:szCs w:val="22"/>
        </w:rPr>
        <w:t xml:space="preserve">As optical science moves toward a future dominated by photonic computing, integrated nanophotonics, and quantum optical networks, the principles formalized by Snellius and his predecessors will continue to provide the guiding framework for our manipulation of the electromagnetic spectrum. The equation n₁ sinθ₁ = n₂ sinθ₂, first inscribed on a manuscript in 10th-century Baghdad, remains an indispensable tool of 21st-century physics.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spacing w:before="0"/>
      <w:jc w:val="center"/>
    </w:pPr>
    <w:r>
      <w:rPr>
        <w:rFonts w:ascii="Arial" w:cs="Arial" w:eastAsia="Arial" w:hAnsi="Arial"/>
        <w:color w:val="606060"/>
        <w:sz w:val="16"/>
        <w:szCs w:val="16"/>
      </w:rPr>
      <w:t xml:space="preserve">Snell's Law — Extended Report    |    Page </w:t>
    </w:r>
    <w:r>
      <w:rPr>
        <w:rFonts w:ascii="Arial" w:cs="Arial" w:eastAsia="Arial" w:hAnsi="Arial"/>
        <w:b/>
        <w:bCs/>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0"/>
    </w:pPr>
    <w:r>
      <w:rPr>
        <w:rFonts w:ascii="Arial" w:cs="Arial" w:eastAsia="Arial" w:hAnsi="Arial"/>
        <w:color w:val="1F4E79"/>
        <w:sz w:val="18"/>
        <w:szCs w:val="18"/>
      </w:rPr>
      <w:t xml:space="preserve">The Physics and Evolution of Snell's Law  —  Comprehensive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2026-03-30T17:46:05.235Z</dcterms:created>
  <dcterms:modified xsi:type="dcterms:W3CDTF">2026-03-30T17:46:05.235Z</dcterms:modified>
</cp:coreProperties>
</file>

<file path=docProps/custom.xml><?xml version="1.0" encoding="utf-8"?>
<Properties xmlns="http://schemas.openxmlformats.org/officeDocument/2006/custom-properties" xmlns:vt="http://schemas.openxmlformats.org/officeDocument/2006/docPropsVTypes"/>
</file>