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E805D" w14:textId="32943FB8" w:rsidR="0096265A" w:rsidRDefault="0096265A" w:rsidP="0096265A">
      <w:pPr>
        <w:ind w:firstLine="720"/>
        <w:jc w:val="center"/>
        <w:rPr>
          <w:b/>
        </w:rPr>
      </w:pPr>
      <w:commentRangeStart w:id="0"/>
      <w:r>
        <w:rPr>
          <w:b/>
        </w:rPr>
        <w:t>Influence of violent depictions of mental illness on prejudice; ‘Why so serious?’</w:t>
      </w:r>
      <w:commentRangeEnd w:id="0"/>
      <w:r w:rsidR="008A1229">
        <w:rPr>
          <w:rStyle w:val="CommentReference"/>
        </w:rPr>
        <w:commentReference w:id="0"/>
      </w:r>
    </w:p>
    <w:p w14:paraId="5E95E81A" w14:textId="46A12667" w:rsidR="00421D07" w:rsidRPr="00421D07" w:rsidRDefault="00421D07" w:rsidP="00421D07">
      <w:r>
        <w:t>…</w:t>
      </w:r>
    </w:p>
    <w:p w14:paraId="1BD1EB18" w14:textId="2C73CEF7" w:rsidR="00421D07" w:rsidRPr="00421D07" w:rsidRDefault="00421D07" w:rsidP="00421D07">
      <w:pPr>
        <w:rPr>
          <w:b/>
        </w:rPr>
      </w:pPr>
      <w:r w:rsidRPr="00421D07">
        <w:rPr>
          <w:b/>
        </w:rPr>
        <w:t>Method</w:t>
      </w:r>
    </w:p>
    <w:p w14:paraId="369D1241" w14:textId="052CA647" w:rsidR="00FC7506" w:rsidRDefault="006B7608" w:rsidP="004626B2">
      <w:pPr>
        <w:ind w:firstLine="720"/>
      </w:pPr>
      <w:r>
        <w:t xml:space="preserve">We had </w:t>
      </w:r>
      <w:r w:rsidR="004626B2">
        <w:t xml:space="preserve">a community sample of </w:t>
      </w:r>
      <w:r>
        <w:t>163 participants attend the viewing</w:t>
      </w:r>
      <w:r w:rsidR="0033076B">
        <w:t xml:space="preserve"> and complete both pre- and post- movie surveys, none of whom reported seeing either movie previously. Participants were then randomly assigned to a theatre with 80 (49 female) viewing Joker and 84 (53 female) viewing Terminator</w:t>
      </w:r>
      <w:r w:rsidR="004626B2">
        <w:t xml:space="preserve">. In both </w:t>
      </w:r>
      <w:r w:rsidR="00D003BF">
        <w:t>movie conditions</w:t>
      </w:r>
      <w:r w:rsidR="004626B2">
        <w:t>, the average age was 30 years old</w:t>
      </w:r>
      <w:r w:rsidR="00D003BF">
        <w:t xml:space="preserve"> </w:t>
      </w:r>
      <w:r w:rsidR="00870C7D">
        <w:t>with</w:t>
      </w:r>
      <w:r w:rsidR="00D003BF">
        <w:t xml:space="preserve"> standard deviation </w:t>
      </w:r>
      <w:r w:rsidR="00870C7D">
        <w:t xml:space="preserve">of </w:t>
      </w:r>
      <w:r w:rsidR="00D003BF">
        <w:t>9.8 years old for Joker, and 10.5 years old for Terminator. We also had a r</w:t>
      </w:r>
      <w:bookmarkStart w:id="1" w:name="_GoBack"/>
      <w:bookmarkEnd w:id="1"/>
      <w:r w:rsidR="00D003BF">
        <w:t xml:space="preserve">epresentative mix of ethnicities with the Joker group being 39% European, 33% Asian, 15% Maori or Pacifica, and 14% other ethnicities. The Terminator group consisted of 61% European, 27% Asian, 12% Maori or Pacifica, and 11% other ethnicities. </w:t>
      </w:r>
      <w:r w:rsidR="004626B2">
        <w:t>In the pre-movie survey, participants reported demographics and a baseline level of prejudice. Directly after viewing the movie, participants completed the post-movie survey, reporting levels of prejudice</w:t>
      </w:r>
      <w:r w:rsidR="00F94EF6">
        <w:t xml:space="preserve"> </w:t>
      </w:r>
      <w:r w:rsidR="00F94EF6">
        <w:fldChar w:fldCharType="begin"/>
      </w:r>
      <w:r w:rsidR="00F94EF6">
        <w:instrText xml:space="preserve"> ADDIN ZOTERO_ITEM CSL_CITATION {"citationID":"TUlYfqlo","properties":{"formattedCitation":"(Kenny, Bizumic, &amp; Griffiths, 2018)","plainCitation":"(Kenny, Bizumic, &amp; Griffiths, 2018)","noteIndex":0},"citationItems":[{"id":320,"uris":["http://zotero.org/users/4722711/items/J9HN5562"],"uri":["http://zotero.org/users/4722711/items/J9HN5562"],"itemData":{"id":320,"type":"article-journal","abstract":"Background: Although there is a substantial body of research on the stigma associated with mental illness, much of the extant research has not explicitly focused on the concept of prejudice, which drives discriminatory behaviour. Further, research that has investigated prejudice towards people with mental illness has conceptual, theoretical and psychometric limitations. To address these shortcomings, we sought to develop a new measure, the Prejudice towards People with Mental Illness (PPMI) scale, based on an improved conceptualisation and integration of the stigma and prejudice areas of research. Methods: In developing the new scale, we undertook a thematic analysis of existing conceptualisations and measures to identify a pool of potential items for the scale which were subsequently assessed for fidelity and content validity by expert raters. We tested the structure, reliability, and validity of the scale across three studies (Study 1 N = 301; Study 2 N = 164; Study 3 N = 495) using exploratory factor, confirmatory factor, correlational, multiple regression, and ordinal logistic regression analyses using both select and general community samples. Results: Study 1 identified four factors underlying prejudice towards people with mental illness: fear/avoidance, malevolence, authoritarianism, and unpredictability. It also confirmed the nomological network, that is, the links of these attitudes with the proposed theoretical antecedents and consequences. Studies 2 and 3 further supported the factor structure of the measure, and provided additional evidence for the nomological network. Conclusions: We argue that research into prejudice towards people with mental illness will benefit from the new measure and theoretical framework. (PsycINFO Database Record (c) 2019 APA, all rights reserved)","container-title":"BMC Psychiatry","ISSN":"1471-244X(Electronic)","source":"APA PsycNET","title":"The Prejudice towards People with Mental Illness (PPMI) scale: Structure and validity","title-short":"The Prejudice towards People with Mental Illness (PPMI) scale","volume":"18","author":[{"family":"Kenny","given":"Amanda"},{"family":"Bizumic","given":"Boris"},{"family":"Griffiths","given":"Kathleen M."}],"issued":{"date-parts":[["2018"]]}}}],"schema":"https://github.com/citation-style-language/schema/raw/master/csl-citation.json"} </w:instrText>
      </w:r>
      <w:r w:rsidR="00F94EF6">
        <w:fldChar w:fldCharType="separate"/>
      </w:r>
      <w:r w:rsidR="00F94EF6" w:rsidRPr="00F94EF6">
        <w:rPr>
          <w:rFonts w:ascii="Calibri" w:hAnsi="Calibri" w:cs="Calibri"/>
        </w:rPr>
        <w:t>(Kenny, Bizumic, &amp; Griffiths, 2018)</w:t>
      </w:r>
      <w:r w:rsidR="00F94EF6">
        <w:fldChar w:fldCharType="end"/>
      </w:r>
      <w:r w:rsidR="004626B2">
        <w:t xml:space="preserve"> and authoritarianism </w:t>
      </w:r>
      <w:r w:rsidR="00421D07">
        <w:fldChar w:fldCharType="begin"/>
      </w:r>
      <w:r w:rsidR="00421D07">
        <w:instrText xml:space="preserve"> ADDIN ZOTERO_ITEM CSL_CITATION {"citationID":"Ba9jI8OV","properties":{"formattedCitation":"(Davis, 1983)","plainCitation":"(Davis, 1983)","noteIndex":0},"citationItems":[{"id":325,"uris":["http://zotero.org/users/4722711/items/7V3VHVGA"],"uri":["http://zotero.org/users/4722711/items/7V3VHVGA"],"itemData":{"id":325,"type":"article-journal","abstract":"Describes the Interpersonal Reactivity Index (IRI) and its relationships with measures of social functioning, self-esteem, emotionality, and sensitivity to others. 677 male and 667 female undergraduates served as Ss. Each of the 4 IRI subscales displayed a distinctive and predictable pattern of relationships with these measures, as well as with previous unidimensional empathy measures. Findings provide evidence for a multidimensional approach to empathy. (29 ref) (PsycINFO Database Record (c) 2019 APA, all rights reserved)","container-title":"Journal of Personality and Social Psychology","DOI":"10.1037/0022-3514.44.1.113","ISSN":"1939-1315(Electronic),0022-3514(Print)","issue":"1","page":"113-126","source":"APA PsycNET","title":"Measuring individual differences in empathy: Evidence for a multidimensional approach","title-short":"Measuring individual differences in empathy","volume":"44","author":[{"family":"Davis","given":"Mark H."}],"issued":{"date-parts":[["1983"]]}}}],"schema":"https://github.com/citation-style-language/schema/raw/master/csl-citation.json"} </w:instrText>
      </w:r>
      <w:r w:rsidR="00421D07">
        <w:fldChar w:fldCharType="separate"/>
      </w:r>
      <w:r w:rsidR="00421D07" w:rsidRPr="00421D07">
        <w:rPr>
          <w:rFonts w:ascii="Calibri" w:hAnsi="Calibri" w:cs="Calibri"/>
        </w:rPr>
        <w:t>(Davis, 1983)</w:t>
      </w:r>
      <w:r w:rsidR="00421D07">
        <w:fldChar w:fldCharType="end"/>
      </w:r>
      <w:r w:rsidR="00421D07">
        <w:t xml:space="preserve"> </w:t>
      </w:r>
      <w:r w:rsidR="004626B2">
        <w:t xml:space="preserve">using Likert scales. We conducted </w:t>
      </w:r>
      <w:r w:rsidR="0023508B">
        <w:t>c</w:t>
      </w:r>
      <w:r w:rsidR="004626B2">
        <w:t xml:space="preserve">onfirmatory </w:t>
      </w:r>
      <w:r w:rsidR="0023508B">
        <w:t>f</w:t>
      </w:r>
      <w:r w:rsidR="004626B2">
        <w:t xml:space="preserve">actor </w:t>
      </w:r>
      <w:r w:rsidR="0023508B">
        <w:t>a</w:t>
      </w:r>
      <w:r w:rsidR="004626B2">
        <w:t>nalysis to produce</w:t>
      </w:r>
      <w:r w:rsidR="00421D07">
        <w:t>d</w:t>
      </w:r>
      <w:r w:rsidR="004626B2">
        <w:t xml:space="preserve"> latent variables of each scale for our analyses.</w:t>
      </w:r>
    </w:p>
    <w:p w14:paraId="1ED5D1C5" w14:textId="0FDB6B27" w:rsidR="00421D07" w:rsidRPr="00421D07" w:rsidRDefault="00421D07" w:rsidP="00421D07">
      <w:pPr>
        <w:rPr>
          <w:b/>
        </w:rPr>
      </w:pPr>
      <w:r>
        <w:rPr>
          <w:b/>
        </w:rPr>
        <w:t>Results</w:t>
      </w:r>
    </w:p>
    <w:p w14:paraId="42D22247" w14:textId="76616984" w:rsidR="00D273CD" w:rsidRDefault="004626B2" w:rsidP="00D273CD">
      <w:pPr>
        <w:ind w:firstLine="720"/>
      </w:pPr>
      <w:r>
        <w:t xml:space="preserve">Change in prejudice was assessed using a lagged Bayesian regression, with weakly informative priors. Specifically, our outcome was prejudice after the movie, while using prejudice before the movie as a covariate, along with age, gender, </w:t>
      </w:r>
      <w:r w:rsidR="003A36C9">
        <w:t>mental illness history, movie,</w:t>
      </w:r>
      <w:r w:rsidR="007E0B5A">
        <w:t xml:space="preserve"> </w:t>
      </w:r>
      <w:r w:rsidR="003A36C9">
        <w:t>authoritarianism</w:t>
      </w:r>
      <w:r w:rsidR="007E0B5A">
        <w:t xml:space="preserve">, and an interaction between </w:t>
      </w:r>
      <w:r w:rsidR="003A36C9">
        <w:t>authoritarianism</w:t>
      </w:r>
      <w:r w:rsidR="007E0B5A">
        <w:t xml:space="preserve"> and movie</w:t>
      </w:r>
      <w:r w:rsidR="003A36C9">
        <w:t>. Our analysis indicated that Joker significantly increased prejudice relative to Terminator (posterior probabilit</w:t>
      </w:r>
      <w:r w:rsidR="007E0B5A">
        <w:t>y</w:t>
      </w:r>
      <w:r w:rsidR="003A36C9">
        <w:t xml:space="preserve"> above 95%</w:t>
      </w:r>
      <w:r w:rsidR="00D273CD">
        <w:t>; Table 1</w:t>
      </w:r>
      <w:r w:rsidR="003A36C9">
        <w:t>). We also noted that higher levels of authoritarianism significantly increased the</w:t>
      </w:r>
      <w:r w:rsidR="007E0B5A">
        <w:t xml:space="preserve"> level</w:t>
      </w:r>
      <w:r w:rsidR="003A36C9">
        <w:t xml:space="preserve"> prejudice elicited by Joker (Figure 1).</w:t>
      </w:r>
    </w:p>
    <w:p w14:paraId="4A475CFE" w14:textId="37805A40" w:rsidR="00BA58AA" w:rsidRPr="00D273CD" w:rsidRDefault="00BA58AA" w:rsidP="00D273CD">
      <w:r w:rsidRPr="00BA58AA">
        <w:rPr>
          <w:b/>
        </w:rPr>
        <w:t>Table 1.</w:t>
      </w:r>
      <w:r w:rsidRPr="00BA58AA">
        <w:t xml:space="preserve"> Summary of lagged </w:t>
      </w:r>
      <w:r w:rsidR="004C1CEE" w:rsidRPr="00BA58AA">
        <w:t>Bayesian</w:t>
      </w:r>
      <w:r w:rsidRPr="00BA58AA">
        <w:t xml:space="preserve"> regression analysis on change in prejudice after watching Joker.</w:t>
      </w:r>
    </w:p>
    <w:tbl>
      <w:tblPr>
        <w:tblW w:w="8949" w:type="dxa"/>
        <w:tblLook w:val="04A0" w:firstRow="1" w:lastRow="0" w:firstColumn="1" w:lastColumn="0" w:noHBand="0" w:noVBand="1"/>
      </w:tblPr>
      <w:tblGrid>
        <w:gridCol w:w="4328"/>
        <w:gridCol w:w="1155"/>
        <w:gridCol w:w="1149"/>
        <w:gridCol w:w="1162"/>
        <w:gridCol w:w="1155"/>
      </w:tblGrid>
      <w:tr w:rsidR="004C1CEE" w:rsidRPr="004C1CEE" w14:paraId="37A07F4E" w14:textId="77777777" w:rsidTr="004C1CEE">
        <w:trPr>
          <w:trHeight w:val="300"/>
        </w:trPr>
        <w:tc>
          <w:tcPr>
            <w:tcW w:w="4328" w:type="dxa"/>
            <w:tcBorders>
              <w:top w:val="nil"/>
              <w:left w:val="nil"/>
              <w:bottom w:val="single" w:sz="4" w:space="0" w:color="auto"/>
              <w:right w:val="nil"/>
            </w:tcBorders>
            <w:shd w:val="clear" w:color="auto" w:fill="auto"/>
            <w:noWrap/>
            <w:vAlign w:val="bottom"/>
            <w:hideMark/>
          </w:tcPr>
          <w:p w14:paraId="0F418D74"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 </w:t>
            </w:r>
          </w:p>
        </w:tc>
        <w:tc>
          <w:tcPr>
            <w:tcW w:w="1155" w:type="dxa"/>
            <w:tcBorders>
              <w:top w:val="nil"/>
              <w:left w:val="nil"/>
              <w:bottom w:val="single" w:sz="4" w:space="0" w:color="auto"/>
              <w:right w:val="nil"/>
            </w:tcBorders>
            <w:shd w:val="clear" w:color="auto" w:fill="auto"/>
            <w:noWrap/>
            <w:vAlign w:val="bottom"/>
            <w:hideMark/>
          </w:tcPr>
          <w:p w14:paraId="60DC5283"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 </w:t>
            </w:r>
          </w:p>
        </w:tc>
        <w:tc>
          <w:tcPr>
            <w:tcW w:w="2311" w:type="dxa"/>
            <w:gridSpan w:val="2"/>
            <w:tcBorders>
              <w:top w:val="single" w:sz="4" w:space="0" w:color="auto"/>
              <w:left w:val="nil"/>
              <w:bottom w:val="single" w:sz="4" w:space="0" w:color="auto"/>
              <w:right w:val="nil"/>
            </w:tcBorders>
            <w:shd w:val="clear" w:color="auto" w:fill="auto"/>
            <w:noWrap/>
            <w:vAlign w:val="bottom"/>
            <w:hideMark/>
          </w:tcPr>
          <w:p w14:paraId="7F564E5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95% Credible Interval</w:t>
            </w:r>
          </w:p>
        </w:tc>
        <w:tc>
          <w:tcPr>
            <w:tcW w:w="1155" w:type="dxa"/>
            <w:tcBorders>
              <w:top w:val="nil"/>
              <w:left w:val="nil"/>
              <w:bottom w:val="single" w:sz="4" w:space="0" w:color="auto"/>
              <w:right w:val="nil"/>
            </w:tcBorders>
            <w:shd w:val="clear" w:color="auto" w:fill="auto"/>
            <w:noWrap/>
            <w:vAlign w:val="bottom"/>
            <w:hideMark/>
          </w:tcPr>
          <w:p w14:paraId="2D086F3F"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 </w:t>
            </w:r>
          </w:p>
        </w:tc>
      </w:tr>
      <w:tr w:rsidR="004C1CEE" w:rsidRPr="004C1CEE" w14:paraId="1162D0B4" w14:textId="77777777" w:rsidTr="004C1CEE">
        <w:trPr>
          <w:trHeight w:val="300"/>
        </w:trPr>
        <w:tc>
          <w:tcPr>
            <w:tcW w:w="4328" w:type="dxa"/>
            <w:tcBorders>
              <w:top w:val="nil"/>
              <w:left w:val="nil"/>
              <w:bottom w:val="single" w:sz="4" w:space="0" w:color="auto"/>
              <w:right w:val="nil"/>
            </w:tcBorders>
            <w:shd w:val="clear" w:color="auto" w:fill="auto"/>
            <w:noWrap/>
            <w:vAlign w:val="bottom"/>
            <w:hideMark/>
          </w:tcPr>
          <w:p w14:paraId="2340AEC0"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 </w:t>
            </w:r>
          </w:p>
        </w:tc>
        <w:tc>
          <w:tcPr>
            <w:tcW w:w="1155" w:type="dxa"/>
            <w:tcBorders>
              <w:top w:val="nil"/>
              <w:left w:val="nil"/>
              <w:bottom w:val="single" w:sz="4" w:space="0" w:color="auto"/>
              <w:right w:val="nil"/>
            </w:tcBorders>
            <w:shd w:val="clear" w:color="auto" w:fill="auto"/>
            <w:noWrap/>
            <w:vAlign w:val="bottom"/>
            <w:hideMark/>
          </w:tcPr>
          <w:p w14:paraId="037CC64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Estimate</w:t>
            </w:r>
          </w:p>
        </w:tc>
        <w:tc>
          <w:tcPr>
            <w:tcW w:w="1149" w:type="dxa"/>
            <w:tcBorders>
              <w:top w:val="nil"/>
              <w:left w:val="nil"/>
              <w:bottom w:val="single" w:sz="4" w:space="0" w:color="auto"/>
              <w:right w:val="nil"/>
            </w:tcBorders>
            <w:shd w:val="clear" w:color="auto" w:fill="auto"/>
            <w:noWrap/>
            <w:vAlign w:val="bottom"/>
            <w:hideMark/>
          </w:tcPr>
          <w:p w14:paraId="64D06DE8"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Lower</w:t>
            </w:r>
          </w:p>
        </w:tc>
        <w:tc>
          <w:tcPr>
            <w:tcW w:w="1162" w:type="dxa"/>
            <w:tcBorders>
              <w:top w:val="nil"/>
              <w:left w:val="nil"/>
              <w:bottom w:val="single" w:sz="4" w:space="0" w:color="auto"/>
              <w:right w:val="nil"/>
            </w:tcBorders>
            <w:shd w:val="clear" w:color="auto" w:fill="auto"/>
            <w:noWrap/>
            <w:vAlign w:val="bottom"/>
            <w:hideMark/>
          </w:tcPr>
          <w:p w14:paraId="2B1559BD"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Upper</w:t>
            </w:r>
          </w:p>
        </w:tc>
        <w:tc>
          <w:tcPr>
            <w:tcW w:w="1155" w:type="dxa"/>
            <w:tcBorders>
              <w:top w:val="nil"/>
              <w:left w:val="nil"/>
              <w:bottom w:val="single" w:sz="4" w:space="0" w:color="auto"/>
              <w:right w:val="nil"/>
            </w:tcBorders>
            <w:shd w:val="clear" w:color="auto" w:fill="auto"/>
            <w:noWrap/>
            <w:vAlign w:val="bottom"/>
            <w:hideMark/>
          </w:tcPr>
          <w:p w14:paraId="6D20762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PP</w:t>
            </w:r>
          </w:p>
        </w:tc>
      </w:tr>
      <w:tr w:rsidR="004C1CEE" w:rsidRPr="004C1CEE" w14:paraId="17B8906D" w14:textId="77777777" w:rsidTr="004C1CEE">
        <w:trPr>
          <w:trHeight w:val="300"/>
        </w:trPr>
        <w:tc>
          <w:tcPr>
            <w:tcW w:w="4328" w:type="dxa"/>
            <w:tcBorders>
              <w:top w:val="nil"/>
              <w:left w:val="nil"/>
              <w:bottom w:val="nil"/>
              <w:right w:val="nil"/>
            </w:tcBorders>
            <w:shd w:val="clear" w:color="auto" w:fill="auto"/>
            <w:noWrap/>
            <w:vAlign w:val="bottom"/>
            <w:hideMark/>
          </w:tcPr>
          <w:p w14:paraId="16ED44F6"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Intercept</w:t>
            </w:r>
          </w:p>
        </w:tc>
        <w:tc>
          <w:tcPr>
            <w:tcW w:w="1155" w:type="dxa"/>
            <w:tcBorders>
              <w:top w:val="nil"/>
              <w:left w:val="nil"/>
              <w:bottom w:val="nil"/>
              <w:right w:val="nil"/>
            </w:tcBorders>
            <w:shd w:val="clear" w:color="auto" w:fill="auto"/>
            <w:noWrap/>
            <w:vAlign w:val="bottom"/>
            <w:hideMark/>
          </w:tcPr>
          <w:p w14:paraId="277B545B"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0.05</w:t>
            </w:r>
          </w:p>
        </w:tc>
        <w:tc>
          <w:tcPr>
            <w:tcW w:w="1149" w:type="dxa"/>
            <w:tcBorders>
              <w:top w:val="nil"/>
              <w:left w:val="nil"/>
              <w:bottom w:val="nil"/>
              <w:right w:val="nil"/>
            </w:tcBorders>
            <w:shd w:val="clear" w:color="auto" w:fill="auto"/>
            <w:noWrap/>
            <w:vAlign w:val="bottom"/>
            <w:hideMark/>
          </w:tcPr>
          <w:p w14:paraId="415FE95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-0.13</w:t>
            </w:r>
          </w:p>
        </w:tc>
        <w:tc>
          <w:tcPr>
            <w:tcW w:w="1162" w:type="dxa"/>
            <w:tcBorders>
              <w:top w:val="nil"/>
              <w:left w:val="nil"/>
              <w:bottom w:val="nil"/>
              <w:right w:val="nil"/>
            </w:tcBorders>
            <w:shd w:val="clear" w:color="auto" w:fill="auto"/>
            <w:noWrap/>
            <w:vAlign w:val="bottom"/>
            <w:hideMark/>
          </w:tcPr>
          <w:p w14:paraId="1788B1D6"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0.23</w:t>
            </w:r>
          </w:p>
        </w:tc>
        <w:tc>
          <w:tcPr>
            <w:tcW w:w="1155" w:type="dxa"/>
            <w:tcBorders>
              <w:top w:val="nil"/>
              <w:left w:val="nil"/>
              <w:bottom w:val="nil"/>
              <w:right w:val="nil"/>
            </w:tcBorders>
            <w:shd w:val="clear" w:color="auto" w:fill="auto"/>
            <w:noWrap/>
            <w:vAlign w:val="bottom"/>
            <w:hideMark/>
          </w:tcPr>
          <w:p w14:paraId="721B2DCA"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72.9%</w:t>
            </w:r>
          </w:p>
        </w:tc>
      </w:tr>
      <w:tr w:rsidR="004C1CEE" w:rsidRPr="004C1CEE" w14:paraId="1C1D0D84" w14:textId="77777777" w:rsidTr="004C1CEE">
        <w:trPr>
          <w:trHeight w:val="300"/>
        </w:trPr>
        <w:tc>
          <w:tcPr>
            <w:tcW w:w="4328" w:type="dxa"/>
            <w:tcBorders>
              <w:top w:val="nil"/>
              <w:left w:val="nil"/>
              <w:bottom w:val="nil"/>
              <w:right w:val="nil"/>
            </w:tcBorders>
            <w:shd w:val="clear" w:color="auto" w:fill="auto"/>
            <w:noWrap/>
            <w:vAlign w:val="bottom"/>
            <w:hideMark/>
          </w:tcPr>
          <w:p w14:paraId="1E896AC2"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Prejudice (lag)</w:t>
            </w:r>
          </w:p>
        </w:tc>
        <w:tc>
          <w:tcPr>
            <w:tcW w:w="1155" w:type="dxa"/>
            <w:tcBorders>
              <w:top w:val="nil"/>
              <w:left w:val="nil"/>
              <w:bottom w:val="nil"/>
              <w:right w:val="nil"/>
            </w:tcBorders>
            <w:shd w:val="clear" w:color="auto" w:fill="auto"/>
            <w:noWrap/>
            <w:vAlign w:val="bottom"/>
            <w:hideMark/>
          </w:tcPr>
          <w:p w14:paraId="18D1610E"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0.88</w:t>
            </w:r>
          </w:p>
        </w:tc>
        <w:tc>
          <w:tcPr>
            <w:tcW w:w="1149" w:type="dxa"/>
            <w:tcBorders>
              <w:top w:val="nil"/>
              <w:left w:val="nil"/>
              <w:bottom w:val="nil"/>
              <w:right w:val="nil"/>
            </w:tcBorders>
            <w:shd w:val="clear" w:color="auto" w:fill="auto"/>
            <w:noWrap/>
            <w:vAlign w:val="bottom"/>
            <w:hideMark/>
          </w:tcPr>
          <w:p w14:paraId="338521FD"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0.77</w:t>
            </w:r>
          </w:p>
        </w:tc>
        <w:tc>
          <w:tcPr>
            <w:tcW w:w="1162" w:type="dxa"/>
            <w:tcBorders>
              <w:top w:val="nil"/>
              <w:left w:val="nil"/>
              <w:bottom w:val="nil"/>
              <w:right w:val="nil"/>
            </w:tcBorders>
            <w:shd w:val="clear" w:color="auto" w:fill="auto"/>
            <w:noWrap/>
            <w:vAlign w:val="bottom"/>
            <w:hideMark/>
          </w:tcPr>
          <w:p w14:paraId="1575C0D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1.00</w:t>
            </w:r>
          </w:p>
        </w:tc>
        <w:tc>
          <w:tcPr>
            <w:tcW w:w="1155" w:type="dxa"/>
            <w:tcBorders>
              <w:top w:val="nil"/>
              <w:left w:val="nil"/>
              <w:bottom w:val="nil"/>
              <w:right w:val="nil"/>
            </w:tcBorders>
            <w:shd w:val="clear" w:color="auto" w:fill="auto"/>
            <w:noWrap/>
            <w:vAlign w:val="bottom"/>
            <w:hideMark/>
          </w:tcPr>
          <w:p w14:paraId="6173374A"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100.0%</w:t>
            </w:r>
          </w:p>
        </w:tc>
      </w:tr>
      <w:tr w:rsidR="004C1CEE" w:rsidRPr="004C1CEE" w14:paraId="22D7E2F9" w14:textId="77777777" w:rsidTr="004C1CEE">
        <w:trPr>
          <w:trHeight w:val="300"/>
        </w:trPr>
        <w:tc>
          <w:tcPr>
            <w:tcW w:w="4328" w:type="dxa"/>
            <w:tcBorders>
              <w:top w:val="nil"/>
              <w:left w:val="nil"/>
              <w:bottom w:val="nil"/>
              <w:right w:val="nil"/>
            </w:tcBorders>
            <w:shd w:val="clear" w:color="auto" w:fill="auto"/>
            <w:noWrap/>
            <w:vAlign w:val="bottom"/>
            <w:hideMark/>
          </w:tcPr>
          <w:p w14:paraId="219C4F8E"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Age</w:t>
            </w:r>
          </w:p>
        </w:tc>
        <w:tc>
          <w:tcPr>
            <w:tcW w:w="1155" w:type="dxa"/>
            <w:tcBorders>
              <w:top w:val="nil"/>
              <w:left w:val="nil"/>
              <w:bottom w:val="nil"/>
              <w:right w:val="nil"/>
            </w:tcBorders>
            <w:shd w:val="clear" w:color="auto" w:fill="auto"/>
            <w:noWrap/>
            <w:vAlign w:val="bottom"/>
            <w:hideMark/>
          </w:tcPr>
          <w:p w14:paraId="04A4C2D2"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0.01</w:t>
            </w:r>
          </w:p>
        </w:tc>
        <w:tc>
          <w:tcPr>
            <w:tcW w:w="1149" w:type="dxa"/>
            <w:tcBorders>
              <w:top w:val="nil"/>
              <w:left w:val="nil"/>
              <w:bottom w:val="nil"/>
              <w:right w:val="nil"/>
            </w:tcBorders>
            <w:shd w:val="clear" w:color="auto" w:fill="auto"/>
            <w:noWrap/>
            <w:vAlign w:val="bottom"/>
            <w:hideMark/>
          </w:tcPr>
          <w:p w14:paraId="3FD2A9A9"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-0.09</w:t>
            </w:r>
          </w:p>
        </w:tc>
        <w:tc>
          <w:tcPr>
            <w:tcW w:w="1162" w:type="dxa"/>
            <w:tcBorders>
              <w:top w:val="nil"/>
              <w:left w:val="nil"/>
              <w:bottom w:val="nil"/>
              <w:right w:val="nil"/>
            </w:tcBorders>
            <w:shd w:val="clear" w:color="auto" w:fill="auto"/>
            <w:noWrap/>
            <w:vAlign w:val="bottom"/>
            <w:hideMark/>
          </w:tcPr>
          <w:p w14:paraId="0FC39B2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0.10</w:t>
            </w:r>
          </w:p>
        </w:tc>
        <w:tc>
          <w:tcPr>
            <w:tcW w:w="1155" w:type="dxa"/>
            <w:tcBorders>
              <w:top w:val="nil"/>
              <w:left w:val="nil"/>
              <w:bottom w:val="nil"/>
              <w:right w:val="nil"/>
            </w:tcBorders>
            <w:shd w:val="clear" w:color="auto" w:fill="auto"/>
            <w:noWrap/>
            <w:vAlign w:val="bottom"/>
            <w:hideMark/>
          </w:tcPr>
          <w:p w14:paraId="5E23EA1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56.3%</w:t>
            </w:r>
          </w:p>
        </w:tc>
      </w:tr>
      <w:tr w:rsidR="004C1CEE" w:rsidRPr="004C1CEE" w14:paraId="49772E1A" w14:textId="77777777" w:rsidTr="004C1CEE">
        <w:trPr>
          <w:trHeight w:val="300"/>
        </w:trPr>
        <w:tc>
          <w:tcPr>
            <w:tcW w:w="4328" w:type="dxa"/>
            <w:tcBorders>
              <w:top w:val="nil"/>
              <w:left w:val="nil"/>
              <w:bottom w:val="nil"/>
              <w:right w:val="nil"/>
            </w:tcBorders>
            <w:shd w:val="clear" w:color="auto" w:fill="auto"/>
            <w:noWrap/>
            <w:vAlign w:val="bottom"/>
            <w:hideMark/>
          </w:tcPr>
          <w:p w14:paraId="4F2B3EE7"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Sex (female)</w:t>
            </w:r>
          </w:p>
        </w:tc>
        <w:tc>
          <w:tcPr>
            <w:tcW w:w="1155" w:type="dxa"/>
            <w:tcBorders>
              <w:top w:val="nil"/>
              <w:left w:val="nil"/>
              <w:bottom w:val="nil"/>
              <w:right w:val="nil"/>
            </w:tcBorders>
            <w:shd w:val="clear" w:color="auto" w:fill="auto"/>
            <w:noWrap/>
            <w:vAlign w:val="bottom"/>
            <w:hideMark/>
          </w:tcPr>
          <w:p w14:paraId="4918F298"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0.01</w:t>
            </w:r>
          </w:p>
        </w:tc>
        <w:tc>
          <w:tcPr>
            <w:tcW w:w="1149" w:type="dxa"/>
            <w:tcBorders>
              <w:top w:val="nil"/>
              <w:left w:val="nil"/>
              <w:bottom w:val="nil"/>
              <w:right w:val="nil"/>
            </w:tcBorders>
            <w:shd w:val="clear" w:color="auto" w:fill="auto"/>
            <w:noWrap/>
            <w:vAlign w:val="bottom"/>
            <w:hideMark/>
          </w:tcPr>
          <w:p w14:paraId="5D1F806B"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-0.18</w:t>
            </w:r>
          </w:p>
        </w:tc>
        <w:tc>
          <w:tcPr>
            <w:tcW w:w="1162" w:type="dxa"/>
            <w:tcBorders>
              <w:top w:val="nil"/>
              <w:left w:val="nil"/>
              <w:bottom w:val="nil"/>
              <w:right w:val="nil"/>
            </w:tcBorders>
            <w:shd w:val="clear" w:color="auto" w:fill="auto"/>
            <w:noWrap/>
            <w:vAlign w:val="bottom"/>
            <w:hideMark/>
          </w:tcPr>
          <w:p w14:paraId="1C8E627D"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0.20</w:t>
            </w:r>
          </w:p>
        </w:tc>
        <w:tc>
          <w:tcPr>
            <w:tcW w:w="1155" w:type="dxa"/>
            <w:tcBorders>
              <w:top w:val="nil"/>
              <w:left w:val="nil"/>
              <w:bottom w:val="nil"/>
              <w:right w:val="nil"/>
            </w:tcBorders>
            <w:shd w:val="clear" w:color="auto" w:fill="auto"/>
            <w:noWrap/>
            <w:vAlign w:val="bottom"/>
            <w:hideMark/>
          </w:tcPr>
          <w:p w14:paraId="1D65122E"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54.6%</w:t>
            </w:r>
          </w:p>
        </w:tc>
      </w:tr>
      <w:tr w:rsidR="004C1CEE" w:rsidRPr="004C1CEE" w14:paraId="190FB77F" w14:textId="77777777" w:rsidTr="004C1CEE">
        <w:trPr>
          <w:trHeight w:val="300"/>
        </w:trPr>
        <w:tc>
          <w:tcPr>
            <w:tcW w:w="4328" w:type="dxa"/>
            <w:tcBorders>
              <w:top w:val="nil"/>
              <w:left w:val="nil"/>
              <w:bottom w:val="nil"/>
              <w:right w:val="nil"/>
            </w:tcBorders>
            <w:shd w:val="clear" w:color="auto" w:fill="auto"/>
            <w:noWrap/>
            <w:vAlign w:val="bottom"/>
            <w:hideMark/>
          </w:tcPr>
          <w:p w14:paraId="7C30688B"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Mental health history</w:t>
            </w:r>
          </w:p>
        </w:tc>
        <w:tc>
          <w:tcPr>
            <w:tcW w:w="1155" w:type="dxa"/>
            <w:tcBorders>
              <w:top w:val="nil"/>
              <w:left w:val="nil"/>
              <w:bottom w:val="nil"/>
              <w:right w:val="nil"/>
            </w:tcBorders>
            <w:shd w:val="clear" w:color="auto" w:fill="auto"/>
            <w:noWrap/>
            <w:vAlign w:val="bottom"/>
            <w:hideMark/>
          </w:tcPr>
          <w:p w14:paraId="6827992D"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-0.09</w:t>
            </w:r>
          </w:p>
        </w:tc>
        <w:tc>
          <w:tcPr>
            <w:tcW w:w="1149" w:type="dxa"/>
            <w:tcBorders>
              <w:top w:val="nil"/>
              <w:left w:val="nil"/>
              <w:bottom w:val="nil"/>
              <w:right w:val="nil"/>
            </w:tcBorders>
            <w:shd w:val="clear" w:color="auto" w:fill="auto"/>
            <w:noWrap/>
            <w:vAlign w:val="bottom"/>
            <w:hideMark/>
          </w:tcPr>
          <w:p w14:paraId="522C36C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-0.32</w:t>
            </w:r>
          </w:p>
        </w:tc>
        <w:tc>
          <w:tcPr>
            <w:tcW w:w="1162" w:type="dxa"/>
            <w:tcBorders>
              <w:top w:val="nil"/>
              <w:left w:val="nil"/>
              <w:bottom w:val="nil"/>
              <w:right w:val="nil"/>
            </w:tcBorders>
            <w:shd w:val="clear" w:color="auto" w:fill="auto"/>
            <w:noWrap/>
            <w:vAlign w:val="bottom"/>
            <w:hideMark/>
          </w:tcPr>
          <w:p w14:paraId="053E4B8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0.12</w:t>
            </w:r>
          </w:p>
        </w:tc>
        <w:tc>
          <w:tcPr>
            <w:tcW w:w="1155" w:type="dxa"/>
            <w:tcBorders>
              <w:top w:val="nil"/>
              <w:left w:val="nil"/>
              <w:bottom w:val="nil"/>
              <w:right w:val="nil"/>
            </w:tcBorders>
            <w:shd w:val="clear" w:color="auto" w:fill="auto"/>
            <w:noWrap/>
            <w:vAlign w:val="bottom"/>
            <w:hideMark/>
          </w:tcPr>
          <w:p w14:paraId="41E56991"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83.5%</w:t>
            </w:r>
          </w:p>
        </w:tc>
      </w:tr>
      <w:tr w:rsidR="004C1CEE" w:rsidRPr="004C1CEE" w14:paraId="69C18BDB" w14:textId="77777777" w:rsidTr="004C1CEE">
        <w:trPr>
          <w:trHeight w:val="300"/>
        </w:trPr>
        <w:tc>
          <w:tcPr>
            <w:tcW w:w="4328" w:type="dxa"/>
            <w:tcBorders>
              <w:top w:val="nil"/>
              <w:left w:val="nil"/>
              <w:bottom w:val="nil"/>
              <w:right w:val="nil"/>
            </w:tcBorders>
            <w:shd w:val="clear" w:color="auto" w:fill="auto"/>
            <w:noWrap/>
            <w:vAlign w:val="bottom"/>
            <w:hideMark/>
          </w:tcPr>
          <w:p w14:paraId="0AFF321F" w14:textId="4EB96488"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Movie (</w:t>
            </w:r>
            <w:r w:rsidR="007E0B5A">
              <w:rPr>
                <w:rFonts w:ascii="Calibri" w:eastAsia="Times New Roman" w:hAnsi="Calibri" w:cs="Calibri"/>
                <w:color w:val="000000"/>
              </w:rPr>
              <w:t>Joker</w:t>
            </w:r>
            <w:r w:rsidRPr="004C1CEE">
              <w:rPr>
                <w:rFonts w:ascii="Calibri" w:eastAsia="Times New Roman" w:hAnsi="Calibri" w:cs="Calibri"/>
                <w:color w:val="000000"/>
              </w:rPr>
              <w:t>)</w:t>
            </w:r>
          </w:p>
        </w:tc>
        <w:tc>
          <w:tcPr>
            <w:tcW w:w="1155" w:type="dxa"/>
            <w:tcBorders>
              <w:top w:val="nil"/>
              <w:left w:val="nil"/>
              <w:bottom w:val="nil"/>
              <w:right w:val="nil"/>
            </w:tcBorders>
            <w:shd w:val="clear" w:color="auto" w:fill="auto"/>
            <w:noWrap/>
            <w:vAlign w:val="bottom"/>
            <w:hideMark/>
          </w:tcPr>
          <w:p w14:paraId="7B327E7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0.32</w:t>
            </w:r>
          </w:p>
        </w:tc>
        <w:tc>
          <w:tcPr>
            <w:tcW w:w="1149" w:type="dxa"/>
            <w:tcBorders>
              <w:top w:val="nil"/>
              <w:left w:val="nil"/>
              <w:bottom w:val="nil"/>
              <w:right w:val="nil"/>
            </w:tcBorders>
            <w:shd w:val="clear" w:color="auto" w:fill="auto"/>
            <w:noWrap/>
            <w:vAlign w:val="bottom"/>
            <w:hideMark/>
          </w:tcPr>
          <w:p w14:paraId="5B2A85B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0.16</w:t>
            </w:r>
          </w:p>
        </w:tc>
        <w:tc>
          <w:tcPr>
            <w:tcW w:w="1162" w:type="dxa"/>
            <w:tcBorders>
              <w:top w:val="nil"/>
              <w:left w:val="nil"/>
              <w:bottom w:val="nil"/>
              <w:right w:val="nil"/>
            </w:tcBorders>
            <w:shd w:val="clear" w:color="auto" w:fill="auto"/>
            <w:noWrap/>
            <w:vAlign w:val="bottom"/>
            <w:hideMark/>
          </w:tcPr>
          <w:p w14:paraId="0958289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0.49</w:t>
            </w:r>
          </w:p>
        </w:tc>
        <w:tc>
          <w:tcPr>
            <w:tcW w:w="1155" w:type="dxa"/>
            <w:tcBorders>
              <w:top w:val="nil"/>
              <w:left w:val="nil"/>
              <w:bottom w:val="nil"/>
              <w:right w:val="nil"/>
            </w:tcBorders>
            <w:shd w:val="clear" w:color="auto" w:fill="auto"/>
            <w:noWrap/>
            <w:vAlign w:val="bottom"/>
            <w:hideMark/>
          </w:tcPr>
          <w:p w14:paraId="1619759B"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100.0%</w:t>
            </w:r>
          </w:p>
        </w:tc>
      </w:tr>
      <w:tr w:rsidR="004C1CEE" w:rsidRPr="004C1CEE" w14:paraId="6F9A65F3" w14:textId="77777777" w:rsidTr="004C1CEE">
        <w:trPr>
          <w:trHeight w:val="300"/>
        </w:trPr>
        <w:tc>
          <w:tcPr>
            <w:tcW w:w="4328" w:type="dxa"/>
            <w:tcBorders>
              <w:top w:val="nil"/>
              <w:left w:val="nil"/>
              <w:bottom w:val="nil"/>
              <w:right w:val="nil"/>
            </w:tcBorders>
            <w:shd w:val="clear" w:color="auto" w:fill="auto"/>
            <w:noWrap/>
            <w:vAlign w:val="bottom"/>
            <w:hideMark/>
          </w:tcPr>
          <w:p w14:paraId="411F3483"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Authoritarianism</w:t>
            </w:r>
          </w:p>
        </w:tc>
        <w:tc>
          <w:tcPr>
            <w:tcW w:w="1155" w:type="dxa"/>
            <w:tcBorders>
              <w:top w:val="nil"/>
              <w:left w:val="nil"/>
              <w:bottom w:val="nil"/>
              <w:right w:val="nil"/>
            </w:tcBorders>
            <w:shd w:val="clear" w:color="auto" w:fill="auto"/>
            <w:noWrap/>
            <w:vAlign w:val="bottom"/>
            <w:hideMark/>
          </w:tcPr>
          <w:p w14:paraId="652E6B44"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0.08</w:t>
            </w:r>
          </w:p>
        </w:tc>
        <w:tc>
          <w:tcPr>
            <w:tcW w:w="1149" w:type="dxa"/>
            <w:tcBorders>
              <w:top w:val="nil"/>
              <w:left w:val="nil"/>
              <w:bottom w:val="nil"/>
              <w:right w:val="nil"/>
            </w:tcBorders>
            <w:shd w:val="clear" w:color="auto" w:fill="auto"/>
            <w:noWrap/>
            <w:vAlign w:val="bottom"/>
            <w:hideMark/>
          </w:tcPr>
          <w:p w14:paraId="40D5FC33"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-0.05</w:t>
            </w:r>
          </w:p>
        </w:tc>
        <w:tc>
          <w:tcPr>
            <w:tcW w:w="1162" w:type="dxa"/>
            <w:tcBorders>
              <w:top w:val="nil"/>
              <w:left w:val="nil"/>
              <w:bottom w:val="nil"/>
              <w:right w:val="nil"/>
            </w:tcBorders>
            <w:shd w:val="clear" w:color="auto" w:fill="auto"/>
            <w:noWrap/>
            <w:vAlign w:val="bottom"/>
            <w:hideMark/>
          </w:tcPr>
          <w:p w14:paraId="6C390AF7"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0.21</w:t>
            </w:r>
          </w:p>
        </w:tc>
        <w:tc>
          <w:tcPr>
            <w:tcW w:w="1155" w:type="dxa"/>
            <w:tcBorders>
              <w:top w:val="nil"/>
              <w:left w:val="nil"/>
              <w:bottom w:val="nil"/>
              <w:right w:val="nil"/>
            </w:tcBorders>
            <w:shd w:val="clear" w:color="auto" w:fill="auto"/>
            <w:noWrap/>
            <w:vAlign w:val="bottom"/>
            <w:hideMark/>
          </w:tcPr>
          <w:p w14:paraId="636688C9"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91.2%</w:t>
            </w:r>
          </w:p>
        </w:tc>
      </w:tr>
      <w:tr w:rsidR="004C1CEE" w:rsidRPr="004C1CEE" w14:paraId="61A9F6F8" w14:textId="77777777" w:rsidTr="004C1CEE">
        <w:trPr>
          <w:trHeight w:val="300"/>
        </w:trPr>
        <w:tc>
          <w:tcPr>
            <w:tcW w:w="4328" w:type="dxa"/>
            <w:tcBorders>
              <w:top w:val="nil"/>
              <w:left w:val="nil"/>
              <w:bottom w:val="single" w:sz="4" w:space="0" w:color="auto"/>
              <w:right w:val="nil"/>
            </w:tcBorders>
            <w:shd w:val="clear" w:color="auto" w:fill="auto"/>
            <w:noWrap/>
            <w:vAlign w:val="bottom"/>
            <w:hideMark/>
          </w:tcPr>
          <w:p w14:paraId="114620CE" w14:textId="58A24AD2"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Movie (</w:t>
            </w:r>
            <w:r w:rsidR="007E0B5A">
              <w:rPr>
                <w:rFonts w:ascii="Calibri" w:eastAsia="Times New Roman" w:hAnsi="Calibri" w:cs="Calibri"/>
                <w:color w:val="000000"/>
              </w:rPr>
              <w:t>Joker</w:t>
            </w:r>
            <w:r w:rsidRPr="004C1CEE">
              <w:rPr>
                <w:rFonts w:ascii="Calibri" w:eastAsia="Times New Roman" w:hAnsi="Calibri" w:cs="Calibri"/>
                <w:color w:val="000000"/>
              </w:rPr>
              <w:t>) * Authoritarianism</w:t>
            </w:r>
          </w:p>
        </w:tc>
        <w:tc>
          <w:tcPr>
            <w:tcW w:w="1155" w:type="dxa"/>
            <w:tcBorders>
              <w:top w:val="nil"/>
              <w:left w:val="nil"/>
              <w:bottom w:val="single" w:sz="4" w:space="0" w:color="auto"/>
              <w:right w:val="nil"/>
            </w:tcBorders>
            <w:shd w:val="clear" w:color="auto" w:fill="auto"/>
            <w:noWrap/>
            <w:vAlign w:val="bottom"/>
            <w:hideMark/>
          </w:tcPr>
          <w:p w14:paraId="4A652653"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0.12</w:t>
            </w:r>
          </w:p>
        </w:tc>
        <w:tc>
          <w:tcPr>
            <w:tcW w:w="1149" w:type="dxa"/>
            <w:tcBorders>
              <w:top w:val="nil"/>
              <w:left w:val="nil"/>
              <w:bottom w:val="single" w:sz="4" w:space="0" w:color="auto"/>
              <w:right w:val="nil"/>
            </w:tcBorders>
            <w:shd w:val="clear" w:color="auto" w:fill="auto"/>
            <w:noWrap/>
            <w:vAlign w:val="bottom"/>
            <w:hideMark/>
          </w:tcPr>
          <w:p w14:paraId="257C0D6E"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-0.06</w:t>
            </w:r>
          </w:p>
        </w:tc>
        <w:tc>
          <w:tcPr>
            <w:tcW w:w="1162" w:type="dxa"/>
            <w:tcBorders>
              <w:top w:val="nil"/>
              <w:left w:val="nil"/>
              <w:bottom w:val="single" w:sz="4" w:space="0" w:color="auto"/>
              <w:right w:val="nil"/>
            </w:tcBorders>
            <w:shd w:val="clear" w:color="auto" w:fill="auto"/>
            <w:noWrap/>
            <w:vAlign w:val="bottom"/>
            <w:hideMark/>
          </w:tcPr>
          <w:p w14:paraId="231BEF2F"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0.30</w:t>
            </w:r>
          </w:p>
        </w:tc>
        <w:tc>
          <w:tcPr>
            <w:tcW w:w="1155" w:type="dxa"/>
            <w:tcBorders>
              <w:top w:val="nil"/>
              <w:left w:val="nil"/>
              <w:bottom w:val="single" w:sz="4" w:space="0" w:color="auto"/>
              <w:right w:val="nil"/>
            </w:tcBorders>
            <w:shd w:val="clear" w:color="auto" w:fill="auto"/>
            <w:noWrap/>
            <w:vAlign w:val="bottom"/>
            <w:hideMark/>
          </w:tcPr>
          <w:p w14:paraId="01B396B9" w14:textId="77777777" w:rsidR="004C1CEE" w:rsidRPr="004C1CEE" w:rsidRDefault="004C1CEE" w:rsidP="004C1CEE">
            <w:pPr>
              <w:spacing w:after="0" w:line="240" w:lineRule="auto"/>
              <w:jc w:val="center"/>
              <w:rPr>
                <w:rFonts w:ascii="Calibri" w:eastAsia="Times New Roman" w:hAnsi="Calibri" w:cs="Calibri"/>
                <w:color w:val="000000"/>
              </w:rPr>
            </w:pPr>
            <w:r w:rsidRPr="004C1CEE">
              <w:rPr>
                <w:rFonts w:ascii="Calibri" w:eastAsia="Times New Roman" w:hAnsi="Calibri" w:cs="Calibri"/>
                <w:color w:val="000000"/>
              </w:rPr>
              <w:t>96.8%</w:t>
            </w:r>
          </w:p>
        </w:tc>
      </w:tr>
      <w:tr w:rsidR="004C1CEE" w:rsidRPr="004C1CEE" w14:paraId="1F2DF05A" w14:textId="77777777" w:rsidTr="004C1CEE">
        <w:trPr>
          <w:trHeight w:val="300"/>
        </w:trPr>
        <w:tc>
          <w:tcPr>
            <w:tcW w:w="8949" w:type="dxa"/>
            <w:gridSpan w:val="5"/>
            <w:tcBorders>
              <w:top w:val="nil"/>
              <w:left w:val="nil"/>
              <w:bottom w:val="nil"/>
              <w:right w:val="nil"/>
            </w:tcBorders>
            <w:shd w:val="clear" w:color="auto" w:fill="auto"/>
            <w:noWrap/>
            <w:vAlign w:val="bottom"/>
            <w:hideMark/>
          </w:tcPr>
          <w:p w14:paraId="5074780A" w14:textId="77777777" w:rsidR="004C1CEE" w:rsidRPr="004C1CEE" w:rsidRDefault="004C1CEE" w:rsidP="004C1CEE">
            <w:pPr>
              <w:spacing w:after="0" w:line="240" w:lineRule="auto"/>
              <w:rPr>
                <w:rFonts w:ascii="Calibri" w:eastAsia="Times New Roman" w:hAnsi="Calibri" w:cs="Calibri"/>
                <w:color w:val="000000"/>
              </w:rPr>
            </w:pPr>
            <w:r w:rsidRPr="004C1CEE">
              <w:rPr>
                <w:rFonts w:ascii="Calibri" w:eastAsia="Times New Roman" w:hAnsi="Calibri" w:cs="Calibri"/>
                <w:color w:val="000000"/>
              </w:rPr>
              <w:t>NB: PP is the posterior probability, the probability an effect deviates from zero in its given direction.</w:t>
            </w:r>
          </w:p>
        </w:tc>
      </w:tr>
    </w:tbl>
    <w:p w14:paraId="3FAF07B0" w14:textId="3549F162" w:rsidR="000D5E61" w:rsidRDefault="000D5E61" w:rsidP="00421D07">
      <w:pPr>
        <w:rPr>
          <w:b/>
        </w:rPr>
      </w:pPr>
    </w:p>
    <w:p w14:paraId="70BE1191" w14:textId="2513B5C8" w:rsidR="00BA58AA" w:rsidRPr="00BA58AA" w:rsidRDefault="00BA58AA" w:rsidP="00421D07">
      <w:r>
        <w:rPr>
          <w:b/>
        </w:rPr>
        <w:t xml:space="preserve">Figure 1. </w:t>
      </w:r>
      <w:r>
        <w:t>Significant two-way interaction between movie and levels of standardised authoritarianism when predicting change in prejudice. Error bands are 95% credible intervals.</w:t>
      </w:r>
    </w:p>
    <w:p w14:paraId="661601BF" w14:textId="090C809F" w:rsidR="00D273CD" w:rsidRDefault="00D273CD" w:rsidP="00421D07">
      <w:pPr>
        <w:rPr>
          <w:b/>
        </w:rPr>
      </w:pPr>
      <w:r>
        <w:rPr>
          <w:noProof/>
        </w:rPr>
        <w:lastRenderedPageBreak/>
        <w:drawing>
          <wp:anchor distT="0" distB="0" distL="114300" distR="114300" simplePos="0" relativeHeight="251658240" behindDoc="0" locked="0" layoutInCell="1" allowOverlap="1" wp14:anchorId="57B2FD84" wp14:editId="08B48E05">
            <wp:simplePos x="0" y="0"/>
            <wp:positionH relativeFrom="margin">
              <wp:align>center</wp:align>
            </wp:positionH>
            <wp:positionV relativeFrom="paragraph">
              <wp:posOffset>1022</wp:posOffset>
            </wp:positionV>
            <wp:extent cx="5324400" cy="3240000"/>
            <wp:effectExtent l="0" t="0" r="0" b="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vsasByMovi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24400" cy="3240000"/>
                    </a:xfrm>
                    <a:prstGeom prst="rect">
                      <a:avLst/>
                    </a:prstGeom>
                  </pic:spPr>
                </pic:pic>
              </a:graphicData>
            </a:graphic>
            <wp14:sizeRelH relativeFrom="margin">
              <wp14:pctWidth>0</wp14:pctWidth>
            </wp14:sizeRelH>
            <wp14:sizeRelV relativeFrom="margin">
              <wp14:pctHeight>0</wp14:pctHeight>
            </wp14:sizeRelV>
          </wp:anchor>
        </w:drawing>
      </w:r>
      <w:r w:rsidR="00421D07">
        <w:rPr>
          <w:b/>
        </w:rPr>
        <w:t>Discussion</w:t>
      </w:r>
    </w:p>
    <w:p w14:paraId="1A44146F" w14:textId="4AD2E563" w:rsidR="00421D07" w:rsidRPr="00421D07" w:rsidRDefault="00421D07" w:rsidP="00421D07">
      <w:r>
        <w:t>…</w:t>
      </w:r>
    </w:p>
    <w:p w14:paraId="754DF518" w14:textId="77777777" w:rsidR="004626B2" w:rsidRDefault="004626B2">
      <w:r>
        <w:br w:type="page"/>
      </w:r>
    </w:p>
    <w:p w14:paraId="4AC08B76" w14:textId="146DA98B" w:rsidR="004626B2" w:rsidRDefault="004626B2" w:rsidP="004626B2">
      <w:pPr>
        <w:jc w:val="center"/>
        <w:rPr>
          <w:b/>
        </w:rPr>
      </w:pPr>
      <w:r>
        <w:rPr>
          <w:b/>
        </w:rPr>
        <w:lastRenderedPageBreak/>
        <w:t>References</w:t>
      </w:r>
    </w:p>
    <w:p w14:paraId="43776358" w14:textId="77777777" w:rsidR="00421D07" w:rsidRPr="00421D07" w:rsidRDefault="00421D07" w:rsidP="00421D07">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Pr="00421D07">
        <w:rPr>
          <w:rFonts w:ascii="Calibri" w:hAnsi="Calibri" w:cs="Calibri"/>
        </w:rPr>
        <w:t xml:space="preserve">Bizumic, B., &amp; Duckitt, J. (2018). Investigating Right Wing Authoritarianism with a Very Short Authoritarianism scale. </w:t>
      </w:r>
      <w:r w:rsidRPr="00421D07">
        <w:rPr>
          <w:rFonts w:ascii="Calibri" w:hAnsi="Calibri" w:cs="Calibri"/>
          <w:i/>
          <w:iCs/>
        </w:rPr>
        <w:t>Journal of Social and Political Psychology</w:t>
      </w:r>
      <w:r w:rsidRPr="00421D07">
        <w:rPr>
          <w:rFonts w:ascii="Calibri" w:hAnsi="Calibri" w:cs="Calibri"/>
        </w:rPr>
        <w:t xml:space="preserve">, </w:t>
      </w:r>
      <w:r w:rsidRPr="00421D07">
        <w:rPr>
          <w:rFonts w:ascii="Calibri" w:hAnsi="Calibri" w:cs="Calibri"/>
          <w:i/>
          <w:iCs/>
        </w:rPr>
        <w:t>6</w:t>
      </w:r>
      <w:r w:rsidRPr="00421D07">
        <w:rPr>
          <w:rFonts w:ascii="Calibri" w:hAnsi="Calibri" w:cs="Calibri"/>
        </w:rPr>
        <w:t>(1), 129–150. https://doi.org/10.5964/jspp.v6i1.835</w:t>
      </w:r>
    </w:p>
    <w:p w14:paraId="4AA5788D" w14:textId="77777777" w:rsidR="00421D07" w:rsidRPr="00421D07" w:rsidRDefault="00421D07" w:rsidP="00421D07">
      <w:pPr>
        <w:pStyle w:val="Bibliography"/>
        <w:rPr>
          <w:rFonts w:ascii="Calibri" w:hAnsi="Calibri" w:cs="Calibri"/>
        </w:rPr>
      </w:pPr>
      <w:r w:rsidRPr="00421D07">
        <w:rPr>
          <w:rFonts w:ascii="Calibri" w:hAnsi="Calibri" w:cs="Calibri"/>
        </w:rPr>
        <w:t xml:space="preserve">Kenny, A., Bizumic, B., &amp; Griffiths, K. M. (2018). The Prejudice towards People with Mental Illness (PPMI) scale: Structure and validity. </w:t>
      </w:r>
      <w:r w:rsidRPr="00421D07">
        <w:rPr>
          <w:rFonts w:ascii="Calibri" w:hAnsi="Calibri" w:cs="Calibri"/>
          <w:i/>
          <w:iCs/>
        </w:rPr>
        <w:t>BMC Psychiatry</w:t>
      </w:r>
      <w:r w:rsidRPr="00421D07">
        <w:rPr>
          <w:rFonts w:ascii="Calibri" w:hAnsi="Calibri" w:cs="Calibri"/>
        </w:rPr>
        <w:t xml:space="preserve">, </w:t>
      </w:r>
      <w:r w:rsidRPr="00421D07">
        <w:rPr>
          <w:rFonts w:ascii="Calibri" w:hAnsi="Calibri" w:cs="Calibri"/>
          <w:i/>
          <w:iCs/>
        </w:rPr>
        <w:t>18</w:t>
      </w:r>
      <w:r w:rsidRPr="00421D07">
        <w:rPr>
          <w:rFonts w:ascii="Calibri" w:hAnsi="Calibri" w:cs="Calibri"/>
        </w:rPr>
        <w:t>.</w:t>
      </w:r>
    </w:p>
    <w:p w14:paraId="4E0DE51B" w14:textId="5162E502" w:rsidR="00421D07" w:rsidRPr="004626B2" w:rsidRDefault="00421D07" w:rsidP="00421D07">
      <w:pPr>
        <w:rPr>
          <w:b/>
        </w:rPr>
      </w:pPr>
      <w:r>
        <w:rPr>
          <w:b/>
        </w:rPr>
        <w:fldChar w:fldCharType="end"/>
      </w:r>
    </w:p>
    <w:sectPr w:rsidR="00421D07" w:rsidRPr="004626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ylor Winter" w:date="2019-12-14T00:00:00Z" w:initials="TW">
    <w:p w14:paraId="1D6361BC" w14:textId="4A96940C" w:rsidR="008A1229" w:rsidRDefault="008A1229">
      <w:pPr>
        <w:pStyle w:val="CommentText"/>
      </w:pPr>
      <w:r>
        <w:rPr>
          <w:rStyle w:val="CommentReference"/>
        </w:rPr>
        <w:annotationRef/>
      </w:r>
      <w:r>
        <w:t xml:space="preserve">Currently at </w:t>
      </w:r>
      <w:r w:rsidR="00870C7D">
        <w:t>253</w:t>
      </w:r>
      <w:r>
        <w:t xml:space="preserve"> words out of 600.</w:t>
      </w:r>
    </w:p>
    <w:p w14:paraId="7200C81D" w14:textId="10F406AC" w:rsidR="008A1229" w:rsidRDefault="008A1229">
      <w:pPr>
        <w:pStyle w:val="CommentText"/>
      </w:pPr>
      <w:r>
        <w:t xml:space="preserve">Using </w:t>
      </w:r>
      <w:r w:rsidR="007E0B5A">
        <w:t>2</w:t>
      </w:r>
      <w:r>
        <w:t xml:space="preserve"> out of 6 refs.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C8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C81D" w16cid:durableId="219E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ylor Winter">
    <w15:presenceInfo w15:providerId="Windows Live" w15:userId="23729fc0eb6a1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DE"/>
    <w:rsid w:val="000D5E61"/>
    <w:rsid w:val="0023508B"/>
    <w:rsid w:val="0033076B"/>
    <w:rsid w:val="00332C34"/>
    <w:rsid w:val="003A36C9"/>
    <w:rsid w:val="003B0E53"/>
    <w:rsid w:val="00421D07"/>
    <w:rsid w:val="004626B2"/>
    <w:rsid w:val="004C1CEE"/>
    <w:rsid w:val="006B7608"/>
    <w:rsid w:val="007E0B5A"/>
    <w:rsid w:val="00870C7D"/>
    <w:rsid w:val="00880984"/>
    <w:rsid w:val="008A1229"/>
    <w:rsid w:val="0096265A"/>
    <w:rsid w:val="00BA58AA"/>
    <w:rsid w:val="00C13CDE"/>
    <w:rsid w:val="00D003BF"/>
    <w:rsid w:val="00D273CD"/>
    <w:rsid w:val="00EC0ADE"/>
    <w:rsid w:val="00F94EF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5808"/>
  <w15:chartTrackingRefBased/>
  <w15:docId w15:val="{156142AD-2D5E-4908-9E46-B54EF8EB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3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3CD"/>
    <w:rPr>
      <w:rFonts w:ascii="Segoe UI" w:hAnsi="Segoe UI" w:cs="Segoe UI"/>
      <w:sz w:val="18"/>
      <w:szCs w:val="18"/>
    </w:rPr>
  </w:style>
  <w:style w:type="character" w:styleId="CommentReference">
    <w:name w:val="annotation reference"/>
    <w:basedOn w:val="DefaultParagraphFont"/>
    <w:uiPriority w:val="99"/>
    <w:semiHidden/>
    <w:unhideWhenUsed/>
    <w:rsid w:val="0023508B"/>
    <w:rPr>
      <w:sz w:val="16"/>
      <w:szCs w:val="16"/>
    </w:rPr>
  </w:style>
  <w:style w:type="paragraph" w:styleId="CommentText">
    <w:name w:val="annotation text"/>
    <w:basedOn w:val="Normal"/>
    <w:link w:val="CommentTextChar"/>
    <w:uiPriority w:val="99"/>
    <w:semiHidden/>
    <w:unhideWhenUsed/>
    <w:rsid w:val="0023508B"/>
    <w:pPr>
      <w:spacing w:line="240" w:lineRule="auto"/>
    </w:pPr>
    <w:rPr>
      <w:sz w:val="20"/>
      <w:szCs w:val="20"/>
    </w:rPr>
  </w:style>
  <w:style w:type="character" w:customStyle="1" w:styleId="CommentTextChar">
    <w:name w:val="Comment Text Char"/>
    <w:basedOn w:val="DefaultParagraphFont"/>
    <w:link w:val="CommentText"/>
    <w:uiPriority w:val="99"/>
    <w:semiHidden/>
    <w:rsid w:val="0023508B"/>
    <w:rPr>
      <w:sz w:val="20"/>
      <w:szCs w:val="20"/>
    </w:rPr>
  </w:style>
  <w:style w:type="paragraph" w:styleId="CommentSubject">
    <w:name w:val="annotation subject"/>
    <w:basedOn w:val="CommentText"/>
    <w:next w:val="CommentText"/>
    <w:link w:val="CommentSubjectChar"/>
    <w:uiPriority w:val="99"/>
    <w:semiHidden/>
    <w:unhideWhenUsed/>
    <w:rsid w:val="0023508B"/>
    <w:rPr>
      <w:b/>
      <w:bCs/>
    </w:rPr>
  </w:style>
  <w:style w:type="character" w:customStyle="1" w:styleId="CommentSubjectChar">
    <w:name w:val="Comment Subject Char"/>
    <w:basedOn w:val="CommentTextChar"/>
    <w:link w:val="CommentSubject"/>
    <w:uiPriority w:val="99"/>
    <w:semiHidden/>
    <w:rsid w:val="0023508B"/>
    <w:rPr>
      <w:b/>
      <w:bCs/>
      <w:sz w:val="20"/>
      <w:szCs w:val="20"/>
    </w:rPr>
  </w:style>
  <w:style w:type="paragraph" w:styleId="Bibliography">
    <w:name w:val="Bibliography"/>
    <w:basedOn w:val="Normal"/>
    <w:next w:val="Normal"/>
    <w:uiPriority w:val="37"/>
    <w:unhideWhenUsed/>
    <w:rsid w:val="00421D0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02537">
      <w:bodyDiv w:val="1"/>
      <w:marLeft w:val="0"/>
      <w:marRight w:val="0"/>
      <w:marTop w:val="0"/>
      <w:marBottom w:val="0"/>
      <w:divBdr>
        <w:top w:val="none" w:sz="0" w:space="0" w:color="auto"/>
        <w:left w:val="none" w:sz="0" w:space="0" w:color="auto"/>
        <w:bottom w:val="none" w:sz="0" w:space="0" w:color="auto"/>
        <w:right w:val="none" w:sz="0" w:space="0" w:color="auto"/>
      </w:divBdr>
    </w:div>
    <w:div w:id="1019114766">
      <w:bodyDiv w:val="1"/>
      <w:marLeft w:val="0"/>
      <w:marRight w:val="0"/>
      <w:marTop w:val="0"/>
      <w:marBottom w:val="0"/>
      <w:divBdr>
        <w:top w:val="none" w:sz="0" w:space="0" w:color="auto"/>
        <w:left w:val="none" w:sz="0" w:space="0" w:color="auto"/>
        <w:bottom w:val="none" w:sz="0" w:space="0" w:color="auto"/>
        <w:right w:val="none" w:sz="0" w:space="0" w:color="auto"/>
      </w:divBdr>
    </w:div>
    <w:div w:id="21455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Winter</dc:creator>
  <cp:keywords/>
  <dc:description/>
  <cp:lastModifiedBy>Taylor Winter</cp:lastModifiedBy>
  <cp:revision>2</cp:revision>
  <dcterms:created xsi:type="dcterms:W3CDTF">2019-12-15T03:23:00Z</dcterms:created>
  <dcterms:modified xsi:type="dcterms:W3CDTF">2019-12-15T03:23:00Z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id="J10MT38q"/&gt;&lt;style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