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69C" w:rsidRDefault="00C3269C"/>
    <w:p w:rsidR="00A6269F" w:rsidRDefault="00A6269F" w:rsidP="00A6269F">
      <w:r>
        <w:rPr>
          <w:rFonts w:hint="cs"/>
          <w:rtl/>
        </w:rPr>
        <w:t>اگر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 w:hint="cs"/>
          <w:rtl/>
        </w:rPr>
        <w:t xml:space="preserve"> </w:t>
      </w:r>
      <w:r w:rsidRPr="006D4A34">
        <w:rPr>
          <w:rFonts w:eastAsiaTheme="minorEastAsia" w:hint="cs"/>
          <w:rtl/>
        </w:rPr>
        <w:t>بهترین مظنه</w:t>
      </w:r>
      <w:r w:rsidRPr="006D4A34"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فروش</w:t>
      </w:r>
      <w:r w:rsidRPr="006D4A34">
        <w:rPr>
          <w:rFonts w:eastAsiaTheme="minorEastAsia" w:hint="cs"/>
          <w:rtl/>
        </w:rPr>
        <w:t xml:space="preserve"> و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D4A34">
        <w:rPr>
          <w:rFonts w:eastAsiaTheme="minorEastAsia" w:hint="cs"/>
          <w:rtl/>
        </w:rPr>
        <w:t xml:space="preserve"> بهترین مظنه </w:t>
      </w:r>
      <w:r>
        <w:rPr>
          <w:rFonts w:eastAsiaTheme="minorEastAsia" w:hint="cs"/>
          <w:rtl/>
        </w:rPr>
        <w:t>خرید</w:t>
      </w:r>
      <w:r w:rsidRPr="006D4A34">
        <w:rPr>
          <w:rFonts w:eastAsiaTheme="minorEastAsia" w:hint="cs"/>
          <w:rtl/>
        </w:rPr>
        <w:t xml:space="preserve"> باشد</w:t>
      </w:r>
      <w:r>
        <w:rPr>
          <w:rFonts w:eastAsiaTheme="minorEastAsia" w:hint="cs"/>
          <w:rtl/>
        </w:rPr>
        <w:t>،</w:t>
      </w:r>
      <w:r>
        <w:rPr>
          <w:rFonts w:hint="cs"/>
          <w:rtl/>
        </w:rPr>
        <w:t xml:space="preserve"> فاصله مظنه خرید و فروش</w:t>
      </w:r>
      <w:r>
        <w:t xml:space="preserve">  </w:t>
      </w:r>
      <w:r>
        <w:rPr>
          <w:rFonts w:hint="cs"/>
          <w:rtl/>
        </w:rPr>
        <w:t>+</w:t>
      </w:r>
      <w:r>
        <w:t xml:space="preserve"> </w:t>
      </w:r>
    </w:p>
    <w:p w:rsidR="00A6269F" w:rsidRDefault="00A6269F" w:rsidP="00A6269F">
      <w:pPr>
        <w:rPr>
          <w:rFonts w:eastAsiaTheme="minorEastAsia"/>
          <w:rtl/>
        </w:rPr>
      </w:pPr>
      <w:r>
        <w:rPr>
          <w:rFonts w:hint="cs"/>
          <w:rtl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 xml:space="preserve">برای سهم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ام در نزدیکترین لحظه به زمان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ام و در روز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ام از روزهای معامله خواهد بود.  </w:t>
      </w:r>
    </w:p>
    <w:p w:rsidR="00A6269F" w:rsidRDefault="00A6269F" w:rsidP="00A6269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با فرض آنکه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تعداد سهم‌های مورد مطالعه،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تعداد مشاهدات در هر روز و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تعداد روزهای معامله در نمونه باشد، مجموعه‌های زیر را خواهیم داشت: </w:t>
      </w:r>
    </w:p>
    <w:p w:rsidR="00A6269F" w:rsidRPr="008265FD" w:rsidRDefault="00A6269F" w:rsidP="00A626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1,M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∩N</m:t>
          </m:r>
        </m:oMath>
      </m:oMathPara>
    </w:p>
    <w:p w:rsidR="00A6269F" w:rsidRPr="0065550B" w:rsidRDefault="00A6269F" w:rsidP="00A626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N∪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A6269F" w:rsidRPr="004F0469" w:rsidRDefault="00A6269F" w:rsidP="00A626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1,d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∩N</m:t>
          </m:r>
        </m:oMath>
      </m:oMathPara>
    </w:p>
    <w:p w:rsidR="00A6269F" w:rsidRDefault="00A6269F"/>
    <w:p w:rsidR="00A6269F" w:rsidRDefault="00A6269F" w:rsidP="00A6269F">
      <w:pPr>
        <w:rPr>
          <w:rtl/>
        </w:rPr>
      </w:pPr>
    </w:p>
    <w:p w:rsidR="00A6269F" w:rsidRDefault="00A6269F" w:rsidP="00A6269F">
      <w:pPr>
        <w:rPr>
          <w:rFonts w:eastAsiaTheme="minorEastAsia"/>
          <w:rtl/>
        </w:rPr>
      </w:pPr>
      <w:r>
        <w:rPr>
          <w:rFonts w:hint="cs"/>
          <w:rtl/>
        </w:rPr>
        <w:t xml:space="preserve">اگر قیمت میانه سهم </w:t>
      </w:r>
      <w:r>
        <w:t>k</w:t>
      </w:r>
      <w:r>
        <w:rPr>
          <w:rFonts w:hint="cs"/>
          <w:rtl/>
        </w:rPr>
        <w:t xml:space="preserve"> ام در نزدیک‌ترین بازه زمانی ۵ دقیقه‌ای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ام در روز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ام   صورت زیر باشد </w:t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7488"/>
      </w:tblGrid>
      <w:tr w:rsidR="00A6269F" w:rsidTr="0070109A">
        <w:tc>
          <w:tcPr>
            <w:tcW w:w="1000" w:type="pct"/>
            <w:vAlign w:val="center"/>
          </w:tcPr>
          <w:p w:rsidR="00A6269F" w:rsidRDefault="00A6269F" w:rsidP="0070109A">
            <w:pPr>
              <w:rPr>
                <w:rtl/>
              </w:rPr>
            </w:pPr>
            <w:r>
              <w:t>)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 xml:space="preserve">STYLEREF </w:instrText>
            </w:r>
            <w:r>
              <w:rPr>
                <w:rtl/>
              </w:rPr>
              <w:instrText>1 \</w:instrText>
            </w:r>
            <w:r>
              <w:instrText>s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‏3</w:t>
            </w:r>
            <w:r>
              <w:rPr>
                <w:rtl/>
              </w:rPr>
              <w:fldChar w:fldCharType="end"/>
            </w:r>
            <w:r>
              <w:rPr>
                <w:rtl/>
              </w:rPr>
              <w:noBreakHyphen/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 xml:space="preserve">SEQ </w:instrText>
            </w:r>
            <w:r>
              <w:rPr>
                <w:rtl/>
              </w:rPr>
              <w:instrText xml:space="preserve">معادلة \* </w:instrText>
            </w:r>
            <w:r>
              <w:instrText xml:space="preserve">ARABIC \s </w:instrText>
            </w:r>
            <w:r>
              <w:rPr>
                <w:rtl/>
              </w:rPr>
              <w:instrText xml:space="preserve">1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10</w:t>
            </w:r>
            <w:r>
              <w:rPr>
                <w:rtl/>
              </w:rPr>
              <w:fldChar w:fldCharType="end"/>
            </w:r>
            <w:r>
              <w:t>(</w:t>
            </w:r>
          </w:p>
        </w:tc>
        <w:tc>
          <w:tcPr>
            <w:tcW w:w="4000" w:type="pct"/>
            <w:vAlign w:val="center"/>
          </w:tcPr>
          <w:p w:rsidR="00A6269F" w:rsidRDefault="00A6269F" w:rsidP="0070109A">
            <w:pPr>
              <w:rPr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∶=</m:t>
                    </m: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D20429" w:rsidRPr="00D20429" w:rsidRDefault="00D20429" w:rsidP="00D20429">
      <w:pPr>
        <w:rPr>
          <w:rtl/>
        </w:rPr>
      </w:pPr>
      <w:r w:rsidRPr="00AE6B48">
        <w:rPr>
          <w:rFonts w:hint="cs"/>
          <w:highlight w:val="lightGray"/>
          <w:rtl/>
        </w:rPr>
        <w:t xml:space="preserve">طبق فرمول زیر به روش لگاریتمی(لگاریتم نپری) محاسبه می‌گردد. علت استفاده از این روش آنست که </w:t>
      </w:r>
      <w:r w:rsidRPr="00D20429">
        <w:rPr>
          <w:rFonts w:hint="cs"/>
          <w:rtl/>
        </w:rPr>
        <w:t xml:space="preserve">بازده در روش لگاریتمی به صورت پیوسته محاسبه می گردد. </w:t>
      </w:r>
    </w:p>
    <w:p w:rsidR="00A6269F" w:rsidRPr="00D20429" w:rsidRDefault="00D20429" w:rsidP="00D20429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e>
              </m:d>
            </m:e>
          </m:func>
        </m:oMath>
      </m:oMathPara>
    </w:p>
    <w:p w:rsidR="00A6269F" w:rsidRDefault="00A6269F" w:rsidP="00A6269F">
      <w:pPr>
        <w:ind w:firstLine="0"/>
        <w:rPr>
          <w:rFonts w:eastAsiaTheme="minorEastAsia"/>
        </w:rPr>
      </w:pPr>
      <w:r>
        <w:rPr>
          <w:rFonts w:hint="cs"/>
          <w:rtl/>
        </w:rPr>
        <w:t xml:space="preserve">به نحوی که نمادگذاری بخش قبلی هم ذکر شد </w:t>
      </w:r>
      <m:oMath>
        <m:r>
          <w:rPr>
            <w:rFonts w:ascii="Cambria Math" w:eastAsiaTheme="minorEastAsia" w:hAnsi="Cambria Math"/>
          </w:rPr>
          <m:t xml:space="preserve">j∈J </m:t>
        </m:r>
        <m:r>
          <w:rPr>
            <w:rFonts w:ascii="Cambria Math" w:eastAsiaTheme="minorEastAsia" w:hAnsi="Cambria Math" w:hint="cs"/>
            <w:rtl/>
          </w:rPr>
          <m:t xml:space="preserve">و </m:t>
        </m:r>
        <m:r>
          <w:rPr>
            <w:rFonts w:ascii="Cambria Math" w:eastAsiaTheme="minorEastAsia" w:hAnsi="Cambria Math"/>
          </w:rPr>
          <m:t xml:space="preserve">i ∈I 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، </m:t>
        </m:r>
        <m:r>
          <w:rPr>
            <w:rFonts w:ascii="Cambria Math" w:eastAsiaTheme="minorEastAsia" w:hAnsi="Cambria Math"/>
          </w:rPr>
          <m:t>k∈K</m:t>
        </m:r>
      </m:oMath>
      <w:r>
        <w:rPr>
          <w:rFonts w:eastAsiaTheme="minorEastAsia"/>
        </w:rPr>
        <w:t xml:space="preserve">    . </w:t>
      </w:r>
    </w:p>
    <w:p w:rsidR="00D20429" w:rsidRDefault="00D20429" w:rsidP="00A6269F">
      <w:pPr>
        <w:rPr>
          <w:rtl/>
        </w:rPr>
      </w:pPr>
    </w:p>
    <w:p w:rsidR="00D20429" w:rsidRDefault="00D20429" w:rsidP="00A6269F">
      <w:pPr>
        <w:rPr>
          <w:rtl/>
        </w:rPr>
      </w:pPr>
    </w:p>
    <w:p w:rsidR="00D20429" w:rsidRDefault="00D20429" w:rsidP="00A6269F">
      <w:pPr>
        <w:rPr>
          <w:rFonts w:hint="cs"/>
          <w:rtl/>
        </w:rPr>
      </w:pPr>
      <w:r>
        <w:rPr>
          <w:rFonts w:hint="cs"/>
          <w:rtl/>
        </w:rPr>
        <w:t>از سویی دیگر برای بخشی از کارم نیاز به مقایسه نتایج با استفاده از بازده های فاقد اثر فصلی و بازده های فوق دارم لذا یک ماتریس به  نوع دیگری هم از بازده به شرح زیر نیاز دارم ( این بخش را می توانم دیرتر دریافت کنم ولی بخش های فوق ترجیحا در اولین زمان ممکن به آن نیاز دارم) :</w:t>
      </w:r>
    </w:p>
    <w:p w:rsidR="00A6269F" w:rsidRPr="00D20429" w:rsidRDefault="00A6269F" w:rsidP="00D20429">
      <w:pPr>
        <w:rPr>
          <w:rtl/>
        </w:rPr>
      </w:pPr>
      <w:r>
        <w:rPr>
          <w:rFonts w:hint="cs"/>
          <w:rtl/>
        </w:rPr>
        <w:lastRenderedPageBreak/>
        <w:t>اثر فصلی را از بازده‌های لگاریتمی</w:t>
      </w:r>
      <w:r>
        <w:rPr>
          <w:rFonts w:eastAsiaTheme="minorEastAsia" w:hint="cs"/>
          <w:szCs w:val="24"/>
          <w:rtl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 w:hint="cs"/>
          <w:szCs w:val="24"/>
          <w:rtl/>
        </w:rPr>
        <w:t xml:space="preserve"> </w:t>
      </w:r>
      <w:r w:rsidRPr="00351F49">
        <w:rPr>
          <w:rFonts w:hint="cs"/>
          <w:rtl/>
        </w:rPr>
        <w:t xml:space="preserve">خارج می‌کنیم </w:t>
      </w:r>
      <w:r>
        <w:rPr>
          <w:rFonts w:hint="cs"/>
          <w:rtl/>
        </w:rPr>
        <w:t xml:space="preserve"> تا </w:t>
      </w:r>
      <w:r w:rsidRPr="00351F49">
        <w:rPr>
          <w:rFonts w:hint="cs"/>
          <w:rtl/>
        </w:rPr>
        <w:t xml:space="preserve">بازده‌های لگاریتمی فاقد اثر فصلی طی روز </w:t>
      </w:r>
      <w:r w:rsidR="00D20429">
        <w:rPr>
          <w:rFonts w:hint="cs"/>
          <w:rtl/>
        </w:rPr>
        <w:t xml:space="preserve">به شرح </w:t>
      </w:r>
      <w:r w:rsidRPr="00351F49">
        <w:rPr>
          <w:rFonts w:hint="cs"/>
          <w:rtl/>
        </w:rPr>
        <w:t xml:space="preserve">زیر بدست </w:t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7488"/>
      </w:tblGrid>
      <w:tr w:rsidR="00A6269F" w:rsidRPr="00B42510" w:rsidTr="0070109A">
        <w:tc>
          <w:tcPr>
            <w:tcW w:w="1000" w:type="pct"/>
            <w:vAlign w:val="center"/>
          </w:tcPr>
          <w:p w:rsidR="00A6269F" w:rsidRPr="00B42510" w:rsidRDefault="00A6269F" w:rsidP="0070109A">
            <w:pPr>
              <w:rPr>
                <w:rtl/>
              </w:rPr>
            </w:pPr>
            <w:r w:rsidRPr="00B42510">
              <w:t>)</w:t>
            </w:r>
            <w:r w:rsidRPr="00B42510">
              <w:rPr>
                <w:rtl/>
              </w:rPr>
              <w:fldChar w:fldCharType="begin"/>
            </w:r>
            <w:r w:rsidRPr="00B42510">
              <w:rPr>
                <w:rtl/>
              </w:rPr>
              <w:instrText xml:space="preserve"> </w:instrText>
            </w:r>
            <w:r w:rsidRPr="00B42510">
              <w:instrText xml:space="preserve">STYLEREF </w:instrText>
            </w:r>
            <w:r w:rsidRPr="00B42510">
              <w:rPr>
                <w:rtl/>
              </w:rPr>
              <w:instrText>1 \</w:instrText>
            </w:r>
            <w:r w:rsidRPr="00B42510">
              <w:instrText>s</w:instrText>
            </w:r>
            <w:r w:rsidRPr="00B42510">
              <w:rPr>
                <w:rtl/>
              </w:rPr>
              <w:instrText xml:space="preserve"> </w:instrText>
            </w:r>
            <w:r w:rsidRPr="00B42510">
              <w:rPr>
                <w:rtl/>
              </w:rPr>
              <w:fldChar w:fldCharType="separate"/>
            </w:r>
            <w:r w:rsidRPr="00B42510">
              <w:rPr>
                <w:noProof/>
                <w:rtl/>
              </w:rPr>
              <w:t>‏3</w:t>
            </w:r>
            <w:r w:rsidRPr="00B42510">
              <w:rPr>
                <w:rtl/>
              </w:rPr>
              <w:fldChar w:fldCharType="end"/>
            </w:r>
            <w:r w:rsidRPr="00B42510">
              <w:rPr>
                <w:rtl/>
              </w:rPr>
              <w:noBreakHyphen/>
            </w:r>
            <w:r w:rsidRPr="00B42510">
              <w:rPr>
                <w:rtl/>
              </w:rPr>
              <w:fldChar w:fldCharType="begin"/>
            </w:r>
            <w:r w:rsidRPr="00B42510">
              <w:rPr>
                <w:rtl/>
              </w:rPr>
              <w:instrText xml:space="preserve"> </w:instrText>
            </w:r>
            <w:r w:rsidRPr="00B42510">
              <w:instrText xml:space="preserve">SEQ </w:instrText>
            </w:r>
            <w:r w:rsidRPr="00B42510">
              <w:rPr>
                <w:rtl/>
              </w:rPr>
              <w:instrText xml:space="preserve">معادلة \* </w:instrText>
            </w:r>
            <w:r w:rsidRPr="00B42510">
              <w:instrText xml:space="preserve">ARABIC \s </w:instrText>
            </w:r>
            <w:r w:rsidRPr="00B42510">
              <w:rPr>
                <w:rtl/>
              </w:rPr>
              <w:instrText xml:space="preserve">1 </w:instrText>
            </w:r>
            <w:r w:rsidRPr="00B42510">
              <w:rPr>
                <w:rtl/>
              </w:rPr>
              <w:fldChar w:fldCharType="separate"/>
            </w:r>
            <w:r w:rsidRPr="00B42510">
              <w:rPr>
                <w:noProof/>
                <w:rtl/>
              </w:rPr>
              <w:t>12</w:t>
            </w:r>
            <w:r w:rsidRPr="00B42510">
              <w:rPr>
                <w:rtl/>
              </w:rPr>
              <w:fldChar w:fldCharType="end"/>
            </w:r>
            <w:r w:rsidRPr="00B42510">
              <w:t>(</w:t>
            </w:r>
          </w:p>
        </w:tc>
        <w:tc>
          <w:tcPr>
            <w:tcW w:w="4000" w:type="pct"/>
            <w:vAlign w:val="center"/>
          </w:tcPr>
          <w:p w:rsidR="00A6269F" w:rsidRPr="00B42510" w:rsidRDefault="00A6269F" w:rsidP="0070109A">
            <w:pPr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oMath>
            </m:oMathPara>
          </w:p>
        </w:tc>
      </w:tr>
    </w:tbl>
    <w:p w:rsidR="00D20429" w:rsidRPr="00AE6B48" w:rsidRDefault="00D20429" w:rsidP="00D20429">
      <w:pPr>
        <w:rPr>
          <w:highlight w:val="lightGray"/>
          <w:rtl/>
        </w:rPr>
      </w:pPr>
      <w:r w:rsidRPr="00AE6B48">
        <w:rPr>
          <w:rFonts w:hint="cs"/>
          <w:highlight w:val="lightGray"/>
          <w:rtl/>
        </w:rPr>
        <w:t xml:space="preserve">در این رابطه </w:t>
      </w:r>
      <m:oMath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w:rPr>
                <w:rFonts w:ascii="Cambria Math" w:hAnsi="Cambria Math"/>
                <w:highlight w:val="lightGray"/>
              </w:rPr>
              <m:t>ϕ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  <m:sup>
            <m:r>
              <w:rPr>
                <w:rFonts w:ascii="Cambria Math" w:hAnsi="Cambria Math"/>
                <w:highlight w:val="lightGray"/>
              </w:rPr>
              <m:t>k</m:t>
            </m:r>
          </m:sup>
        </m:sSubSup>
      </m:oMath>
      <w:r w:rsidRPr="00AE6B48">
        <w:rPr>
          <w:rFonts w:hint="cs"/>
          <w:highlight w:val="lightGray"/>
          <w:rtl/>
        </w:rPr>
        <w:t xml:space="preserve"> یک الگوی قطعی نوسانات بین‌روز سهم </w:t>
      </w:r>
      <m:oMath>
        <m:r>
          <w:rPr>
            <w:rFonts w:ascii="Cambria Math" w:hAnsi="Cambria Math"/>
            <w:highlight w:val="lightGray"/>
          </w:rPr>
          <m:t>k</m:t>
        </m:r>
      </m:oMath>
      <w:r w:rsidRPr="00AE6B48">
        <w:rPr>
          <w:rFonts w:hint="cs"/>
          <w:highlight w:val="lightGray"/>
          <w:rtl/>
        </w:rPr>
        <w:t xml:space="preserve"> برای بازه زمانی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n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j-1</m:t>
                </m:r>
              </m:sub>
            </m:sSub>
            <m:r>
              <w:rPr>
                <w:rFonts w:ascii="Cambria Math" w:hAnsi="Cambria Math"/>
                <w:highlight w:val="lightGray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w:rPr>
                    <w:rFonts w:ascii="Cambria Math" w:hAnsi="Cambria Math"/>
                    <w:highlight w:val="lightGray"/>
                  </w:rPr>
                  <m:t>n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</m:t>
                </m:r>
              </m:sub>
            </m:sSub>
          </m:e>
        </m:d>
      </m:oMath>
      <w:r w:rsidRPr="00AE6B48">
        <w:rPr>
          <w:rFonts w:hint="cs"/>
          <w:highlight w:val="lightGray"/>
          <w:rtl/>
        </w:rPr>
        <w:t xml:space="preserve"> با در نظر گرفتن نوسانات مورد انتظار هر زمان از روز است که به صورت زیر محاسبه می‌گردد:</w:t>
      </w:r>
    </w:p>
    <w:p w:rsidR="00D20429" w:rsidRPr="00AE6B48" w:rsidRDefault="00D20429" w:rsidP="00D20429">
      <w:pPr>
        <w:rPr>
          <w:highlight w:val="lightGray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w:rPr>
                  <w:rFonts w:ascii="Cambria Math" w:hAnsi="Cambria Math"/>
                  <w:highlight w:val="lightGray"/>
                </w:rPr>
                <m:t>ϕ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j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k</m:t>
              </m:r>
            </m:sup>
          </m:sSubSup>
          <m:r>
            <w:rPr>
              <w:rFonts w:ascii="Cambria Math" w:hAnsi="Cambria Math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|I|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naryPr>
            <m:sub>
              <m:r>
                <w:rPr>
                  <w:rFonts w:ascii="Cambria Math" w:hAnsi="Cambria Math"/>
                  <w:highlight w:val="lightGray"/>
                </w:rPr>
                <m:t>i∈I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lightGray"/>
                </w:rPr>
                <m:t xml:space="preserve"> ,  j∈J , k∈K</m:t>
              </m:r>
            </m:e>
          </m:nary>
        </m:oMath>
      </m:oMathPara>
    </w:p>
    <w:p w:rsidR="00A6269F" w:rsidRDefault="00D20429" w:rsidP="00D20429">
      <w:pPr>
        <w:rPr>
          <w:rtl/>
        </w:rPr>
      </w:pPr>
      <w:r w:rsidRPr="00AE6B48">
        <w:rPr>
          <w:highlight w:val="lightGray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z</m:t>
            </m:r>
          </m:e>
          <m:sub>
            <m:r>
              <w:rPr>
                <w:rFonts w:ascii="Cambria Math" w:hAnsi="Cambria Math"/>
                <w:highlight w:val="lightGray"/>
              </w:rPr>
              <m:t>1-α</m:t>
            </m:r>
          </m:sub>
        </m:sSub>
      </m:oMath>
      <w:r w:rsidRPr="00AE6B48">
        <w:rPr>
          <w:rFonts w:hint="cs"/>
          <w:highlight w:val="lightGray"/>
          <w:rtl/>
        </w:rPr>
        <w:t xml:space="preserve">بیانگر چندک توزیع نرمال استاندارد و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μ</m:t>
            </m:r>
          </m:e>
          <m:sub>
            <m:r>
              <w:rPr>
                <w:rFonts w:ascii="Cambria Math" w:hAnsi="Cambria Math"/>
                <w:highlight w:val="lightGray"/>
              </w:rPr>
              <m:t>k</m:t>
            </m:r>
          </m:sub>
        </m:sSub>
      </m:oMath>
      <w:r w:rsidRPr="00AE6B48">
        <w:rPr>
          <w:rFonts w:eastAsiaTheme="minorEastAsia" w:hint="cs"/>
          <w:highlight w:val="lightGray"/>
          <w:rtl/>
        </w:rPr>
        <w:t xml:space="preserve"> و</w:t>
      </w:r>
      <w:r w:rsidRPr="00AE6B48">
        <w:rPr>
          <w:rFonts w:hint="cs"/>
          <w:highlight w:val="lightGray"/>
          <w:rtl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w:rPr>
                <w:rFonts w:ascii="Cambria Math" w:hAnsi="Cambria Math"/>
                <w:highlight w:val="lightGray"/>
              </w:rPr>
              <m:t>h</m:t>
            </m:r>
          </m:e>
          <m:sub>
            <m:r>
              <w:rPr>
                <w:rFonts w:ascii="Cambria Math" w:hAnsi="Cambria Math"/>
                <w:highlight w:val="lightGray"/>
              </w:rPr>
              <m:t>i,j</m:t>
            </m:r>
          </m:sub>
          <m:sup>
            <m:r>
              <w:rPr>
                <w:rFonts w:ascii="Cambria Math" w:hAnsi="Cambria Math"/>
                <w:highlight w:val="lightGray"/>
              </w:rPr>
              <m:t>k</m:t>
            </m:r>
          </m:sup>
        </m:sSubSup>
      </m:oMath>
      <w:r w:rsidRPr="00AE6B48">
        <w:rPr>
          <w:rFonts w:hint="cs"/>
          <w:highlight w:val="lightGray"/>
          <w:rtl/>
        </w:rPr>
        <w:t xml:space="preserve"> بیانگر میانگین و واریانس می‌باشند.</w:t>
      </w:r>
    </w:p>
    <w:p w:rsidR="00D20429" w:rsidRDefault="00D20429" w:rsidP="00D20429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D20429" w:rsidRDefault="00D20429" w:rsidP="00D20429">
      <w:pPr>
        <w:rPr>
          <w:rFonts w:hint="cs"/>
          <w:rtl/>
        </w:rPr>
      </w:pPr>
      <w:r>
        <w:rPr>
          <w:rFonts w:hint="cs"/>
          <w:rtl/>
        </w:rPr>
        <w:t xml:space="preserve">تعداد </w:t>
      </w:r>
      <w:r>
        <w:t xml:space="preserve"> j</w:t>
      </w:r>
      <w:r>
        <w:rPr>
          <w:rFonts w:hint="cs"/>
          <w:rtl/>
        </w:rPr>
        <w:t xml:space="preserve"> های هر روز در حقیقت ۵ دقیقه ا ی های بین زمان ۹ تا ۱۲:۳۰ بعد از ظهر با فاصله ۵ دقیقه به ۵ دقیقه است که عملا </w:t>
      </w:r>
      <w:r w:rsidR="008B368B">
        <w:rPr>
          <w:rFonts w:hint="cs"/>
          <w:rtl/>
        </w:rPr>
        <w:t xml:space="preserve">۴۳ تا </w:t>
      </w:r>
      <w:r w:rsidR="008B368B">
        <w:t xml:space="preserve">j </w:t>
      </w:r>
      <w:r w:rsidR="008B368B">
        <w:rPr>
          <w:rFonts w:hint="cs"/>
          <w:rtl/>
        </w:rPr>
        <w:t xml:space="preserve"> داریم </w:t>
      </w:r>
    </w:p>
    <w:p w:rsidR="008B368B" w:rsidRDefault="008B368B" w:rsidP="00D20429">
      <w:r>
        <w:rPr>
          <w:rFonts w:hint="cs"/>
          <w:rtl/>
        </w:rPr>
        <w:t xml:space="preserve">و این </w:t>
      </w:r>
      <m:oMath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w:rPr>
                <w:rFonts w:ascii="Cambria Math" w:hAnsi="Cambria Math"/>
                <w:highlight w:val="lightGray"/>
              </w:rPr>
              <m:t>ϕ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  <m:sup>
            <m:r>
              <w:rPr>
                <w:rFonts w:ascii="Cambria Math" w:hAnsi="Cambria Math"/>
                <w:highlight w:val="lightGray"/>
              </w:rPr>
              <m:t>k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 الگو برای هر کدام از  این بازه های ۵ دقیقه </w:t>
      </w:r>
      <w:r w:rsidR="00DD707C">
        <w:rPr>
          <w:rFonts w:eastAsiaTheme="minorEastAsia" w:hint="cs"/>
          <w:rtl/>
        </w:rPr>
        <w:t xml:space="preserve">ای باید مجزا محاسبه گردد و سپس کل داده های بازده به شکل فوق اثر فصلی از آنها خارج گردد. </w:t>
      </w:r>
      <w:bookmarkStart w:id="0" w:name="_GoBack"/>
      <w:bookmarkEnd w:id="0"/>
    </w:p>
    <w:sectPr w:rsidR="008B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9F"/>
    <w:rsid w:val="0065492A"/>
    <w:rsid w:val="006928EB"/>
    <w:rsid w:val="008B368B"/>
    <w:rsid w:val="008C5EFF"/>
    <w:rsid w:val="00A6269F"/>
    <w:rsid w:val="00C3269C"/>
    <w:rsid w:val="00D20429"/>
    <w:rsid w:val="00DD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B6C6"/>
  <w15:chartTrackingRefBased/>
  <w15:docId w15:val="{3BF3740B-4F76-468F-863F-D42AADD9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A6269F"/>
    <w:pPr>
      <w:bidi/>
      <w:spacing w:before="120"/>
      <w:ind w:firstLine="461"/>
      <w:jc w:val="both"/>
    </w:pPr>
    <w:rPr>
      <w:rFonts w:ascii="Times New Roman" w:hAnsi="Times New Roman" w:cs="B Nazanin"/>
      <w:sz w:val="24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69F"/>
    <w:pPr>
      <w:bidi/>
      <w:spacing w:before="120" w:after="120" w:line="240" w:lineRule="auto"/>
      <w:jc w:val="both"/>
    </w:pPr>
    <w:rPr>
      <w:rFonts w:ascii="B Nazanin" w:hAnsi="B Nazanin" w:cs="B Nazan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2021-01-26T17:09:00Z</dcterms:created>
  <dcterms:modified xsi:type="dcterms:W3CDTF">2021-01-26T18:07:00Z</dcterms:modified>
</cp:coreProperties>
</file>