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-2539</wp:posOffset>
            </wp:positionH>
            <wp:positionV relativeFrom="paragraph">
              <wp:posOffset>-634</wp:posOffset>
            </wp:positionV>
            <wp:extent cx="1224000" cy="6228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Erste Befektetési Zrt.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info@ersteinvestment.hu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 E G B Í Z Á S</w:t>
      </w:r>
    </w:p>
    <w:p w:rsidR="00000000" w:rsidDel="00000000" w:rsidP="00000000" w:rsidRDefault="00000000" w:rsidRPr="00000000" w14:paraId="00000007">
      <w:pPr>
        <w:spacing w:after="0" w:line="360" w:lineRule="auto"/>
        <w:ind w:left="107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– TBSZ számla külső szolgáltatóhoz való transzferálására –</w:t>
      </w:r>
    </w:p>
    <w:p w:rsidR="00000000" w:rsidDel="00000000" w:rsidP="00000000" w:rsidRDefault="00000000" w:rsidRPr="00000000" w14:paraId="00000008">
      <w:pPr>
        <w:tabs>
          <w:tab w:val="left" w:leader="none" w:pos="5670"/>
          <w:tab w:val="right" w:leader="none" w:pos="9638"/>
        </w:tabs>
        <w:spacing w:after="12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Ügyfél név: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Gipsz Jakab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Ügyfél kód: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911XXXX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megbízom az Erste Befektetési Zrt-t, hogy az Erste Befektetési Zrt-nél vezetett nyilvántartott </w:t>
      </w:r>
      <w:r w:rsidDel="00000000" w:rsidR="00000000" w:rsidRPr="00000000">
        <w:rPr>
          <w:b w:val="1"/>
          <w:sz w:val="24"/>
          <w:szCs w:val="24"/>
          <w:rtl w:val="0"/>
        </w:rPr>
        <w:t xml:space="preserve">TBSZ</w:t>
      </w:r>
      <w:r w:rsidDel="00000000" w:rsidR="00000000" w:rsidRPr="00000000">
        <w:rPr>
          <w:sz w:val="24"/>
          <w:szCs w:val="24"/>
          <w:rtl w:val="0"/>
        </w:rPr>
        <w:t xml:space="preserve"> számlá(i)mat, melynek év jelölése(i):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TBSZ 2019, TBSZ 2020, TBSZ 2022</w:t>
      </w:r>
      <w:r w:rsidDel="00000000" w:rsidR="00000000" w:rsidRPr="00000000">
        <w:rPr>
          <w:sz w:val="24"/>
          <w:szCs w:val="24"/>
          <w:rtl w:val="0"/>
        </w:rPr>
        <w:t xml:space="preserve">, illetve azon nyilvántartott teljes értékpapír és pénz állományt a mindenkor hatályos jogszabályi rendelkezésekkel összehangban transzferálni szíveskedjenek az alább megjelölt befektetési szolgáltatóhoz, egyidejűleg a fent jelölt </w:t>
      </w:r>
      <w:r w:rsidDel="00000000" w:rsidR="00000000" w:rsidRPr="00000000">
        <w:rPr>
          <w:b w:val="1"/>
          <w:sz w:val="24"/>
          <w:szCs w:val="24"/>
          <w:rtl w:val="0"/>
        </w:rPr>
        <w:t xml:space="preserve">TBSZ</w:t>
      </w:r>
      <w:r w:rsidDel="00000000" w:rsidR="00000000" w:rsidRPr="00000000">
        <w:rPr>
          <w:sz w:val="24"/>
          <w:szCs w:val="24"/>
          <w:rtl w:val="0"/>
        </w:rPr>
        <w:t xml:space="preserve"> számlá(i)mat szüntesse meg:</w:t>
      </w:r>
    </w:p>
    <w:tbl>
      <w:tblPr>
        <w:tblStyle w:val="Table1"/>
        <w:tblW w:w="97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3960"/>
        <w:gridCol w:w="1905"/>
        <w:gridCol w:w="1395"/>
        <w:tblGridChange w:id="0">
          <w:tblGrid>
            <w:gridCol w:w="2520"/>
            <w:gridCol w:w="3960"/>
            <w:gridCol w:w="1905"/>
            <w:gridCol w:w="1395"/>
          </w:tblGrid>
        </w:tblGridChange>
      </w:tblGrid>
      <w:tr>
        <w:trPr>
          <w:cantSplit w:val="0"/>
          <w:trHeight w:val="340" w:hRule="atLeast"/>
          <w:tblHeader w:val="1"/>
        </w:trPr>
        <w:tc>
          <w:tcPr/>
          <w:p w:rsidR="00000000" w:rsidDel="00000000" w:rsidP="00000000" w:rsidRDefault="00000000" w:rsidRPr="00000000" w14:paraId="00000009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Fogadó szolgáltató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tabs>
                <w:tab w:val="right" w:leader="none" w:pos="963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Interactive Brokers 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Ireland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Limited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Forint számlaszám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HU06 1200 1008 0179 XXXX XXXX XXXX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Értékpapír számlaszám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U142XXXXX - TBSZ 2019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U142XXXXX - TBSZ 2020</w:t>
            </w:r>
          </w:p>
          <w:p w:rsidR="00000000" w:rsidDel="00000000" w:rsidP="00000000" w:rsidRDefault="00000000" w:rsidRPr="00000000" w14:paraId="00000014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U142XXXXX - TBSZ 2022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Deviza1 számlaszám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DE72 5011 0800 XXXX XXXX XX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Devizanem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EUR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right" w:leader="none" w:pos="963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Deviza2 számlaszám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 Account Number: 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6512XXXX</w:t>
            </w:r>
          </w:p>
          <w:p w:rsidR="00000000" w:rsidDel="00000000" w:rsidP="00000000" w:rsidRDefault="00000000" w:rsidRPr="00000000" w14:paraId="0000001D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ABA Routing Number: 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021XXXX</w:t>
            </w:r>
          </w:p>
          <w:p w:rsidR="00000000" w:rsidDel="00000000" w:rsidP="00000000" w:rsidRDefault="00000000" w:rsidRPr="00000000" w14:paraId="0000001E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SWIFT/BIC Code: 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CHASUSXXXX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right" w:leader="none" w:pos="963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Devizanem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right" w:leader="none" w:pos="9638"/>
              </w:tabs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USD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Magyar értékpapírok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Fogadó szolgáltató KELER kód: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tabs>
                <w:tab w:val="right" w:leader="none" w:pos="963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KELER: 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0800/XXXXXX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(SWIFT: 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PARBFXXXXX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Külföldi értékpapírok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right" w:leader="none" w:pos="9638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Fogadó szolgáltató elszámolás elérhetősége: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tabs>
                <w:tab w:val="right" w:leader="none" w:pos="963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TBSZ@interactivebrokers.com</w:t>
            </w:r>
          </w:p>
        </w:tc>
      </w:tr>
    </w:tbl>
    <w:p w:rsidR="00000000" w:rsidDel="00000000" w:rsidP="00000000" w:rsidRDefault="00000000" w:rsidRPr="00000000" w14:paraId="00000029">
      <w:pPr>
        <w:tabs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Közlemény:</w:t>
        <w:tab/>
      </w:r>
    </w:p>
    <w:p w:rsidR="00000000" w:rsidDel="00000000" w:rsidP="00000000" w:rsidRDefault="00000000" w:rsidRPr="00000000" w14:paraId="0000002A">
      <w:pPr>
        <w:tabs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tabs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Tudomásul veszem, hogy a fenti megbízás az adott évi TBSZ-ek teljes egyenlegéről szól, függetlenül attól, hogyan oszlik meg az állomány a fő és alszámlák között.</w:t>
      </w:r>
    </w:p>
    <w:p w:rsidR="00000000" w:rsidDel="00000000" w:rsidP="00000000" w:rsidRDefault="00000000" w:rsidRPr="00000000" w14:paraId="0000002C">
      <w:pPr>
        <w:tabs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Tudomásul veszem továbbá, hogy amennyiben a fogadó befektetési szolgáltatónál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TBSZ </w:t>
      </w:r>
      <w:r w:rsidDel="00000000" w:rsidR="00000000" w:rsidRPr="00000000">
        <w:rPr>
          <w:sz w:val="24"/>
          <w:szCs w:val="24"/>
          <w:rtl w:val="0"/>
        </w:rPr>
        <w:t xml:space="preserve">számla nem kerül megnyitásra, és a transzferált pénz- vagy értékpapír állomány visszaérkezik az Erste Befektetési Zrt-hez, úgy ezen állományt az Erste Befektetési Zrt. fentiek alapján megszüntetett TBSZ  számlára nem tudja helyezni, így adóköteles jövedelmem keletkezhet.</w:t>
      </w:r>
    </w:p>
    <w:p w:rsidR="00000000" w:rsidDel="00000000" w:rsidP="00000000" w:rsidRDefault="00000000" w:rsidRPr="00000000" w14:paraId="0000002D">
      <w:pPr>
        <w:tabs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Tudomásul veszem továbbá, hogy a fenti megbízás teljesítésére és díjaira, költségeire az Erste Befektetési Zrt. Üzletszabályzatában és a vonatkozó Díjjegyzékben foglaltak az irányadóak, valamint hogy amennyiben az irányadó jogszabályok előírják, az Erste Befektetési Zrt-nek adatszolgáltatási kötelezettsége áll fenn a fenti megbízással kapcsolatban.</w:t>
      </w:r>
    </w:p>
    <w:p w:rsidR="00000000" w:rsidDel="00000000" w:rsidP="00000000" w:rsidRDefault="00000000" w:rsidRPr="00000000" w14:paraId="0000002E">
      <w:pPr>
        <w:tabs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Kelt:</w:t>
      </w:r>
    </w:p>
    <w:p w:rsidR="00000000" w:rsidDel="00000000" w:rsidP="00000000" w:rsidRDefault="00000000" w:rsidRPr="00000000" w14:paraId="00000030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_____________________________</w:t>
      </w:r>
    </w:p>
    <w:p w:rsidR="00000000" w:rsidDel="00000000" w:rsidP="00000000" w:rsidRDefault="00000000" w:rsidRPr="00000000" w14:paraId="00000031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Számlatulajdonos Ügyfél * aláírása</w:t>
      </w:r>
    </w:p>
    <w:p w:rsidR="00000000" w:rsidDel="00000000" w:rsidP="00000000" w:rsidRDefault="00000000" w:rsidRPr="00000000" w14:paraId="00000032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Ügyfél személyazonossága teljes körűen ellenőrizve, aláírása rendben:</w:t>
      </w:r>
    </w:p>
    <w:p w:rsidR="00000000" w:rsidDel="00000000" w:rsidP="00000000" w:rsidRDefault="00000000" w:rsidRPr="00000000" w14:paraId="00000034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5670"/>
          <w:tab w:val="center" w:leader="none" w:pos="7797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________________</w:t>
        <w:tab/>
        <w:t xml:space="preserve">________________</w:t>
      </w:r>
    </w:p>
    <w:p w:rsidR="00000000" w:rsidDel="00000000" w:rsidP="00000000" w:rsidRDefault="00000000" w:rsidRPr="00000000" w14:paraId="00000036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Bankfióki ügyintézők aláírása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leader="none" w:pos="6804"/>
          <w:tab w:val="right" w:leader="none" w:pos="963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*Ezt a megbízás típust Meghatalmazott Ügyfél nem adhatja meg.</w:t>
      </w:r>
    </w:p>
    <w:sectPr>
      <w:pgSz w:h="16838" w:w="11906" w:orient="portrait"/>
      <w:pgMar w:bottom="566.9291338582677" w:top="566.9291338582677" w:left="1133.8582677165355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