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박혜원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정다운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시각화1. 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데이터 수집 완료 : (데이터 모음 5번) </w:t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치료중인 환자 및 사망자 증가 추이 확인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시각화 2. 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데이터 수집 완료 : (데이터 모음 3번) </w:t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코로나 확진자의 연령대별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사망자 + 치명률 확인 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 사망현황 : 치명률 = 사망자수 / 확진자수 × 100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 국내 확진자는 20,182명, 사망자는 324명으로 보고되었으며, 치명률은 1.61%로 확인됨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시각화 7. 음압병상 및 격리병상 현황  (지역별)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시각화 8. 고령층 확진자 대비 음압/격리병상 수용력 (지역별)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노인 인구수 60세 이상 합치기, 읍부,면부..등등의 데이터 삭제, 도별로 데이터 나누기, 시구별로 데이터 나누기, 지도 또는 막대그래프로 시각화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격리병상 데이터에서 병상이 0인 데이터 삭제, 각 병원의 위치를 지도로 시각화, 크게 시구-&gt;도로 그룹지어 시각화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노인인구수 대비 격리병상수를 시구-&gt;도로 시각화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진행 상황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진행 상황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tableau 관련 강의 수강 중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코로나19 연령별·성별 감염현황 파일로 시각화 해봄. </w:t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어떤 것을 시각화하면 insight 가 있을지에 대하여 고민해봐야 할 것 같음.</w:t>
            </w:r>
          </w:p>
          <w:p w:rsidR="00000000" w:rsidDel="00000000" w:rsidP="00000000" w:rsidRDefault="00000000" w:rsidRPr="00000000" w14:paraId="0000001C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태블로에서 전처리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태블로를 통해 시각화 중 .. 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-태블로로 시각화 하기로하고 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-위증증 환자수 데이터 찾기 (현재 있는 것은, 치료중인 환자 수) 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- 음압병상 및 격리병상 현황 2021 8월 / 2022 5월 Data 비교 → 평가  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[박혜원] 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list :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각각의 시각화 항목들 어떻게 시각화 할지 구체적으로 구성하기 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머신러닝 팀에게 물어보고 싶은 것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독립변수에 기저질환 관련 변수 포함할 예정인지 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[고령층 위중증환자 중심으로 코로나 사태가 관리되어야할 필요성을 보여주는 시각화]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시각화1. 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데이터 수집 완료 : (데이터 모음 5번)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치료중인 환자 및 사망자 증가 추이 확인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시각화 2. 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데이터 수집 완료 : (데이터 모음 3번) 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코로나 확진자의 연령대별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사망자 + 치명률 확인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* 사망현황 : 치명률 = 사망자수 / 확진자수 × 100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* 국내 확진자는 20,182명, 사망자는 324명으로 보고되었으며, 치명률은 1.61%로 확인됨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afe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시각화 3. 기저질환 / 연령별 (미국) 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데이터 수집 완료 : (데이터 모음 해외)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단, 기저질환이 머신러닝의 독립변수 항목에 들어가는지에 따라서, 필요 여부가 갈릴 듯함. 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https://gis.cdc.gov/grasp/COVIDNet/COVID19_5.html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시각화 7. 음압병상 및 격리병상 현황  (지역별) 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시각화 8. 고령층 확진자 대비 음압/격리병상 수용력 (지역별) 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분석 4. 정책 평가 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정책 평가 (의료 관련)  2022 년만 대략적으로 찾아봄. 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http://www.mohw.go.kr/react/al/sal0301ls.jsp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보도자료 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제목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b w:val="1"/>
          <w:sz w:val="20"/>
          <w:szCs w:val="20"/>
        </w:rPr>
      </w:pPr>
      <w:hyperlink r:id="rId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rtl w:val="0"/>
          </w:rPr>
          <w:t xml:space="preserve">확진자 추세 등을 고려한 코로나 치료병상 단계적 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조정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2022-05-06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b w:val="1"/>
          <w:sz w:val="20"/>
          <w:szCs w:val="20"/>
        </w:rPr>
      </w:pPr>
      <w:hyperlink r:id="rId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rtl w:val="0"/>
          </w:rPr>
          <w:t xml:space="preserve">지속가능한 의료체계를 위해 가동률 20∼30%인 생활치료센터 및 중등증 병상 단계적 축소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2022-04-08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sz w:val="20"/>
          <w:szCs w:val="20"/>
        </w:rPr>
      </w:pPr>
      <w:hyperlink r:id="rId1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rtl w:val="0"/>
          </w:rPr>
          <w:t xml:space="preserve">요양병원·시설 확진자 치료 및 인력 관리 강화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2022-03-30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333333"/>
          <w:sz w:val="20"/>
          <w:szCs w:val="20"/>
        </w:rPr>
      </w:pP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rtl w:val="0"/>
          </w:rPr>
          <w:t xml:space="preserve">코로나19 확진자의 기저질환은 일반병상에서 치료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2022-03-15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333333"/>
          <w:sz w:val="20"/>
          <w:szCs w:val="20"/>
        </w:rPr>
      </w:pPr>
      <w:hyperlink r:id="rId1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rtl w:val="0"/>
          </w:rPr>
          <w:t xml:space="preserve">병상가동률 등 주요 방역지표 안정적 관리 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2022-02-22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333333"/>
          <w:sz w:val="20"/>
          <w:szCs w:val="20"/>
        </w:rPr>
      </w:pPr>
      <w:hyperlink r:id="rId13">
        <w:r w:rsidDel="00000000" w:rsidR="00000000" w:rsidRPr="00000000">
          <w:rPr>
            <w:rFonts w:ascii="Malgun Gothic" w:cs="Malgun Gothic" w:eastAsia="Malgun Gothic" w:hAnsi="Malgun Gothic"/>
            <w:color w:val="446fd9"/>
            <w:sz w:val="20"/>
            <w:szCs w:val="20"/>
            <w:u w:val="single"/>
            <w:rtl w:val="0"/>
          </w:rPr>
          <w:t xml:space="preserve">동네 병？의원 중심 코로나19 검사 및 재택치료체계 안정적으로 운영 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2022-02-15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ohw.go.kr/react/al/sal0301vw.jsp?PAR_MENU_ID=04&amp;MENU_ID=0403&amp;page=2&amp;CONT_SEQ=370617&amp;SEARCHKEY=DEPT_NM&amp;SEARCHVALUE=%EC%BD%94%EB%A1%9C%EB%82%98" TargetMode="External"/><Relationship Id="rId10" Type="http://schemas.openxmlformats.org/officeDocument/2006/relationships/hyperlink" Target="http://www.mohw.go.kr/react/al/sal0301vw.jsp?PAR_MENU_ID=04&amp;MENU_ID=0403&amp;page=1&amp;CONT_SEQ=370849&amp;SEARCHKEY=DEPT_NM&amp;SEARCHVALUE=%EC%BD%94%EB%A1%9C%EB%82%98" TargetMode="External"/><Relationship Id="rId13" Type="http://schemas.openxmlformats.org/officeDocument/2006/relationships/hyperlink" Target="http://www.mohw.go.kr/react/al/sal0301vw.jsp?PAR_MENU_ID=04&amp;MENU_ID=0403&amp;page=3&amp;CONT_SEQ=370207&amp;SEARCHKEY=DEPT_NM&amp;SEARCHVALUE=%EC%BD%94%EB%A1%9C%EB%82%98" TargetMode="External"/><Relationship Id="rId12" Type="http://schemas.openxmlformats.org/officeDocument/2006/relationships/hyperlink" Target="http://www.mohw.go.kr/react/al/sal0301vw.jsp?PAR_MENU_ID=04&amp;MENU_ID=0403&amp;page=3&amp;CONT_SEQ=370295&amp;SEARCHKEY=DEPT_NM&amp;SEARCHVALUE=%EC%BD%94%EB%A1%9C%EB%82%9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ohw.go.kr/react/al/sal0301vw.jsp?PAR_MENU_ID=04&amp;MENU_ID=0403&amp;page=1&amp;CONT_SEQ=370987&amp;SEARCHKEY=DEPT_NM&amp;SEARCHVALUE=%EC%BD%94%EB%A1%9C%EB%82%98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s.cdc.gov/grasp/COVIDNet/COVID19_5.html" TargetMode="External"/><Relationship Id="rId7" Type="http://schemas.openxmlformats.org/officeDocument/2006/relationships/hyperlink" Target="http://www.mohw.go.kr/react/al/sal0301ls.jsp" TargetMode="External"/><Relationship Id="rId8" Type="http://schemas.openxmlformats.org/officeDocument/2006/relationships/hyperlink" Target="http://www.mohw.go.kr/react/al/sal0301vw.jsp?PAR_MENU_ID=04&amp;MENU_ID=0403&amp;page=1&amp;CONT_SEQ=371417&amp;SEARCHKEY=DEPT_NM&amp;SEARCHVALUE=%EC%BD%94%EB%A1%9C%EB%82%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