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85AF" w14:textId="77777777" w:rsidR="00E43C06" w:rsidRPr="00E43C06" w:rsidRDefault="00E43C06" w:rsidP="00E43C06">
      <w:pPr>
        <w:spacing w:after="0" w:line="276" w:lineRule="auto"/>
        <w:outlineLvl w:val="2"/>
        <w:rPr>
          <w:rFonts w:ascii="Times New Roman" w:eastAsia="Times New Roman" w:hAnsi="Times New Roman" w:cs="Times New Roman"/>
          <w:b/>
          <w:bCs/>
          <w:kern w:val="0"/>
          <w:sz w:val="32"/>
          <w:szCs w:val="32"/>
          <w14:ligatures w14:val="none"/>
        </w:rPr>
      </w:pPr>
      <w:r w:rsidRPr="00E43C06">
        <w:rPr>
          <w:rFonts w:ascii="Times New Roman" w:eastAsia="Times New Roman" w:hAnsi="Times New Roman" w:cs="Times New Roman"/>
          <w:b/>
          <w:bCs/>
          <w:kern w:val="0"/>
          <w:sz w:val="32"/>
          <w:szCs w:val="32"/>
          <w14:ligatures w14:val="none"/>
        </w:rPr>
        <w:t>Policy Memo</w:t>
      </w:r>
    </w:p>
    <w:p w14:paraId="321998C3" w14:textId="77777777" w:rsidR="00E43C06" w:rsidRPr="00E43C06" w:rsidRDefault="00E43C06" w:rsidP="00E43C06">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E43C06">
        <w:rPr>
          <w:rFonts w:ascii="Times New Roman" w:eastAsia="Times New Roman" w:hAnsi="Times New Roman" w:cs="Times New Roman"/>
          <w:b/>
          <w:bCs/>
          <w:kern w:val="0"/>
          <w:sz w:val="36"/>
          <w:szCs w:val="36"/>
          <w14:ligatures w14:val="none"/>
        </w:rPr>
        <w:t>How LEED for Homes Principles Can Strengthen Missing-Middle Housing Outcomes in Madison</w:t>
      </w:r>
    </w:p>
    <w:p w14:paraId="5B7A263C"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b/>
          <w:bCs/>
          <w:kern w:val="0"/>
          <w14:ligatures w14:val="none"/>
        </w:rPr>
        <w:t>Audience:</w:t>
      </w:r>
      <w:r w:rsidRPr="00E43C06">
        <w:rPr>
          <w:rFonts w:ascii="Times New Roman" w:eastAsia="Times New Roman" w:hAnsi="Times New Roman" w:cs="Times New Roman"/>
          <w:kern w:val="0"/>
          <w14:ligatures w14:val="none"/>
        </w:rPr>
        <w:t xml:space="preserve"> Community-based planning organizations and municipal staff</w:t>
      </w:r>
      <w:r w:rsidRPr="00E43C06">
        <w:rPr>
          <w:rFonts w:ascii="Times New Roman" w:eastAsia="Times New Roman" w:hAnsi="Times New Roman" w:cs="Times New Roman"/>
          <w:kern w:val="0"/>
          <w14:ligatures w14:val="none"/>
        </w:rPr>
        <w:br/>
      </w:r>
      <w:r w:rsidRPr="00E43C06">
        <w:rPr>
          <w:rFonts w:ascii="Times New Roman" w:eastAsia="Times New Roman" w:hAnsi="Times New Roman" w:cs="Times New Roman"/>
          <w:b/>
          <w:bCs/>
          <w:kern w:val="0"/>
          <w14:ligatures w14:val="none"/>
        </w:rPr>
        <w:t>Purpose:</w:t>
      </w:r>
      <w:r w:rsidRPr="00E43C06">
        <w:rPr>
          <w:rFonts w:ascii="Times New Roman" w:eastAsia="Times New Roman" w:hAnsi="Times New Roman" w:cs="Times New Roman"/>
          <w:kern w:val="0"/>
          <w14:ligatures w14:val="none"/>
        </w:rPr>
        <w:t xml:space="preserve"> To illustrate how residential performance principles commonly associated with LEED for Homes can complement Madison’s Housing Forward zoning reforms and improve long-term affordability, livability, and aging-in-place outcomes.</w:t>
      </w:r>
    </w:p>
    <w:p w14:paraId="7819B6F1" w14:textId="0DFF05E4" w:rsidR="00E43C06" w:rsidRPr="00E43C06" w:rsidRDefault="00E43C06" w:rsidP="00E43C06">
      <w:pPr>
        <w:spacing w:after="0" w:line="276" w:lineRule="auto"/>
        <w:rPr>
          <w:rFonts w:ascii="Times New Roman" w:eastAsia="Times New Roman" w:hAnsi="Times New Roman" w:cs="Times New Roman"/>
          <w:kern w:val="0"/>
          <w14:ligatures w14:val="none"/>
        </w:rPr>
      </w:pPr>
    </w:p>
    <w:p w14:paraId="122344AE" w14:textId="77777777" w:rsidR="00E43C06" w:rsidRDefault="00E43C06" w:rsidP="00E43C06">
      <w:pPr>
        <w:spacing w:after="0" w:line="276" w:lineRule="auto"/>
        <w:rPr>
          <w:b/>
          <w:bCs/>
        </w:rPr>
      </w:pPr>
      <w:r w:rsidRPr="00E43C06">
        <w:rPr>
          <w:b/>
          <w:bCs/>
        </w:rPr>
        <w:t>Executive Summary</w:t>
      </w:r>
    </w:p>
    <w:p w14:paraId="5B4D0E7E" w14:textId="4BAB9FEE" w:rsidR="00E43C06" w:rsidRPr="00E43C06" w:rsidRDefault="00E43C06" w:rsidP="00E43C06">
      <w:pPr>
        <w:spacing w:after="0" w:line="276" w:lineRule="auto"/>
        <w:jc w:val="both"/>
        <w:rPr>
          <w:b/>
          <w:bCs/>
        </w:rPr>
      </w:pPr>
      <w:r w:rsidRPr="00E43C06">
        <w:rPr>
          <w:rFonts w:ascii="Times New Roman" w:eastAsia="Times New Roman" w:hAnsi="Times New Roman" w:cs="Times New Roman"/>
          <w:kern w:val="0"/>
          <w14:ligatures w14:val="none"/>
        </w:rPr>
        <w:t xml:space="preserve">Madison’s Housing Forward zoning reforms—particularly the legalization of duplexes, accessory dwelling units (ADUs), and mid-scale infill—represent an important step toward expanding housing choice, supporting homeownership, and enabling residents to age in place. While zoning reform addresses </w:t>
      </w:r>
      <w:r w:rsidRPr="00E43C06">
        <w:rPr>
          <w:rFonts w:ascii="Times New Roman" w:eastAsia="Times New Roman" w:hAnsi="Times New Roman" w:cs="Times New Roman"/>
          <w:i/>
          <w:iCs/>
          <w:kern w:val="0"/>
          <w14:ligatures w14:val="none"/>
        </w:rPr>
        <w:t>where</w:t>
      </w:r>
      <w:r w:rsidRPr="00E43C06">
        <w:rPr>
          <w:rFonts w:ascii="Times New Roman" w:eastAsia="Times New Roman" w:hAnsi="Times New Roman" w:cs="Times New Roman"/>
          <w:kern w:val="0"/>
          <w14:ligatures w14:val="none"/>
        </w:rPr>
        <w:t xml:space="preserve"> and </w:t>
      </w:r>
      <w:r w:rsidRPr="00E43C06">
        <w:rPr>
          <w:rFonts w:ascii="Times New Roman" w:eastAsia="Times New Roman" w:hAnsi="Times New Roman" w:cs="Times New Roman"/>
          <w:i/>
          <w:iCs/>
          <w:kern w:val="0"/>
          <w14:ligatures w14:val="none"/>
        </w:rPr>
        <w:t>what</w:t>
      </w:r>
      <w:r w:rsidRPr="00E43C06">
        <w:rPr>
          <w:rFonts w:ascii="Times New Roman" w:eastAsia="Times New Roman" w:hAnsi="Times New Roman" w:cs="Times New Roman"/>
          <w:kern w:val="0"/>
          <w14:ligatures w14:val="none"/>
        </w:rPr>
        <w:t xml:space="preserve"> types of housing can be built, building performance standards influence </w:t>
      </w:r>
      <w:r w:rsidRPr="00E43C06">
        <w:rPr>
          <w:rFonts w:ascii="Times New Roman" w:eastAsia="Times New Roman" w:hAnsi="Times New Roman" w:cs="Times New Roman"/>
          <w:i/>
          <w:iCs/>
          <w:kern w:val="0"/>
          <w14:ligatures w14:val="none"/>
        </w:rPr>
        <w:t>how well</w:t>
      </w:r>
      <w:r w:rsidRPr="00E43C06">
        <w:rPr>
          <w:rFonts w:ascii="Times New Roman" w:eastAsia="Times New Roman" w:hAnsi="Times New Roman" w:cs="Times New Roman"/>
          <w:kern w:val="0"/>
          <w14:ligatures w14:val="none"/>
        </w:rPr>
        <w:t xml:space="preserve"> these homes serve residents over time.</w:t>
      </w:r>
      <w:r w:rsidRPr="00E43C06">
        <w:rPr>
          <w:rFonts w:ascii="Times New Roman" w:eastAsia="Times New Roman" w:hAnsi="Times New Roman" w:cs="Times New Roman"/>
          <w:kern w:val="0"/>
          <w14:ligatures w14:val="none"/>
        </w:rPr>
        <w:t xml:space="preserve"> </w:t>
      </w:r>
      <w:r w:rsidRPr="00E43C06">
        <w:rPr>
          <w:rFonts w:ascii="Times New Roman" w:eastAsia="Times New Roman" w:hAnsi="Times New Roman" w:cs="Times New Roman"/>
          <w:kern w:val="0"/>
          <w14:ligatures w14:val="none"/>
        </w:rPr>
        <w:t>This memo outlines how a selected set of LEED for Homes–aligned principles—focused on energy efficiency, indoor environmental quality, durability, and location efficiency—can strengthen the outcomes of missing-middle housing without imposing certification mandates or adding unnecessary regulatory burden. When applied as guidance, incentives, or educational benchmarks, these principles can help ensure that newly permitted housing delivers lasting affordability, resilience, and public benefit.</w:t>
      </w:r>
    </w:p>
    <w:p w14:paraId="3631DDE7" w14:textId="34A7373E" w:rsidR="00E43C06" w:rsidRPr="00E43C06" w:rsidRDefault="00E43C06" w:rsidP="00E43C06">
      <w:pPr>
        <w:spacing w:after="0" w:line="276" w:lineRule="auto"/>
        <w:rPr>
          <w:rFonts w:ascii="Times New Roman" w:eastAsia="Times New Roman" w:hAnsi="Times New Roman" w:cs="Times New Roman"/>
          <w:kern w:val="0"/>
          <w14:ligatures w14:val="none"/>
        </w:rPr>
      </w:pPr>
    </w:p>
    <w:p w14:paraId="321AB080"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1. Why Zoning Reform Alone Is Not Enough</w:t>
      </w:r>
    </w:p>
    <w:p w14:paraId="44F1E036"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Housing Forward reforms appropriately target regulatory barriers that have historically limited modest, neighborhood-scale housing. However, newly allowed housing types—especially small duplexes and ADUs—are often developed by individual homeowners or small builders operating with tight budgets and limited technical support.</w:t>
      </w:r>
    </w:p>
    <w:p w14:paraId="0E335CEC"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Without complementary performance guidance, these units risk:</w:t>
      </w:r>
    </w:p>
    <w:p w14:paraId="63809363" w14:textId="77777777" w:rsidR="00E43C06" w:rsidRPr="00E43C06" w:rsidRDefault="00E43C06" w:rsidP="00E43C06">
      <w:pPr>
        <w:numPr>
          <w:ilvl w:val="0"/>
          <w:numId w:val="1"/>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High long-term utility costs that undermine affordability,</w:t>
      </w:r>
    </w:p>
    <w:p w14:paraId="56A32C02" w14:textId="77777777" w:rsidR="00E43C06" w:rsidRPr="00E43C06" w:rsidRDefault="00E43C06" w:rsidP="00E43C06">
      <w:pPr>
        <w:numPr>
          <w:ilvl w:val="0"/>
          <w:numId w:val="1"/>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Poor indoor air quality affecting seniors and children,</w:t>
      </w:r>
    </w:p>
    <w:p w14:paraId="4CDC29E8" w14:textId="77777777" w:rsidR="00E43C06" w:rsidRPr="00E43C06" w:rsidRDefault="00E43C06" w:rsidP="00E43C06">
      <w:pPr>
        <w:numPr>
          <w:ilvl w:val="0"/>
          <w:numId w:val="1"/>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Inconsistent construction quality across neighborhoods, and</w:t>
      </w:r>
    </w:p>
    <w:p w14:paraId="354099AD" w14:textId="77777777" w:rsidR="00E43C06" w:rsidRPr="00E43C06" w:rsidRDefault="00E43C06" w:rsidP="00E43C06">
      <w:pPr>
        <w:numPr>
          <w:ilvl w:val="0"/>
          <w:numId w:val="1"/>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Missed opportunities to align housing growth with climate and energy goals.</w:t>
      </w:r>
    </w:p>
    <w:p w14:paraId="0A544703" w14:textId="77777777" w:rsid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Performance considerations are therefore not a separate agenda; they are directly tied to whether zoning reform delivers its intended social and economic benefits.</w:t>
      </w:r>
    </w:p>
    <w:p w14:paraId="4FF84EF1"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p>
    <w:p w14:paraId="2E27503D"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 xml:space="preserve">2. LEED for Homes as a Planning Lens, </w:t>
      </w:r>
      <w:proofErr w:type="gramStart"/>
      <w:r w:rsidRPr="00E43C06">
        <w:rPr>
          <w:rFonts w:ascii="Times New Roman" w:eastAsia="Times New Roman" w:hAnsi="Times New Roman" w:cs="Times New Roman"/>
          <w:b/>
          <w:bCs/>
          <w:kern w:val="0"/>
          <w14:ligatures w14:val="none"/>
        </w:rPr>
        <w:t>Not</w:t>
      </w:r>
      <w:proofErr w:type="gramEnd"/>
      <w:r w:rsidRPr="00E43C06">
        <w:rPr>
          <w:rFonts w:ascii="Times New Roman" w:eastAsia="Times New Roman" w:hAnsi="Times New Roman" w:cs="Times New Roman"/>
          <w:b/>
          <w:bCs/>
          <w:kern w:val="0"/>
          <w14:ligatures w14:val="none"/>
        </w:rPr>
        <w:t xml:space="preserve"> a Certification Requirement</w:t>
      </w:r>
    </w:p>
    <w:p w14:paraId="353E0E13"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 xml:space="preserve">LEED for Homes is often misunderstood as a building-level certification pursued primarily by large developers. In practice, many of its core principles function as </w:t>
      </w:r>
      <w:r w:rsidRPr="00E43C06">
        <w:rPr>
          <w:rFonts w:ascii="Times New Roman" w:eastAsia="Times New Roman" w:hAnsi="Times New Roman" w:cs="Times New Roman"/>
          <w:b/>
          <w:bCs/>
          <w:kern w:val="0"/>
          <w14:ligatures w14:val="none"/>
        </w:rPr>
        <w:t>plain-language best practices</w:t>
      </w:r>
      <w:r w:rsidRPr="00E43C06">
        <w:rPr>
          <w:rFonts w:ascii="Times New Roman" w:eastAsia="Times New Roman" w:hAnsi="Times New Roman" w:cs="Times New Roman"/>
          <w:kern w:val="0"/>
          <w14:ligatures w14:val="none"/>
        </w:rPr>
        <w:t xml:space="preserve"> that can be selectively applied without formal certification.</w:t>
      </w:r>
    </w:p>
    <w:p w14:paraId="28AEC78B"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lastRenderedPageBreak/>
        <w:t>For missing-middle housing, the most relevant principles include:</w:t>
      </w:r>
    </w:p>
    <w:p w14:paraId="5429F4C3" w14:textId="77777777" w:rsidR="00E43C06" w:rsidRPr="00E43C06" w:rsidRDefault="00E43C06" w:rsidP="00E43C06">
      <w:pPr>
        <w:numPr>
          <w:ilvl w:val="0"/>
          <w:numId w:val="2"/>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b/>
          <w:bCs/>
          <w:kern w:val="0"/>
          <w14:ligatures w14:val="none"/>
        </w:rPr>
        <w:t>Energy efficiency:</w:t>
      </w:r>
      <w:r w:rsidRPr="00E43C06">
        <w:rPr>
          <w:rFonts w:ascii="Times New Roman" w:eastAsia="Times New Roman" w:hAnsi="Times New Roman" w:cs="Times New Roman"/>
          <w:kern w:val="0"/>
          <w14:ligatures w14:val="none"/>
        </w:rPr>
        <w:t xml:space="preserve"> reducing heating and cooling demand through insulation, air sealing, and efficient equipment.</w:t>
      </w:r>
    </w:p>
    <w:p w14:paraId="689FD1CD" w14:textId="77777777" w:rsidR="00E43C06" w:rsidRPr="00E43C06" w:rsidRDefault="00E43C06" w:rsidP="00E43C06">
      <w:pPr>
        <w:numPr>
          <w:ilvl w:val="0"/>
          <w:numId w:val="2"/>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b/>
          <w:bCs/>
          <w:kern w:val="0"/>
          <w14:ligatures w14:val="none"/>
        </w:rPr>
        <w:t>Indoor environmental quality:</w:t>
      </w:r>
      <w:r w:rsidRPr="00E43C06">
        <w:rPr>
          <w:rFonts w:ascii="Times New Roman" w:eastAsia="Times New Roman" w:hAnsi="Times New Roman" w:cs="Times New Roman"/>
          <w:kern w:val="0"/>
          <w14:ligatures w14:val="none"/>
        </w:rPr>
        <w:t xml:space="preserve"> ensuring adequate ventilation and moisture control, particularly important for older adults and renters.</w:t>
      </w:r>
    </w:p>
    <w:p w14:paraId="56409411" w14:textId="77777777" w:rsidR="00E43C06" w:rsidRPr="00E43C06" w:rsidRDefault="00E43C06" w:rsidP="00E43C06">
      <w:pPr>
        <w:numPr>
          <w:ilvl w:val="0"/>
          <w:numId w:val="2"/>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b/>
          <w:bCs/>
          <w:kern w:val="0"/>
          <w14:ligatures w14:val="none"/>
        </w:rPr>
        <w:t>Durability and resilience:</w:t>
      </w:r>
      <w:r w:rsidRPr="00E43C06">
        <w:rPr>
          <w:rFonts w:ascii="Times New Roman" w:eastAsia="Times New Roman" w:hAnsi="Times New Roman" w:cs="Times New Roman"/>
          <w:kern w:val="0"/>
          <w14:ligatures w14:val="none"/>
        </w:rPr>
        <w:t xml:space="preserve"> minimizing maintenance costs through material choices and construction detailing.</w:t>
      </w:r>
    </w:p>
    <w:p w14:paraId="067D2DEA" w14:textId="77777777" w:rsidR="00E43C06" w:rsidRPr="00E43C06" w:rsidRDefault="00E43C06" w:rsidP="00E43C06">
      <w:pPr>
        <w:numPr>
          <w:ilvl w:val="0"/>
          <w:numId w:val="2"/>
        </w:num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b/>
          <w:bCs/>
          <w:kern w:val="0"/>
          <w14:ligatures w14:val="none"/>
        </w:rPr>
        <w:t>Location efficiency:</w:t>
      </w:r>
      <w:r w:rsidRPr="00E43C06">
        <w:rPr>
          <w:rFonts w:ascii="Times New Roman" w:eastAsia="Times New Roman" w:hAnsi="Times New Roman" w:cs="Times New Roman"/>
          <w:kern w:val="0"/>
          <w14:ligatures w14:val="none"/>
        </w:rPr>
        <w:t xml:space="preserve"> reinforcing the benefits of </w:t>
      </w:r>
      <w:proofErr w:type="gramStart"/>
      <w:r w:rsidRPr="00E43C06">
        <w:rPr>
          <w:rFonts w:ascii="Times New Roman" w:eastAsia="Times New Roman" w:hAnsi="Times New Roman" w:cs="Times New Roman"/>
          <w:kern w:val="0"/>
          <w14:ligatures w14:val="none"/>
        </w:rPr>
        <w:t>infill</w:t>
      </w:r>
      <w:proofErr w:type="gramEnd"/>
      <w:r w:rsidRPr="00E43C06">
        <w:rPr>
          <w:rFonts w:ascii="Times New Roman" w:eastAsia="Times New Roman" w:hAnsi="Times New Roman" w:cs="Times New Roman"/>
          <w:kern w:val="0"/>
          <w14:ligatures w14:val="none"/>
        </w:rPr>
        <w:t xml:space="preserve"> housing near transit, services, and daily needs.</w:t>
      </w:r>
    </w:p>
    <w:p w14:paraId="0B572667" w14:textId="77777777" w:rsidR="00E43C06" w:rsidRDefault="00E43C06" w:rsidP="00E43C06">
      <w:pPr>
        <w:spacing w:after="0" w:line="276" w:lineRule="auto"/>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Used as guidance rather than requirements, these principles can inform design decisions while respecting cost sensitivity and development feasibility.</w:t>
      </w:r>
    </w:p>
    <w:p w14:paraId="35ADFB11"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p>
    <w:p w14:paraId="3C3E7839"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3. Strengthening Affordability Through Operating Cost Reduction</w:t>
      </w:r>
    </w:p>
    <w:p w14:paraId="047A6AAC" w14:textId="2807E443" w:rsid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 xml:space="preserve">Affordability is often discussed in terms of purchase price or rent, but for homeowners and renters alike, </w:t>
      </w:r>
      <w:r w:rsidRPr="00E43C06">
        <w:rPr>
          <w:rFonts w:ascii="Times New Roman" w:eastAsia="Times New Roman" w:hAnsi="Times New Roman" w:cs="Times New Roman"/>
          <w:b/>
          <w:bCs/>
          <w:kern w:val="0"/>
          <w14:ligatures w14:val="none"/>
        </w:rPr>
        <w:t>monthly operating costs</w:t>
      </w:r>
      <w:r w:rsidRPr="00E43C06">
        <w:rPr>
          <w:rFonts w:ascii="Times New Roman" w:eastAsia="Times New Roman" w:hAnsi="Times New Roman" w:cs="Times New Roman"/>
          <w:kern w:val="0"/>
          <w14:ligatures w14:val="none"/>
        </w:rPr>
        <w:t>—especially energy bills—are a critical and often overlooked factor.</w:t>
      </w:r>
      <w:r>
        <w:rPr>
          <w:rFonts w:ascii="Times New Roman" w:eastAsia="Times New Roman" w:hAnsi="Times New Roman" w:cs="Times New Roman"/>
          <w:kern w:val="0"/>
          <w14:ligatures w14:val="none"/>
        </w:rPr>
        <w:t xml:space="preserve"> </w:t>
      </w:r>
      <w:r w:rsidRPr="00E43C06">
        <w:rPr>
          <w:rFonts w:ascii="Times New Roman" w:eastAsia="Times New Roman" w:hAnsi="Times New Roman" w:cs="Times New Roman"/>
          <w:kern w:val="0"/>
          <w14:ligatures w14:val="none"/>
        </w:rPr>
        <w:t>Smaller housing types such as duplexes and ADUs are well positioned to achieve low operating costs if basic efficiency measures are incorporated at the design stage. Even modest improvements—high-performance envelopes, efficient electric heat pumps, or shared walls reducing heat loss—can yield long-term savings that compound over time.</w:t>
      </w:r>
      <w:r>
        <w:rPr>
          <w:rFonts w:ascii="Times New Roman" w:eastAsia="Times New Roman" w:hAnsi="Times New Roman" w:cs="Times New Roman"/>
          <w:kern w:val="0"/>
          <w14:ligatures w14:val="none"/>
        </w:rPr>
        <w:t xml:space="preserve"> </w:t>
      </w:r>
      <w:r w:rsidRPr="00E43C06">
        <w:rPr>
          <w:rFonts w:ascii="Times New Roman" w:eastAsia="Times New Roman" w:hAnsi="Times New Roman" w:cs="Times New Roman"/>
          <w:kern w:val="0"/>
          <w14:ligatures w14:val="none"/>
        </w:rPr>
        <w:t>From a policy perspective, encouraging these practices helps ensure that new housing remains affordable not just at move-in, but throughout its lifecycle.</w:t>
      </w:r>
    </w:p>
    <w:p w14:paraId="50FF4E52" w14:textId="77777777" w:rsidR="00E43C06" w:rsidRPr="00E43C06" w:rsidRDefault="00E43C06" w:rsidP="00E43C06">
      <w:pPr>
        <w:spacing w:after="0" w:line="276" w:lineRule="auto"/>
        <w:jc w:val="both"/>
        <w:rPr>
          <w:rFonts w:ascii="Times New Roman" w:eastAsia="Times New Roman" w:hAnsi="Times New Roman" w:cs="Times New Roman"/>
          <w:kern w:val="0"/>
          <w14:ligatures w14:val="none"/>
        </w:rPr>
      </w:pPr>
    </w:p>
    <w:p w14:paraId="28783E6E"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4. Supporting Aging in Place and Multigenerational Living</w:t>
      </w:r>
    </w:p>
    <w:p w14:paraId="19A966CD" w14:textId="34EDD7F4" w:rsidR="00E43C06" w:rsidRP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One of the stated goals of Madison’s housing reforms is to allow residents to remain in their neighborhoods as their needs change. Performance features aligned with LEED for Homes directly support this objective.</w:t>
      </w:r>
      <w:r>
        <w:rPr>
          <w:rFonts w:ascii="Times New Roman" w:eastAsia="Times New Roman" w:hAnsi="Times New Roman" w:cs="Times New Roman"/>
          <w:kern w:val="0"/>
          <w14:ligatures w14:val="none"/>
        </w:rPr>
        <w:t xml:space="preserve"> </w:t>
      </w:r>
      <w:r w:rsidRPr="00E43C06">
        <w:rPr>
          <w:rFonts w:ascii="Times New Roman" w:eastAsia="Times New Roman" w:hAnsi="Times New Roman" w:cs="Times New Roman"/>
          <w:kern w:val="0"/>
          <w14:ligatures w14:val="none"/>
        </w:rPr>
        <w:t>Good indoor air quality, thermal comfort, and low maintenance requirements are particularly important for older adults. When paired with the flexibility of ADUs or duplex living arrangements, these features help create housing that can accommodate caregivers, extended family members, or rental income without compromising health or comfort.</w:t>
      </w:r>
    </w:p>
    <w:p w14:paraId="12D9766E" w14:textId="77777777" w:rsid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In this way, building performance becomes a quiet but essential enabler of social goals already embedded in Housing Forward.</w:t>
      </w:r>
    </w:p>
    <w:p w14:paraId="1513C723"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p>
    <w:p w14:paraId="2DFD42CF"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5. Location Efficiency and Neighborhood-Scale Benefits</w:t>
      </w:r>
    </w:p>
    <w:p w14:paraId="4C4A18BE" w14:textId="38ED6940" w:rsid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Missing-middle housing is most effective when it reinforces existing neighborhood assets—walkability, transit access, and proximity to services. LEED’s emphasis on location efficiency aligns closely with smart growth objectives long championed by Wisconsin planning and advocacy organizations.</w:t>
      </w:r>
      <w:r>
        <w:rPr>
          <w:rFonts w:ascii="Times New Roman" w:eastAsia="Times New Roman" w:hAnsi="Times New Roman" w:cs="Times New Roman"/>
          <w:kern w:val="0"/>
          <w14:ligatures w14:val="none"/>
        </w:rPr>
        <w:t xml:space="preserve"> </w:t>
      </w:r>
      <w:r w:rsidRPr="00E43C06">
        <w:rPr>
          <w:rFonts w:ascii="Times New Roman" w:eastAsia="Times New Roman" w:hAnsi="Times New Roman" w:cs="Times New Roman"/>
          <w:kern w:val="0"/>
          <w14:ligatures w14:val="none"/>
        </w:rPr>
        <w:t>Infill housing that is energy-efficient and well-connected reduces household transportation costs, lowers emissions, and supports local businesses. When zoning reform and performance guidance work together, the result is not just more housing, but better-functioning neighborhoods.</w:t>
      </w:r>
    </w:p>
    <w:p w14:paraId="1C9519B8"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lastRenderedPageBreak/>
        <w:t>6. Practical Ways to Integrate Performance Principles</w:t>
      </w:r>
    </w:p>
    <w:p w14:paraId="1F086BF5" w14:textId="77777777" w:rsidR="00E43C06" w:rsidRP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Importantly, none of the above requires mandating LEED certification. Instead, communities and partners could consider:</w:t>
      </w:r>
    </w:p>
    <w:p w14:paraId="21224DC1" w14:textId="77777777" w:rsidR="00E43C06" w:rsidRPr="00E43C06" w:rsidRDefault="00E43C06" w:rsidP="00E43C06">
      <w:pPr>
        <w:numPr>
          <w:ilvl w:val="0"/>
          <w:numId w:val="3"/>
        </w:num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Developing voluntary design checklists for ADUs and duplexes based on LEED-aligned best practices.</w:t>
      </w:r>
    </w:p>
    <w:p w14:paraId="3C0D9DFC" w14:textId="77777777" w:rsidR="00E43C06" w:rsidRPr="00E43C06" w:rsidRDefault="00E43C06" w:rsidP="00E43C06">
      <w:pPr>
        <w:numPr>
          <w:ilvl w:val="0"/>
          <w:numId w:val="3"/>
        </w:num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Offering technical assistance or educational resources for small builders and homeowners.</w:t>
      </w:r>
    </w:p>
    <w:p w14:paraId="7172A137" w14:textId="77777777" w:rsidR="00E43C06" w:rsidRPr="00E43C06" w:rsidRDefault="00E43C06" w:rsidP="00E43C06">
      <w:pPr>
        <w:numPr>
          <w:ilvl w:val="0"/>
          <w:numId w:val="3"/>
        </w:num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Aligning local incentives or pilot programs with performance outcomes rather than prescriptive standards.</w:t>
      </w:r>
    </w:p>
    <w:p w14:paraId="559F9E8F" w14:textId="77777777" w:rsidR="00E43C06" w:rsidRPr="00E43C06" w:rsidRDefault="00E43C06" w:rsidP="00E43C06">
      <w:pPr>
        <w:numPr>
          <w:ilvl w:val="0"/>
          <w:numId w:val="3"/>
        </w:num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Using GIS-based analysis to identify neighborhoods where energy efficiency and aging-in-place benefits would be most impactful.</w:t>
      </w:r>
    </w:p>
    <w:p w14:paraId="6792BD39" w14:textId="77777777" w:rsidR="00E43C06" w:rsidRP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These approaches preserve flexibility while encouraging higher-quality outcomes.</w:t>
      </w:r>
    </w:p>
    <w:p w14:paraId="2CB8AB22" w14:textId="77777777" w:rsidR="00E43C06" w:rsidRPr="00E43C06" w:rsidRDefault="00E43C06" w:rsidP="00E43C06">
      <w:pPr>
        <w:spacing w:after="0" w:line="276" w:lineRule="auto"/>
        <w:rPr>
          <w:rFonts w:ascii="Times New Roman" w:eastAsia="Times New Roman" w:hAnsi="Times New Roman" w:cs="Times New Roman"/>
          <w:kern w:val="0"/>
          <w14:ligatures w14:val="none"/>
        </w:rPr>
      </w:pPr>
    </w:p>
    <w:p w14:paraId="4AAC57F4" w14:textId="77777777" w:rsidR="00E43C06" w:rsidRPr="00E43C06" w:rsidRDefault="00E43C06" w:rsidP="00E43C06">
      <w:pPr>
        <w:spacing w:after="0" w:line="276" w:lineRule="auto"/>
        <w:outlineLvl w:val="2"/>
        <w:rPr>
          <w:rFonts w:ascii="Times New Roman" w:eastAsia="Times New Roman" w:hAnsi="Times New Roman" w:cs="Times New Roman"/>
          <w:b/>
          <w:bCs/>
          <w:kern w:val="0"/>
          <w14:ligatures w14:val="none"/>
        </w:rPr>
      </w:pPr>
      <w:r w:rsidRPr="00E43C06">
        <w:rPr>
          <w:rFonts w:ascii="Times New Roman" w:eastAsia="Times New Roman" w:hAnsi="Times New Roman" w:cs="Times New Roman"/>
          <w:b/>
          <w:bCs/>
          <w:kern w:val="0"/>
          <w14:ligatures w14:val="none"/>
        </w:rPr>
        <w:t>Conclusion</w:t>
      </w:r>
    </w:p>
    <w:p w14:paraId="50B6FA51" w14:textId="77777777" w:rsidR="00E43C06" w:rsidRP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 xml:space="preserve">Madison’s Housing Forward reforms create the regulatory conditions necessary for </w:t>
      </w:r>
      <w:proofErr w:type="gramStart"/>
      <w:r w:rsidRPr="00E43C06">
        <w:rPr>
          <w:rFonts w:ascii="Times New Roman" w:eastAsia="Times New Roman" w:hAnsi="Times New Roman" w:cs="Times New Roman"/>
          <w:kern w:val="0"/>
          <w14:ligatures w14:val="none"/>
        </w:rPr>
        <w:t>missing</w:t>
      </w:r>
      <w:proofErr w:type="gramEnd"/>
      <w:r w:rsidRPr="00E43C06">
        <w:rPr>
          <w:rFonts w:ascii="Times New Roman" w:eastAsia="Times New Roman" w:hAnsi="Times New Roman" w:cs="Times New Roman"/>
          <w:kern w:val="0"/>
          <w14:ligatures w14:val="none"/>
        </w:rPr>
        <w:t>-middle housing to re-emerge. To fully realize their potential, these reforms can be complemented by practical, non-prescriptive building performance guidance rooted in widely recognized principles such as those found in LEED for Homes.</w:t>
      </w:r>
    </w:p>
    <w:p w14:paraId="16ADC4A1" w14:textId="77777777" w:rsidR="00E43C06" w:rsidRPr="00E43C06" w:rsidRDefault="00E43C06" w:rsidP="00E43C06">
      <w:pPr>
        <w:spacing w:after="0" w:line="276" w:lineRule="auto"/>
        <w:jc w:val="both"/>
        <w:rPr>
          <w:rFonts w:ascii="Times New Roman" w:eastAsia="Times New Roman" w:hAnsi="Times New Roman" w:cs="Times New Roman"/>
          <w:kern w:val="0"/>
          <w14:ligatures w14:val="none"/>
        </w:rPr>
      </w:pPr>
      <w:r w:rsidRPr="00E43C06">
        <w:rPr>
          <w:rFonts w:ascii="Times New Roman" w:eastAsia="Times New Roman" w:hAnsi="Times New Roman" w:cs="Times New Roman"/>
          <w:kern w:val="0"/>
          <w14:ligatures w14:val="none"/>
        </w:rPr>
        <w:t>By viewing LEED not as a certification requirement but as a planning and design framework, local governments and community partners can help ensure that new housing delivers lasting affordability, health, and resilience—benefits that extend well beyond the moment of construction.</w:t>
      </w:r>
    </w:p>
    <w:p w14:paraId="3AADB0BA" w14:textId="77777777" w:rsidR="00F908A5" w:rsidRPr="00E43C06" w:rsidRDefault="00F908A5" w:rsidP="00E43C06">
      <w:pPr>
        <w:spacing w:line="276" w:lineRule="auto"/>
      </w:pPr>
    </w:p>
    <w:sectPr w:rsidR="00F908A5" w:rsidRPr="00E43C0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4A1A1" w14:textId="77777777" w:rsidR="000979F1" w:rsidRDefault="000979F1" w:rsidP="00E43C06">
      <w:pPr>
        <w:spacing w:after="0" w:line="240" w:lineRule="auto"/>
      </w:pPr>
      <w:r>
        <w:separator/>
      </w:r>
    </w:p>
  </w:endnote>
  <w:endnote w:type="continuationSeparator" w:id="0">
    <w:p w14:paraId="3DB5396F" w14:textId="77777777" w:rsidR="000979F1" w:rsidRDefault="000979F1" w:rsidP="00E43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950407"/>
      <w:docPartObj>
        <w:docPartGallery w:val="Page Numbers (Bottom of Page)"/>
        <w:docPartUnique/>
      </w:docPartObj>
    </w:sdtPr>
    <w:sdtEndPr>
      <w:rPr>
        <w:noProof/>
      </w:rPr>
    </w:sdtEndPr>
    <w:sdtContent>
      <w:p w14:paraId="42488C26" w14:textId="0DA4F88D" w:rsidR="00E43C06" w:rsidRDefault="00E43C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62AF7" w14:textId="77777777" w:rsidR="00E43C06" w:rsidRDefault="00E43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DC31D" w14:textId="77777777" w:rsidR="000979F1" w:rsidRDefault="000979F1" w:rsidP="00E43C06">
      <w:pPr>
        <w:spacing w:after="0" w:line="240" w:lineRule="auto"/>
      </w:pPr>
      <w:r>
        <w:separator/>
      </w:r>
    </w:p>
  </w:footnote>
  <w:footnote w:type="continuationSeparator" w:id="0">
    <w:p w14:paraId="0D595660" w14:textId="77777777" w:rsidR="000979F1" w:rsidRDefault="000979F1" w:rsidP="00E43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3984"/>
    <w:multiLevelType w:val="multilevel"/>
    <w:tmpl w:val="90F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06404"/>
    <w:multiLevelType w:val="multilevel"/>
    <w:tmpl w:val="60F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053FA"/>
    <w:multiLevelType w:val="multilevel"/>
    <w:tmpl w:val="E99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37BE2"/>
    <w:multiLevelType w:val="multilevel"/>
    <w:tmpl w:val="AF5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88606">
    <w:abstractNumId w:val="2"/>
  </w:num>
  <w:num w:numId="2" w16cid:durableId="129594548">
    <w:abstractNumId w:val="1"/>
  </w:num>
  <w:num w:numId="3" w16cid:durableId="2118938748">
    <w:abstractNumId w:val="3"/>
  </w:num>
  <w:num w:numId="4" w16cid:durableId="126507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06"/>
    <w:rsid w:val="00036BC7"/>
    <w:rsid w:val="000979F1"/>
    <w:rsid w:val="007423B3"/>
    <w:rsid w:val="00DA6412"/>
    <w:rsid w:val="00E43C06"/>
    <w:rsid w:val="00F90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90FF"/>
  <w15:chartTrackingRefBased/>
  <w15:docId w15:val="{25501065-DDD2-4D0D-B15A-80D430EA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06"/>
    <w:rPr>
      <w:rFonts w:eastAsiaTheme="majorEastAsia" w:cstheme="majorBidi"/>
      <w:color w:val="272727" w:themeColor="text1" w:themeTint="D8"/>
    </w:rPr>
  </w:style>
  <w:style w:type="paragraph" w:styleId="Title">
    <w:name w:val="Title"/>
    <w:basedOn w:val="Normal"/>
    <w:next w:val="Normal"/>
    <w:link w:val="TitleChar"/>
    <w:uiPriority w:val="10"/>
    <w:qFormat/>
    <w:rsid w:val="00E43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06"/>
    <w:pPr>
      <w:spacing w:before="160"/>
      <w:jc w:val="center"/>
    </w:pPr>
    <w:rPr>
      <w:i/>
      <w:iCs/>
      <w:color w:val="404040" w:themeColor="text1" w:themeTint="BF"/>
    </w:rPr>
  </w:style>
  <w:style w:type="character" w:customStyle="1" w:styleId="QuoteChar">
    <w:name w:val="Quote Char"/>
    <w:basedOn w:val="DefaultParagraphFont"/>
    <w:link w:val="Quote"/>
    <w:uiPriority w:val="29"/>
    <w:rsid w:val="00E43C06"/>
    <w:rPr>
      <w:i/>
      <w:iCs/>
      <w:color w:val="404040" w:themeColor="text1" w:themeTint="BF"/>
    </w:rPr>
  </w:style>
  <w:style w:type="paragraph" w:styleId="ListParagraph">
    <w:name w:val="List Paragraph"/>
    <w:basedOn w:val="Normal"/>
    <w:uiPriority w:val="34"/>
    <w:qFormat/>
    <w:rsid w:val="00E43C06"/>
    <w:pPr>
      <w:ind w:left="720"/>
      <w:contextualSpacing/>
    </w:pPr>
  </w:style>
  <w:style w:type="character" w:styleId="IntenseEmphasis">
    <w:name w:val="Intense Emphasis"/>
    <w:basedOn w:val="DefaultParagraphFont"/>
    <w:uiPriority w:val="21"/>
    <w:qFormat/>
    <w:rsid w:val="00E43C06"/>
    <w:rPr>
      <w:i/>
      <w:iCs/>
      <w:color w:val="0F4761" w:themeColor="accent1" w:themeShade="BF"/>
    </w:rPr>
  </w:style>
  <w:style w:type="paragraph" w:styleId="IntenseQuote">
    <w:name w:val="Intense Quote"/>
    <w:basedOn w:val="Normal"/>
    <w:next w:val="Normal"/>
    <w:link w:val="IntenseQuoteChar"/>
    <w:uiPriority w:val="30"/>
    <w:qFormat/>
    <w:rsid w:val="00E43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C06"/>
    <w:rPr>
      <w:i/>
      <w:iCs/>
      <w:color w:val="0F4761" w:themeColor="accent1" w:themeShade="BF"/>
    </w:rPr>
  </w:style>
  <w:style w:type="character" w:styleId="IntenseReference">
    <w:name w:val="Intense Reference"/>
    <w:basedOn w:val="DefaultParagraphFont"/>
    <w:uiPriority w:val="32"/>
    <w:qFormat/>
    <w:rsid w:val="00E43C06"/>
    <w:rPr>
      <w:b/>
      <w:bCs/>
      <w:smallCaps/>
      <w:color w:val="0F4761" w:themeColor="accent1" w:themeShade="BF"/>
      <w:spacing w:val="5"/>
    </w:rPr>
  </w:style>
  <w:style w:type="paragraph" w:styleId="Header">
    <w:name w:val="header"/>
    <w:basedOn w:val="Normal"/>
    <w:link w:val="HeaderChar"/>
    <w:uiPriority w:val="99"/>
    <w:unhideWhenUsed/>
    <w:rsid w:val="00E43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C06"/>
  </w:style>
  <w:style w:type="paragraph" w:styleId="Footer">
    <w:name w:val="footer"/>
    <w:basedOn w:val="Normal"/>
    <w:link w:val="FooterChar"/>
    <w:uiPriority w:val="99"/>
    <w:unhideWhenUsed/>
    <w:rsid w:val="00E43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5745</Characters>
  <Application>Microsoft Office Word</Application>
  <DocSecurity>0</DocSecurity>
  <Lines>102</Lines>
  <Paragraphs>33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Veisi, Hadi</dc:creator>
  <cp:keywords/>
  <dc:description/>
  <cp:lastModifiedBy>Veisi, Hadi</cp:lastModifiedBy>
  <cp:revision>1</cp:revision>
  <cp:lastPrinted>2026-03-13T14:47:00Z</cp:lastPrinted>
  <dcterms:created xsi:type="dcterms:W3CDTF">2026-03-13T14:42:00Z</dcterms:created>
  <dcterms:modified xsi:type="dcterms:W3CDTF">2026-03-13T14:48:00Z</dcterms:modified>
</cp:coreProperties>
</file>