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B034E" w14:textId="77777777" w:rsidR="00E20A54" w:rsidRPr="00E20A54" w:rsidRDefault="00E20A54" w:rsidP="00E20A5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20A54">
        <w:rPr>
          <w:rFonts w:ascii="Times New Roman" w:eastAsia="Times New Roman" w:hAnsi="Times New Roman" w:cs="Times New Roman"/>
          <w:b/>
          <w:bCs/>
          <w:kern w:val="36"/>
          <w:sz w:val="48"/>
          <w:szCs w:val="48"/>
          <w14:ligatures w14:val="none"/>
        </w:rPr>
        <w:t>Policy Memorandum</w:t>
      </w:r>
    </w:p>
    <w:p w14:paraId="3F5AC06C" w14:textId="7F5EF639" w:rsidR="00E20A54" w:rsidRPr="00E20A54" w:rsidRDefault="00E20A54" w:rsidP="00E20A54">
      <w:pPr>
        <w:spacing w:before="100" w:beforeAutospacing="1" w:after="100" w:afterAutospacing="1" w:line="240" w:lineRule="auto"/>
        <w:rPr>
          <w:rFonts w:ascii="Times New Roman" w:eastAsia="Times New Roman" w:hAnsi="Times New Roman" w:cs="Times New Roman"/>
          <w:kern w:val="0"/>
          <w14:ligatures w14:val="none"/>
        </w:rPr>
      </w:pPr>
      <w:r w:rsidRPr="00E20A54">
        <w:rPr>
          <w:rFonts w:ascii="Times New Roman" w:eastAsia="Times New Roman" w:hAnsi="Times New Roman" w:cs="Times New Roman"/>
          <w:b/>
          <w:bCs/>
          <w:kern w:val="0"/>
          <w14:ligatures w14:val="none"/>
        </w:rPr>
        <w:t>To:</w:t>
      </w:r>
      <w:r w:rsidRPr="00E20A54">
        <w:rPr>
          <w:rFonts w:ascii="Times New Roman" w:eastAsia="Times New Roman" w:hAnsi="Times New Roman" w:cs="Times New Roman"/>
          <w:kern w:val="0"/>
          <w14:ligatures w14:val="none"/>
        </w:rPr>
        <w:t xml:space="preserve"> Commissioners, Public Service Commission of Wisconsin (PSCW)</w:t>
      </w:r>
      <w:r w:rsidR="00C90F34">
        <w:rPr>
          <w:rFonts w:ascii="Times New Roman" w:eastAsia="Times New Roman" w:hAnsi="Times New Roman" w:cs="Times New Roman"/>
          <w:kern w:val="0"/>
          <w14:ligatures w14:val="none"/>
        </w:rPr>
        <w:t xml:space="preserve"> and Center for Waer Policy</w:t>
      </w:r>
      <w:r w:rsidRPr="00E20A54">
        <w:rPr>
          <w:rFonts w:ascii="Times New Roman" w:eastAsia="Times New Roman" w:hAnsi="Times New Roman" w:cs="Times New Roman"/>
          <w:kern w:val="0"/>
          <w14:ligatures w14:val="none"/>
        </w:rPr>
        <w:br/>
      </w:r>
      <w:r w:rsidRPr="00E20A54">
        <w:rPr>
          <w:rFonts w:ascii="Times New Roman" w:eastAsia="Times New Roman" w:hAnsi="Times New Roman" w:cs="Times New Roman"/>
          <w:b/>
          <w:bCs/>
          <w:kern w:val="0"/>
          <w14:ligatures w14:val="none"/>
        </w:rPr>
        <w:t>From:</w:t>
      </w:r>
      <w:r w:rsidRPr="00E20A54">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Hadi Veisi, UWSP </w:t>
      </w:r>
      <w:r w:rsidRPr="00E20A54">
        <w:rPr>
          <w:rFonts w:ascii="Times New Roman" w:eastAsia="Times New Roman" w:hAnsi="Times New Roman" w:cs="Times New Roman"/>
          <w:kern w:val="0"/>
          <w14:ligatures w14:val="none"/>
        </w:rPr>
        <w:br/>
      </w:r>
      <w:r w:rsidRPr="00E20A54">
        <w:rPr>
          <w:rFonts w:ascii="Times New Roman" w:eastAsia="Times New Roman" w:hAnsi="Times New Roman" w:cs="Times New Roman"/>
          <w:b/>
          <w:bCs/>
          <w:kern w:val="0"/>
          <w14:ligatures w14:val="none"/>
        </w:rPr>
        <w:t>Subject:</w:t>
      </w:r>
      <w:r w:rsidRPr="00E20A54">
        <w:rPr>
          <w:rFonts w:ascii="Times New Roman" w:eastAsia="Times New Roman" w:hAnsi="Times New Roman" w:cs="Times New Roman"/>
          <w:kern w:val="0"/>
          <w14:ligatures w14:val="none"/>
        </w:rPr>
        <w:t xml:space="preserve"> A TNFD-Aligned Governance Framework for Large-Load Data Center Expansion in Wisconsin</w:t>
      </w:r>
      <w:r w:rsidRPr="00E20A54">
        <w:rPr>
          <w:rFonts w:ascii="Times New Roman" w:eastAsia="Times New Roman" w:hAnsi="Times New Roman" w:cs="Times New Roman"/>
          <w:kern w:val="0"/>
          <w14:ligatures w14:val="none"/>
        </w:rPr>
        <w:br/>
      </w:r>
      <w:r w:rsidRPr="00E20A54">
        <w:rPr>
          <w:rFonts w:ascii="Times New Roman" w:eastAsia="Times New Roman" w:hAnsi="Times New Roman" w:cs="Times New Roman"/>
          <w:b/>
          <w:bCs/>
          <w:kern w:val="0"/>
          <w14:ligatures w14:val="none"/>
        </w:rPr>
        <w:t>Date:</w:t>
      </w:r>
      <w:r w:rsidRPr="00E20A54">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Feb 2026 </w:t>
      </w:r>
    </w:p>
    <w:p w14:paraId="1794B718" w14:textId="761C6AE0" w:rsidR="00E20A54" w:rsidRPr="00E20A54" w:rsidRDefault="00284C7E" w:rsidP="00E20A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2C69051">
          <v:rect id="_x0000_i1025" style="width:468pt;height:1.5pt;mso-position-horizontal:absolute;mso-position-horizontal-relative:text;mso-position-vertical:absolute;mso-position-vertical-relative:text" o:hralign="right" o:hrstd="t" o:hr="t" fillcolor="#a0a0a0" stroked="f"/>
        </w:pict>
      </w:r>
    </w:p>
    <w:p w14:paraId="2D160DFC" w14:textId="77777777" w:rsidR="00E20A54" w:rsidRDefault="00E20A54" w:rsidP="00E20A54">
      <w:pPr>
        <w:spacing w:after="0"/>
        <w:rPr>
          <w:b/>
          <w:bCs/>
        </w:rPr>
      </w:pPr>
      <w:r w:rsidRPr="00E20A54">
        <w:rPr>
          <w:b/>
          <w:bCs/>
        </w:rPr>
        <w:t>Purpose</w:t>
      </w:r>
    </w:p>
    <w:p w14:paraId="6F320356" w14:textId="37EE2F40" w:rsidR="00E20A54" w:rsidRDefault="00E20A54" w:rsidP="00E20A54">
      <w:pPr>
        <w:spacing w:after="0"/>
        <w:rPr>
          <w:rFonts w:ascii="Times New Roman" w:eastAsia="Times New Roman" w:hAnsi="Times New Roman" w:cs="Times New Roman"/>
          <w:kern w:val="0"/>
          <w14:ligatures w14:val="none"/>
        </w:rPr>
      </w:pPr>
      <w:r w:rsidRPr="00E20A54">
        <w:rPr>
          <w:rFonts w:ascii="Times New Roman" w:eastAsia="Times New Roman" w:hAnsi="Times New Roman" w:cs="Times New Roman"/>
          <w:kern w:val="0"/>
          <w14:ligatures w14:val="none"/>
        </w:rPr>
        <w:t xml:space="preserve">This memorandum presents findings from my recent statewide spatial assessment of 44 operational, proposed, paused, and cancelled data center facilities in Wisconsin and proposes a structured regulatory agenda aligned with the Taskforce on Nature-related Financial Disclosures (TNFD). The study evaluated biophysical risks (water stress, flood exposure), technological risks (grid and transmission capacity), and social governance risks (conflict intensity and procedural stress) using a standardized geospatial framework. </w:t>
      </w:r>
      <w:r w:rsidR="00284579">
        <w:rPr>
          <w:rFonts w:ascii="Times New Roman" w:eastAsia="Times New Roman" w:hAnsi="Times New Roman" w:cs="Times New Roman"/>
          <w:kern w:val="0"/>
          <w14:ligatures w14:val="none"/>
        </w:rPr>
        <w:t>c</w:t>
      </w:r>
      <w:r w:rsidRPr="00E20A54">
        <w:rPr>
          <w:rFonts w:ascii="Times New Roman" w:eastAsia="Times New Roman" w:hAnsi="Times New Roman" w:cs="Times New Roman"/>
          <w:kern w:val="0"/>
          <w14:ligatures w14:val="none"/>
        </w:rPr>
        <w:t xml:space="preserve">omposite and conflict risk maps are attached to support this briefing. </w:t>
      </w:r>
    </w:p>
    <w:p w14:paraId="46051828" w14:textId="77777777" w:rsidR="00E20A54" w:rsidRDefault="00E20A54" w:rsidP="00E20A54">
      <w:pPr>
        <w:spacing w:after="0"/>
        <w:rPr>
          <w:rFonts w:ascii="Times New Roman" w:eastAsia="Times New Roman" w:hAnsi="Times New Roman" w:cs="Times New Roman"/>
          <w:kern w:val="0"/>
          <w14:ligatures w14:val="none"/>
        </w:rPr>
      </w:pPr>
      <w:r w:rsidRPr="00E20A54">
        <w:rPr>
          <w:rFonts w:ascii="Times New Roman" w:eastAsia="Times New Roman" w:hAnsi="Times New Roman" w:cs="Times New Roman"/>
          <w:kern w:val="0"/>
          <w14:ligatures w14:val="none"/>
        </w:rPr>
        <w:t xml:space="preserve">The central finding is structural: </w:t>
      </w:r>
    </w:p>
    <w:p w14:paraId="13CF560D" w14:textId="417F26ED" w:rsidR="00E20A54" w:rsidRPr="00E20A54" w:rsidRDefault="00E20A54" w:rsidP="00E20A54">
      <w:pPr>
        <w:spacing w:after="0"/>
        <w:ind w:left="720"/>
        <w:rPr>
          <w:rFonts w:ascii="Times New Roman" w:eastAsia="Times New Roman" w:hAnsi="Times New Roman" w:cs="Times New Roman"/>
          <w:i/>
          <w:iCs/>
          <w:kern w:val="0"/>
          <w14:ligatures w14:val="none"/>
        </w:rPr>
      </w:pPr>
      <w:r w:rsidRPr="00E20A54">
        <w:rPr>
          <w:rFonts w:ascii="Times New Roman" w:eastAsia="Times New Roman" w:hAnsi="Times New Roman" w:cs="Times New Roman"/>
          <w:i/>
          <w:iCs/>
          <w:kern w:val="0"/>
          <w14:ligatures w14:val="none"/>
        </w:rPr>
        <w:t>Environmental and infrastructure risks are spatially differentiated across Wisconsin, yet permitting and incentive mechanisms remain largely uniform and reactive.</w:t>
      </w:r>
    </w:p>
    <w:p w14:paraId="1424F62F" w14:textId="11D6E2EB" w:rsidR="00E20A54" w:rsidRPr="00E20A54" w:rsidRDefault="00E20A54" w:rsidP="00E20A54">
      <w:pPr>
        <w:spacing w:after="0" w:line="240" w:lineRule="auto"/>
        <w:rPr>
          <w:rFonts w:ascii="Times New Roman" w:eastAsia="Times New Roman" w:hAnsi="Times New Roman" w:cs="Times New Roman"/>
          <w:kern w:val="0"/>
          <w14:ligatures w14:val="none"/>
        </w:rPr>
      </w:pPr>
    </w:p>
    <w:p w14:paraId="69052B29" w14:textId="77777777" w:rsidR="00E20A54" w:rsidRPr="00E20A54" w:rsidRDefault="00E20A54" w:rsidP="00E20A54">
      <w:pPr>
        <w:spacing w:after="0"/>
        <w:rPr>
          <w:b/>
          <w:bCs/>
        </w:rPr>
      </w:pPr>
      <w:r w:rsidRPr="00E20A54">
        <w:rPr>
          <w:b/>
          <w:bCs/>
        </w:rPr>
        <w:t>Key Findings Relevant to PSCW</w:t>
      </w:r>
    </w:p>
    <w:p w14:paraId="0655A5AE" w14:textId="77777777" w:rsidR="00E20A54" w:rsidRDefault="00E20A54" w:rsidP="00E20A54">
      <w:pPr>
        <w:spacing w:after="0" w:line="240" w:lineRule="auto"/>
        <w:rPr>
          <w:rFonts w:ascii="Times New Roman" w:eastAsia="Times New Roman" w:hAnsi="Times New Roman" w:cs="Times New Roman"/>
          <w:kern w:val="0"/>
          <w14:ligatures w14:val="none"/>
        </w:rPr>
      </w:pPr>
      <w:r w:rsidRPr="00E20A54">
        <w:rPr>
          <w:rFonts w:ascii="Times New Roman" w:eastAsia="Times New Roman" w:hAnsi="Times New Roman" w:cs="Times New Roman"/>
          <w:kern w:val="0"/>
          <w14:ligatures w14:val="none"/>
        </w:rPr>
        <w:t>The spatial analysis reveals three patterns that have direct regulatory relevance:</w:t>
      </w:r>
    </w:p>
    <w:p w14:paraId="3F93A603" w14:textId="77777777" w:rsidR="00E20A54" w:rsidRPr="00E20A54" w:rsidRDefault="00E20A54" w:rsidP="00E20A54">
      <w:pPr>
        <w:spacing w:after="0" w:line="240" w:lineRule="auto"/>
        <w:rPr>
          <w:rFonts w:ascii="Times New Roman" w:eastAsia="Times New Roman" w:hAnsi="Times New Roman" w:cs="Times New Roman"/>
          <w:kern w:val="0"/>
          <w14:ligatures w14:val="none"/>
        </w:rPr>
      </w:pPr>
    </w:p>
    <w:p w14:paraId="3EB46A02" w14:textId="210CB80D" w:rsidR="00E20A54" w:rsidRDefault="00E20A54" w:rsidP="00E20A54">
      <w:pPr>
        <w:spacing w:after="0" w:line="276" w:lineRule="auto"/>
        <w:rPr>
          <w:rFonts w:ascii="Times New Roman" w:eastAsia="Times New Roman" w:hAnsi="Times New Roman" w:cs="Times New Roman"/>
          <w:kern w:val="0"/>
          <w14:ligatures w14:val="none"/>
        </w:rPr>
      </w:pPr>
      <w:r w:rsidRPr="00E20A54">
        <w:rPr>
          <w:rFonts w:ascii="Times New Roman" w:eastAsia="Times New Roman" w:hAnsi="Times New Roman" w:cs="Times New Roman"/>
          <w:b/>
          <w:bCs/>
          <w:kern w:val="0"/>
          <w14:ligatures w14:val="none"/>
        </w:rPr>
        <w:t xml:space="preserve"> First,</w:t>
      </w:r>
      <w:r w:rsidRPr="00E20A54">
        <w:rPr>
          <w:rFonts w:ascii="Times New Roman" w:eastAsia="Times New Roman" w:hAnsi="Times New Roman" w:cs="Times New Roman"/>
          <w:kern w:val="0"/>
          <w14:ligatures w14:val="none"/>
        </w:rPr>
        <w:t xml:space="preserve"> infrastructure exposure is concentrated in proposed hyperscale projects. Proposed facilities show higher transmission and grid stress indicators than operational sites. Cancelled projects cluster in transmission-constrained areas. This suggests that infrastructure feasibility is already functioning as a de facto filter—but only after projects advance, creating delay, uncertainty, and potential ratepayer exposure.</w:t>
      </w:r>
      <w:r>
        <w:rPr>
          <w:rFonts w:ascii="Times New Roman" w:eastAsia="Times New Roman" w:hAnsi="Times New Roman" w:cs="Times New Roman"/>
          <w:kern w:val="0"/>
          <w14:ligatures w14:val="none"/>
        </w:rPr>
        <w:t xml:space="preserve"> </w:t>
      </w:r>
    </w:p>
    <w:p w14:paraId="2EABAF6D" w14:textId="77777777" w:rsidR="00E20A54" w:rsidRDefault="00E20A54" w:rsidP="00E20A54">
      <w:pPr>
        <w:spacing w:after="0" w:line="276" w:lineRule="auto"/>
        <w:rPr>
          <w:rFonts w:ascii="Times New Roman" w:eastAsia="Times New Roman" w:hAnsi="Times New Roman" w:cs="Times New Roman"/>
          <w:kern w:val="0"/>
          <w14:ligatures w14:val="none"/>
        </w:rPr>
      </w:pPr>
    </w:p>
    <w:p w14:paraId="4E565875" w14:textId="1F18EA00" w:rsidR="00E20A54" w:rsidRDefault="00E20A54" w:rsidP="00E20A54">
      <w:pPr>
        <w:spacing w:after="0" w:line="276" w:lineRule="auto"/>
        <w:rPr>
          <w:rFonts w:ascii="Times New Roman" w:eastAsia="Times New Roman" w:hAnsi="Times New Roman" w:cs="Times New Roman"/>
          <w:kern w:val="0"/>
          <w14:ligatures w14:val="none"/>
        </w:rPr>
      </w:pPr>
      <w:r w:rsidRPr="00E20A54">
        <w:rPr>
          <w:rFonts w:ascii="Times New Roman" w:eastAsia="Times New Roman" w:hAnsi="Times New Roman" w:cs="Times New Roman"/>
          <w:b/>
          <w:bCs/>
          <w:kern w:val="0"/>
          <w14:ligatures w14:val="none"/>
        </w:rPr>
        <w:t>Second,</w:t>
      </w:r>
      <w:r w:rsidRPr="00E20A54">
        <w:rPr>
          <w:rFonts w:ascii="Times New Roman" w:eastAsia="Times New Roman" w:hAnsi="Times New Roman" w:cs="Times New Roman"/>
          <w:kern w:val="0"/>
          <w14:ligatures w14:val="none"/>
        </w:rPr>
        <w:t xml:space="preserve"> biophysical risk is localized rather than statewide. While Wisconsin is not broadly water-scarce, watershed-level differentiation exists. Flood exposure also varies significantly across municipalities. National modeling shows that indirect water intensity—linked to electricity generation mix—often exceeds direct cooling consumption (Lei et al., 2023). This indicates that sustainability assessments must extend beyond facility boundaries to grid-level and basin-level analysis.</w:t>
      </w:r>
      <w:r>
        <w:rPr>
          <w:rFonts w:ascii="Times New Roman" w:eastAsia="Times New Roman" w:hAnsi="Times New Roman" w:cs="Times New Roman"/>
          <w:kern w:val="0"/>
          <w14:ligatures w14:val="none"/>
        </w:rPr>
        <w:t xml:space="preserve"> </w:t>
      </w:r>
    </w:p>
    <w:p w14:paraId="18003403" w14:textId="19D5B807" w:rsidR="00E20A54" w:rsidRDefault="00E20A54" w:rsidP="00E20A54">
      <w:pPr>
        <w:spacing w:after="0" w:line="276" w:lineRule="auto"/>
        <w:rPr>
          <w:rFonts w:ascii="Times New Roman" w:eastAsia="Times New Roman" w:hAnsi="Times New Roman" w:cs="Times New Roman"/>
          <w:kern w:val="0"/>
          <w14:ligatures w14:val="none"/>
        </w:rPr>
      </w:pPr>
      <w:r w:rsidRPr="00E20A54">
        <w:rPr>
          <w:rFonts w:ascii="Times New Roman" w:eastAsia="Times New Roman" w:hAnsi="Times New Roman" w:cs="Times New Roman"/>
          <w:b/>
          <w:bCs/>
          <w:kern w:val="0"/>
          <w14:ligatures w14:val="none"/>
        </w:rPr>
        <w:t>Third,</w:t>
      </w:r>
      <w:r w:rsidRPr="00E20A54">
        <w:rPr>
          <w:rFonts w:ascii="Times New Roman" w:eastAsia="Times New Roman" w:hAnsi="Times New Roman" w:cs="Times New Roman"/>
          <w:kern w:val="0"/>
          <w14:ligatures w14:val="none"/>
        </w:rPr>
        <w:t xml:space="preserve"> social governance risk is spatially clustered. My conflict intensity mapping demonstrates elevated governance stress in municipalities hosting large-scale or early-stage projects. Social risk does not disappear once facilities become operational, suggesting that transparency, infrastructure cost allocation, and procedural engagement remain central concerns.</w:t>
      </w:r>
      <w:r>
        <w:rPr>
          <w:rFonts w:ascii="Times New Roman" w:eastAsia="Times New Roman" w:hAnsi="Times New Roman" w:cs="Times New Roman"/>
          <w:kern w:val="0"/>
          <w14:ligatures w14:val="none"/>
        </w:rPr>
        <w:t xml:space="preserve"> </w:t>
      </w:r>
    </w:p>
    <w:p w14:paraId="32C9E64C" w14:textId="5C481B60" w:rsidR="00E20A54" w:rsidRDefault="00E20A54" w:rsidP="00E20A54">
      <w:pPr>
        <w:spacing w:after="0" w:line="276" w:lineRule="auto"/>
        <w:rPr>
          <w:rFonts w:ascii="Times New Roman" w:eastAsia="Times New Roman" w:hAnsi="Times New Roman" w:cs="Times New Roman"/>
          <w:kern w:val="0"/>
          <w14:ligatures w14:val="none"/>
        </w:rPr>
      </w:pPr>
      <w:r w:rsidRPr="00E20A54">
        <w:rPr>
          <w:rFonts w:ascii="Times New Roman" w:eastAsia="Times New Roman" w:hAnsi="Times New Roman" w:cs="Times New Roman"/>
          <w:kern w:val="0"/>
          <w14:ligatures w14:val="none"/>
        </w:rPr>
        <w:lastRenderedPageBreak/>
        <w:t>Together, these findings indicate that risk is geographically concentrated and lifecycle dependent.</w:t>
      </w:r>
    </w:p>
    <w:p w14:paraId="2D98A8A9" w14:textId="5F76B283" w:rsidR="00E20A54" w:rsidRPr="00E20A54" w:rsidRDefault="00E20A54" w:rsidP="00E20A54">
      <w:pPr>
        <w:spacing w:after="0" w:line="276" w:lineRule="auto"/>
        <w:rPr>
          <w:rFonts w:ascii="Times New Roman" w:eastAsia="Times New Roman" w:hAnsi="Times New Roman" w:cs="Times New Roman"/>
          <w:kern w:val="0"/>
          <w14:ligatures w14:val="none"/>
        </w:rPr>
      </w:pPr>
    </w:p>
    <w:p w14:paraId="027C653A" w14:textId="4A0FF53F" w:rsidR="00E20A54" w:rsidRDefault="00E20A54" w:rsidP="00E20A54">
      <w:pPr>
        <w:spacing w:after="0"/>
        <w:rPr>
          <w:b/>
          <w:bCs/>
        </w:rPr>
      </w:pPr>
      <w:r w:rsidRPr="00E20A54">
        <w:rPr>
          <w:b/>
          <w:bCs/>
        </w:rPr>
        <w:t>Why a TNFD-Aligned Framework Is Appropriate</w:t>
      </w:r>
    </w:p>
    <w:p w14:paraId="64AAA3DD" w14:textId="7BAAC47B" w:rsidR="00E20A54" w:rsidRPr="00E20A54" w:rsidRDefault="00B5225B" w:rsidP="00E20A54">
      <w:pPr>
        <w:spacing w:line="276" w:lineRule="auto"/>
        <w:jc w:val="both"/>
        <w:rPr>
          <w:rFonts w:ascii="Times New Roman" w:eastAsia="Times New Roman" w:hAnsi="Times New Roman" w:cs="Times New Roman"/>
          <w:kern w:val="0"/>
          <w14:ligatures w14:val="none"/>
        </w:rPr>
      </w:pPr>
      <w:r>
        <w:rPr>
          <w:noProof/>
        </w:rPr>
        <mc:AlternateContent>
          <mc:Choice Requires="wps">
            <w:drawing>
              <wp:anchor distT="0" distB="0" distL="114300" distR="114300" simplePos="0" relativeHeight="251660288" behindDoc="0" locked="0" layoutInCell="1" allowOverlap="1" wp14:anchorId="6140977F" wp14:editId="314F0F24">
                <wp:simplePos x="0" y="0"/>
                <wp:positionH relativeFrom="column">
                  <wp:posOffset>3648075</wp:posOffset>
                </wp:positionH>
                <wp:positionV relativeFrom="paragraph">
                  <wp:posOffset>2762885</wp:posOffset>
                </wp:positionV>
                <wp:extent cx="2449195" cy="635"/>
                <wp:effectExtent l="0" t="0" r="0" b="0"/>
                <wp:wrapThrough wrapText="bothSides">
                  <wp:wrapPolygon edited="0">
                    <wp:start x="0" y="0"/>
                    <wp:lineTo x="0" y="21600"/>
                    <wp:lineTo x="21600" y="21600"/>
                    <wp:lineTo x="21600" y="0"/>
                  </wp:wrapPolygon>
                </wp:wrapThrough>
                <wp:docPr id="1908651388" name="Text Box 1"/>
                <wp:cNvGraphicFramePr/>
                <a:graphic xmlns:a="http://schemas.openxmlformats.org/drawingml/2006/main">
                  <a:graphicData uri="http://schemas.microsoft.com/office/word/2010/wordprocessingShape">
                    <wps:wsp>
                      <wps:cNvSpPr txBox="1"/>
                      <wps:spPr>
                        <a:xfrm>
                          <a:off x="0" y="0"/>
                          <a:ext cx="2449195" cy="635"/>
                        </a:xfrm>
                        <a:prstGeom prst="rect">
                          <a:avLst/>
                        </a:prstGeom>
                        <a:solidFill>
                          <a:prstClr val="white"/>
                        </a:solidFill>
                        <a:ln>
                          <a:noFill/>
                        </a:ln>
                      </wps:spPr>
                      <wps:txbx>
                        <w:txbxContent>
                          <w:p w14:paraId="782333A7" w14:textId="7FA2A841" w:rsidR="00B5225B" w:rsidRPr="00FF20BE" w:rsidRDefault="00B5225B" w:rsidP="00B5225B">
                            <w:pPr>
                              <w:pStyle w:val="Caption"/>
                              <w:rPr>
                                <w:rFonts w:ascii="Times New Roman" w:eastAsia="Times New Roman" w:hAnsi="Times New Roman" w:cs="Times New Roman"/>
                                <w:kern w:val="0"/>
                                <w14:ligatures w14:val="none"/>
                              </w:rPr>
                            </w:pPr>
                            <w:r>
                              <w:t xml:space="preserve">Figure </w:t>
                            </w:r>
                            <w:fldSimple w:instr=" SEQ Figure \* ARABIC ">
                              <w:r>
                                <w:rPr>
                                  <w:noProof/>
                                </w:rPr>
                                <w:t>1</w:t>
                              </w:r>
                            </w:fldSimple>
                            <w:r>
                              <w:t>.</w:t>
                            </w:r>
                            <w:r w:rsidRPr="001E66EA">
                              <w:t>Total Risk Exposure of Data Center Development in Wisconsin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140977F" id="_x0000_t202" coordsize="21600,21600" o:spt="202" path="m,l,21600r21600,l21600,xe">
                <v:stroke joinstyle="miter"/>
                <v:path gradientshapeok="t" o:connecttype="rect"/>
              </v:shapetype>
              <v:shape id="Text Box 1" o:spid="_x0000_s1026" type="#_x0000_t202" style="position:absolute;left:0;text-align:left;margin-left:287.25pt;margin-top:217.55pt;width:192.8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" stroked="f">
                <v:textbox style="mso-fit-shape-to-text:t" inset="0,0,0,0">
                  <w:txbxContent>
                    <w:p w14:paraId="782333A7" w14:textId="7FA2A841" w:rsidR="00B5225B" w:rsidRPr="00FF20BE" w:rsidRDefault="00B5225B" w:rsidP="00B5225B">
                      <w:pPr>
                        <w:pStyle w:val="Caption"/>
                        <w:rPr>
                          <w:rFonts w:ascii="Times New Roman" w:eastAsia="Times New Roman" w:hAnsi="Times New Roman" w:cs="Times New Roman"/>
                          <w:kern w:val="0"/>
                          <w14:ligatures w14:val="none"/>
                        </w:rPr>
                      </w:pPr>
                      <w:r>
                        <w:t xml:space="preserve">Figure </w:t>
                      </w:r>
                      <w:fldSimple w:instr=" SEQ Figure \* ARABIC ">
                        <w:r>
                          <w:rPr>
                            <w:noProof/>
                          </w:rPr>
                          <w:t>1</w:t>
                        </w:r>
                      </w:fldSimple>
                      <w:r>
                        <w:t>.</w:t>
                      </w:r>
                      <w:r w:rsidRPr="001E66EA">
                        <w:t>Total Risk Exposure of Data Center Development in Wisconsin</w:t>
                      </w:r>
                    </w:p>
                  </w:txbxContent>
                </v:textbox>
                <w10:wrap type="through"/>
              </v:shape>
            </w:pict>
          </mc:Fallback>
        </mc:AlternateContent>
      </w:r>
      <w:r w:rsidRPr="00B5225B">
        <w:rPr>
          <w:rFonts w:ascii="Times New Roman" w:eastAsia="Times New Roman" w:hAnsi="Times New Roman" w:cs="Times New Roman"/>
          <w:noProof/>
          <w:kern w:val="0"/>
          <w14:ligatures w14:val="none"/>
        </w:rPr>
        <w:drawing>
          <wp:anchor distT="0" distB="0" distL="114300" distR="114300" simplePos="0" relativeHeight="251658240" behindDoc="0" locked="0" layoutInCell="1" allowOverlap="1" wp14:anchorId="709C04BE" wp14:editId="7FBF46E3">
            <wp:simplePos x="0" y="0"/>
            <wp:positionH relativeFrom="margin">
              <wp:posOffset>3648075</wp:posOffset>
            </wp:positionH>
            <wp:positionV relativeFrom="paragraph">
              <wp:posOffset>8890</wp:posOffset>
            </wp:positionV>
            <wp:extent cx="2449195" cy="2696845"/>
            <wp:effectExtent l="0" t="0" r="8255" b="8255"/>
            <wp:wrapThrough wrapText="bothSides">
              <wp:wrapPolygon edited="0">
                <wp:start x="0" y="0"/>
                <wp:lineTo x="0" y="21514"/>
                <wp:lineTo x="21505" y="21514"/>
                <wp:lineTo x="21505" y="0"/>
                <wp:lineTo x="0" y="0"/>
              </wp:wrapPolygon>
            </wp:wrapThrough>
            <wp:docPr id="810296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296330" name=""/>
                    <pic:cNvPicPr/>
                  </pic:nvPicPr>
                  <pic:blipFill>
                    <a:blip r:embed="rId7">
                      <a:extLst>
                        <a:ext uri="{28A0092B-C50C-407E-A947-70E740481C1C}">
                          <a14:useLocalDpi xmlns:a14="http://schemas.microsoft.com/office/drawing/2010/main" val="0"/>
                        </a:ext>
                      </a:extLst>
                    </a:blip>
                    <a:stretch>
                      <a:fillRect/>
                    </a:stretch>
                  </pic:blipFill>
                  <pic:spPr>
                    <a:xfrm>
                      <a:off x="0" y="0"/>
                      <a:ext cx="2449195" cy="2696845"/>
                    </a:xfrm>
                    <a:prstGeom prst="rect">
                      <a:avLst/>
                    </a:prstGeom>
                  </pic:spPr>
                </pic:pic>
              </a:graphicData>
            </a:graphic>
            <wp14:sizeRelH relativeFrom="margin">
              <wp14:pctWidth>0</wp14:pctWidth>
            </wp14:sizeRelH>
            <wp14:sizeRelV relativeFrom="margin">
              <wp14:pctHeight>0</wp14:pctHeight>
            </wp14:sizeRelV>
          </wp:anchor>
        </w:drawing>
      </w:r>
      <w:r w:rsidR="00E20A54" w:rsidRPr="00E20A54">
        <w:rPr>
          <w:rFonts w:ascii="Times New Roman" w:eastAsia="Times New Roman" w:hAnsi="Times New Roman" w:cs="Times New Roman"/>
          <w:kern w:val="0"/>
          <w14:ligatures w14:val="none"/>
        </w:rPr>
        <w:t>The TNFD framework (Locate–Evaluate–Assess–Prepare) provides a structured method to integrate spatial risk differentiation into governance systems. While designed for financial disclosure, its logic is directly transferable to regulatory review.</w:t>
      </w:r>
      <w:r w:rsidR="00E20A54">
        <w:rPr>
          <w:rFonts w:ascii="Times New Roman" w:eastAsia="Times New Roman" w:hAnsi="Times New Roman" w:cs="Times New Roman"/>
          <w:kern w:val="0"/>
          <w14:ligatures w14:val="none"/>
        </w:rPr>
        <w:t xml:space="preserve"> </w:t>
      </w:r>
      <w:r w:rsidR="00E20A54" w:rsidRPr="00E20A54">
        <w:rPr>
          <w:rFonts w:ascii="Times New Roman" w:eastAsia="Times New Roman" w:hAnsi="Times New Roman" w:cs="Times New Roman"/>
          <w:kern w:val="0"/>
          <w14:ligatures w14:val="none"/>
        </w:rPr>
        <w:t>Digital infrastructure is materially embedded in watersheds, transmission corridors, substations, and local governance systems. My composite risk maps demonstrate that these dependencies are measurable and mappable within Wisconsin.</w:t>
      </w:r>
      <w:r w:rsidR="00E20A54">
        <w:rPr>
          <w:rFonts w:ascii="Times New Roman" w:eastAsia="Times New Roman" w:hAnsi="Times New Roman" w:cs="Times New Roman"/>
          <w:kern w:val="0"/>
          <w14:ligatures w14:val="none"/>
        </w:rPr>
        <w:t xml:space="preserve"> </w:t>
      </w:r>
      <w:r w:rsidR="00E20A54" w:rsidRPr="00E20A54">
        <w:rPr>
          <w:rFonts w:ascii="Times New Roman" w:eastAsia="Times New Roman" w:hAnsi="Times New Roman" w:cs="Times New Roman"/>
          <w:kern w:val="0"/>
          <w14:ligatures w14:val="none"/>
        </w:rPr>
        <w:t>A TNFD-aligned approach would allow PSCW to formalize what is currently occurring informally—risk filtering through congestion and conflict—into anticipatory, transparent criteria.</w:t>
      </w:r>
    </w:p>
    <w:p w14:paraId="015D4B9A" w14:textId="0A112B08" w:rsidR="00E20A54" w:rsidRPr="00E20A54" w:rsidRDefault="00E20A54" w:rsidP="00E20A54">
      <w:pPr>
        <w:spacing w:after="0" w:line="240" w:lineRule="auto"/>
        <w:rPr>
          <w:rFonts w:ascii="Times New Roman" w:eastAsia="Times New Roman" w:hAnsi="Times New Roman" w:cs="Times New Roman"/>
          <w:kern w:val="0"/>
          <w14:ligatures w14:val="none"/>
        </w:rPr>
      </w:pPr>
    </w:p>
    <w:p w14:paraId="1F2AE0CC" w14:textId="77777777" w:rsidR="00E20A54" w:rsidRDefault="00E20A54" w:rsidP="00E20A54">
      <w:pPr>
        <w:spacing w:after="0" w:line="276" w:lineRule="auto"/>
        <w:rPr>
          <w:b/>
          <w:bCs/>
        </w:rPr>
      </w:pPr>
      <w:r w:rsidRPr="00E20A54">
        <w:rPr>
          <w:b/>
          <w:bCs/>
        </w:rPr>
        <w:t>Proposed Governance Agenda for PSCW</w:t>
      </w:r>
    </w:p>
    <w:p w14:paraId="2D2E5B74" w14:textId="00F05649" w:rsidR="00E20A54" w:rsidRPr="00E20A54" w:rsidRDefault="00E20A54" w:rsidP="00E20A54">
      <w:pPr>
        <w:spacing w:after="0" w:line="276" w:lineRule="auto"/>
        <w:rPr>
          <w:rFonts w:ascii="Times New Roman" w:eastAsia="Times New Roman" w:hAnsi="Times New Roman" w:cs="Times New Roman"/>
          <w:kern w:val="0"/>
          <w14:ligatures w14:val="none"/>
        </w:rPr>
      </w:pPr>
      <w:r w:rsidRPr="00E20A54">
        <w:rPr>
          <w:rFonts w:ascii="Times New Roman" w:eastAsia="Times New Roman" w:hAnsi="Times New Roman" w:cs="Times New Roman"/>
          <w:kern w:val="0"/>
          <w14:ligatures w14:val="none"/>
        </w:rPr>
        <w:t>I recommend that PSCW consider development of a Risk-Aligned Large Load Review Framework incorporating four components:</w:t>
      </w:r>
    </w:p>
    <w:p w14:paraId="66773FE3" w14:textId="77777777" w:rsidR="00E20A54" w:rsidRPr="00E20A54" w:rsidRDefault="00E20A54" w:rsidP="00E20A54">
      <w:pPr>
        <w:numPr>
          <w:ilvl w:val="0"/>
          <w:numId w:val="1"/>
        </w:numPr>
        <w:spacing w:before="100" w:beforeAutospacing="1" w:after="100" w:afterAutospacing="1" w:line="276" w:lineRule="auto"/>
        <w:rPr>
          <w:rFonts w:ascii="Times New Roman" w:eastAsia="Times New Roman" w:hAnsi="Times New Roman" w:cs="Times New Roman"/>
          <w:kern w:val="0"/>
          <w14:ligatures w14:val="none"/>
        </w:rPr>
      </w:pPr>
      <w:r w:rsidRPr="00E20A54">
        <w:rPr>
          <w:rFonts w:ascii="Times New Roman" w:eastAsia="Times New Roman" w:hAnsi="Times New Roman" w:cs="Times New Roman"/>
          <w:kern w:val="0"/>
          <w14:ligatures w14:val="none"/>
        </w:rPr>
        <w:t>Grid Capacity Certification</w:t>
      </w:r>
      <w:r w:rsidRPr="00E20A54">
        <w:rPr>
          <w:rFonts w:ascii="Times New Roman" w:eastAsia="Times New Roman" w:hAnsi="Times New Roman" w:cs="Times New Roman"/>
          <w:kern w:val="0"/>
          <w14:ligatures w14:val="none"/>
        </w:rPr>
        <w:br/>
        <w:t>Require formal verification of transmission and substation adequacy before final approval of large-load interconnections. Where capacity is constrained, phased commissioning tied to infrastructure upgrades should be required.</w:t>
      </w:r>
    </w:p>
    <w:p w14:paraId="07DAE400" w14:textId="77777777" w:rsidR="00E20A54" w:rsidRPr="00E20A54" w:rsidRDefault="00E20A54" w:rsidP="00E20A54">
      <w:pPr>
        <w:numPr>
          <w:ilvl w:val="0"/>
          <w:numId w:val="1"/>
        </w:numPr>
        <w:spacing w:before="100" w:beforeAutospacing="1" w:after="100" w:afterAutospacing="1" w:line="276" w:lineRule="auto"/>
        <w:rPr>
          <w:rFonts w:ascii="Times New Roman" w:eastAsia="Times New Roman" w:hAnsi="Times New Roman" w:cs="Times New Roman"/>
          <w:kern w:val="0"/>
          <w14:ligatures w14:val="none"/>
        </w:rPr>
      </w:pPr>
      <w:r w:rsidRPr="00E20A54">
        <w:rPr>
          <w:rFonts w:ascii="Times New Roman" w:eastAsia="Times New Roman" w:hAnsi="Times New Roman" w:cs="Times New Roman"/>
          <w:kern w:val="0"/>
          <w14:ligatures w14:val="none"/>
        </w:rPr>
        <w:t>Watershed-Level Screening</w:t>
      </w:r>
      <w:r w:rsidRPr="00E20A54">
        <w:rPr>
          <w:rFonts w:ascii="Times New Roman" w:eastAsia="Times New Roman" w:hAnsi="Times New Roman" w:cs="Times New Roman"/>
          <w:kern w:val="0"/>
          <w14:ligatures w14:val="none"/>
        </w:rPr>
        <w:br/>
        <w:t>Integrate basin-level water stress and indirect electricity water intensity into environmental review. Projects in moderate-to-high stress areas should trigger enhanced mitigation or cooling requirements.</w:t>
      </w:r>
    </w:p>
    <w:p w14:paraId="73698321" w14:textId="77777777" w:rsidR="00E20A54" w:rsidRPr="00E20A54" w:rsidRDefault="00E20A54" w:rsidP="00E20A54">
      <w:pPr>
        <w:numPr>
          <w:ilvl w:val="0"/>
          <w:numId w:val="1"/>
        </w:numPr>
        <w:spacing w:before="100" w:beforeAutospacing="1" w:after="100" w:afterAutospacing="1" w:line="276" w:lineRule="auto"/>
        <w:rPr>
          <w:rFonts w:ascii="Times New Roman" w:eastAsia="Times New Roman" w:hAnsi="Times New Roman" w:cs="Times New Roman"/>
          <w:kern w:val="0"/>
          <w14:ligatures w14:val="none"/>
        </w:rPr>
      </w:pPr>
      <w:r w:rsidRPr="00E20A54">
        <w:rPr>
          <w:rFonts w:ascii="Times New Roman" w:eastAsia="Times New Roman" w:hAnsi="Times New Roman" w:cs="Times New Roman"/>
          <w:kern w:val="0"/>
          <w14:ligatures w14:val="none"/>
        </w:rPr>
        <w:t>Renewable Alignment Mechanism</w:t>
      </w:r>
      <w:r w:rsidRPr="00E20A54">
        <w:rPr>
          <w:rFonts w:ascii="Times New Roman" w:eastAsia="Times New Roman" w:hAnsi="Times New Roman" w:cs="Times New Roman"/>
          <w:kern w:val="0"/>
          <w14:ligatures w14:val="none"/>
        </w:rPr>
        <w:br/>
        <w:t>Condition approval of hyperscale facilities on demonstrated renewable matching or additional capacity proportional to projected load growth. Comparative state analysis shows that expansion frequently outpaces renewable scaling (Kovacevic, 2025).</w:t>
      </w:r>
    </w:p>
    <w:p w14:paraId="31D86C7F" w14:textId="77777777" w:rsidR="00E20A54" w:rsidRPr="00E20A54" w:rsidRDefault="00E20A54" w:rsidP="00E20A54">
      <w:pPr>
        <w:numPr>
          <w:ilvl w:val="0"/>
          <w:numId w:val="1"/>
        </w:numPr>
        <w:spacing w:before="100" w:beforeAutospacing="1" w:after="100" w:afterAutospacing="1" w:line="276" w:lineRule="auto"/>
        <w:rPr>
          <w:rFonts w:ascii="Times New Roman" w:eastAsia="Times New Roman" w:hAnsi="Times New Roman" w:cs="Times New Roman"/>
          <w:kern w:val="0"/>
          <w14:ligatures w14:val="none"/>
        </w:rPr>
      </w:pPr>
      <w:r w:rsidRPr="00E20A54">
        <w:rPr>
          <w:rFonts w:ascii="Times New Roman" w:eastAsia="Times New Roman" w:hAnsi="Times New Roman" w:cs="Times New Roman"/>
          <w:kern w:val="0"/>
          <w14:ligatures w14:val="none"/>
        </w:rPr>
        <w:t>Standardized Resource Disclosure</w:t>
      </w:r>
      <w:r w:rsidRPr="00E20A54">
        <w:rPr>
          <w:rFonts w:ascii="Times New Roman" w:eastAsia="Times New Roman" w:hAnsi="Times New Roman" w:cs="Times New Roman"/>
          <w:kern w:val="0"/>
          <w14:ligatures w14:val="none"/>
        </w:rPr>
        <w:br/>
        <w:t>Mandate annual facility-level reporting of electricity consumption, water withdrawals, and cooling configuration to enable cumulative modeling and transparency.</w:t>
      </w:r>
    </w:p>
    <w:p w14:paraId="56C70001" w14:textId="77777777" w:rsidR="00E20A54" w:rsidRPr="00E20A54" w:rsidRDefault="00E20A54" w:rsidP="00E20A54">
      <w:pPr>
        <w:spacing w:before="100" w:beforeAutospacing="1" w:after="100" w:afterAutospacing="1" w:line="276" w:lineRule="auto"/>
        <w:rPr>
          <w:rFonts w:ascii="Times New Roman" w:eastAsia="Times New Roman" w:hAnsi="Times New Roman" w:cs="Times New Roman"/>
          <w:kern w:val="0"/>
          <w14:ligatures w14:val="none"/>
        </w:rPr>
      </w:pPr>
      <w:r w:rsidRPr="00E20A54">
        <w:rPr>
          <w:rFonts w:ascii="Times New Roman" w:eastAsia="Times New Roman" w:hAnsi="Times New Roman" w:cs="Times New Roman"/>
          <w:kern w:val="0"/>
          <w14:ligatures w14:val="none"/>
        </w:rPr>
        <w:t>These measures do not restrict investment. They increase regulatory predictability and protect grid reliability and water resilience.</w:t>
      </w:r>
    </w:p>
    <w:p w14:paraId="54F33267" w14:textId="77777777" w:rsidR="00E20A54" w:rsidRDefault="00E20A54" w:rsidP="00E20A54">
      <w:pPr>
        <w:spacing w:after="0" w:line="276" w:lineRule="auto"/>
        <w:rPr>
          <w:b/>
          <w:bCs/>
        </w:rPr>
      </w:pPr>
      <w:r w:rsidRPr="00E20A54">
        <w:rPr>
          <w:b/>
          <w:bCs/>
        </w:rPr>
        <w:lastRenderedPageBreak/>
        <w:t>Strategic Importance</w:t>
      </w:r>
    </w:p>
    <w:p w14:paraId="1C3F3D95" w14:textId="77777777" w:rsidR="00E20A54" w:rsidRDefault="00E20A54" w:rsidP="00E20A54">
      <w:pPr>
        <w:spacing w:after="0" w:line="276" w:lineRule="auto"/>
        <w:rPr>
          <w:rFonts w:ascii="Times New Roman" w:eastAsia="Times New Roman" w:hAnsi="Times New Roman" w:cs="Times New Roman"/>
          <w:kern w:val="0"/>
          <w14:ligatures w14:val="none"/>
        </w:rPr>
      </w:pPr>
      <w:r w:rsidRPr="00E20A54">
        <w:rPr>
          <w:rFonts w:ascii="Times New Roman" w:eastAsia="Times New Roman" w:hAnsi="Times New Roman" w:cs="Times New Roman"/>
          <w:kern w:val="0"/>
          <w14:ligatures w14:val="none"/>
        </w:rPr>
        <w:t>AI-driven digital infrastructure growth is accelerating nationally. Research indicates that sustainability outcomes depend on synchronized renewable deployment and grid modernization (Xiao et al., 2025). Where expansion precedes institutional alignment, other states have experienced congestion, rapid transmission investment cycles, and politicized conflict (Kovacevic, 2025).</w:t>
      </w:r>
    </w:p>
    <w:p w14:paraId="27D9C2E0" w14:textId="0D381DB9" w:rsidR="00E20A54" w:rsidRPr="00E20A54" w:rsidRDefault="00E20A54" w:rsidP="00E20A54">
      <w:pPr>
        <w:spacing w:after="0" w:line="276" w:lineRule="auto"/>
        <w:rPr>
          <w:rFonts w:ascii="Times New Roman" w:eastAsia="Times New Roman" w:hAnsi="Times New Roman" w:cs="Times New Roman"/>
          <w:kern w:val="0"/>
          <w14:ligatures w14:val="none"/>
        </w:rPr>
      </w:pPr>
      <w:r w:rsidRPr="00E20A54">
        <w:rPr>
          <w:rFonts w:ascii="Times New Roman" w:eastAsia="Times New Roman" w:hAnsi="Times New Roman" w:cs="Times New Roman"/>
          <w:kern w:val="0"/>
          <w14:ligatures w14:val="none"/>
        </w:rPr>
        <w:t>Wisconsin is not yet in crisis, but clustering of proposed hyperscale facilities suggests early-stage concentration. The attached composite and social conflict maps illustrate where cumulative exposure is emerging.</w:t>
      </w:r>
      <w:r>
        <w:rPr>
          <w:rFonts w:ascii="Times New Roman" w:eastAsia="Times New Roman" w:hAnsi="Times New Roman" w:cs="Times New Roman"/>
          <w:kern w:val="0"/>
          <w14:ligatures w14:val="none"/>
        </w:rPr>
        <w:t xml:space="preserve"> </w:t>
      </w:r>
      <w:r w:rsidRPr="00E20A54">
        <w:rPr>
          <w:rFonts w:ascii="Times New Roman" w:eastAsia="Times New Roman" w:hAnsi="Times New Roman" w:cs="Times New Roman"/>
          <w:kern w:val="0"/>
          <w14:ligatures w14:val="none"/>
        </w:rPr>
        <w:t>This is a window for anticipatory governance.</w:t>
      </w:r>
    </w:p>
    <w:p w14:paraId="6815D7E0" w14:textId="3CD8EFFD" w:rsidR="00E20A54" w:rsidRPr="00E20A54" w:rsidRDefault="00E20A54" w:rsidP="00E20A54">
      <w:pPr>
        <w:spacing w:after="0" w:line="240" w:lineRule="auto"/>
        <w:rPr>
          <w:rFonts w:ascii="Times New Roman" w:eastAsia="Times New Roman" w:hAnsi="Times New Roman" w:cs="Times New Roman"/>
          <w:kern w:val="0"/>
          <w14:ligatures w14:val="none"/>
        </w:rPr>
      </w:pPr>
    </w:p>
    <w:p w14:paraId="47BBC8C1" w14:textId="77777777" w:rsidR="00E20A54" w:rsidRDefault="00E20A54" w:rsidP="00E20A54">
      <w:pPr>
        <w:spacing w:after="0"/>
        <w:rPr>
          <w:b/>
          <w:bCs/>
        </w:rPr>
      </w:pPr>
      <w:r w:rsidRPr="00E20A54">
        <w:rPr>
          <w:b/>
          <w:bCs/>
        </w:rPr>
        <w:t>Conclusion</w:t>
      </w:r>
    </w:p>
    <w:p w14:paraId="373B4AA5" w14:textId="77777777" w:rsidR="00E20A54" w:rsidRDefault="00E20A54" w:rsidP="00E20A54">
      <w:pPr>
        <w:spacing w:after="0"/>
        <w:rPr>
          <w:rFonts w:ascii="Times New Roman" w:eastAsia="Times New Roman" w:hAnsi="Times New Roman" w:cs="Times New Roman"/>
          <w:kern w:val="0"/>
          <w14:ligatures w14:val="none"/>
        </w:rPr>
      </w:pPr>
      <w:r w:rsidRPr="00E20A54">
        <w:rPr>
          <w:rFonts w:ascii="Times New Roman" w:eastAsia="Times New Roman" w:hAnsi="Times New Roman" w:cs="Times New Roman"/>
          <w:kern w:val="0"/>
          <w14:ligatures w14:val="none"/>
        </w:rPr>
        <w:t>My study demonstrates that Wisconsin’s data center expansion is spatially differentiated across ecological, infrastructural, and social dimensions. Infrastructure constraints and community conflict are already shaping project outcomes, but through reactive mechanisms rather than structured thresholds.</w:t>
      </w:r>
    </w:p>
    <w:p w14:paraId="2EF2E995" w14:textId="27A6709F" w:rsidR="00E20A54" w:rsidRPr="00E20A54" w:rsidRDefault="00E20A54" w:rsidP="00E20A54">
      <w:pPr>
        <w:spacing w:after="0"/>
        <w:rPr>
          <w:rFonts w:ascii="Times New Roman" w:eastAsia="Times New Roman" w:hAnsi="Times New Roman" w:cs="Times New Roman"/>
          <w:kern w:val="0"/>
          <w14:ligatures w14:val="none"/>
        </w:rPr>
      </w:pPr>
      <w:r w:rsidRPr="00E20A54">
        <w:rPr>
          <w:rFonts w:ascii="Times New Roman" w:eastAsia="Times New Roman" w:hAnsi="Times New Roman" w:cs="Times New Roman"/>
          <w:kern w:val="0"/>
          <w14:ligatures w14:val="none"/>
        </w:rPr>
        <w:t>Adopting a TNFD-aligned large-load review framework would allow PSCW to:</w:t>
      </w:r>
    </w:p>
    <w:p w14:paraId="37F7D1EB" w14:textId="77777777" w:rsidR="00E20A54" w:rsidRPr="00E20A54" w:rsidRDefault="00E20A54" w:rsidP="00E20A54">
      <w:pPr>
        <w:numPr>
          <w:ilvl w:val="0"/>
          <w:numId w:val="2"/>
        </w:numPr>
        <w:spacing w:before="100" w:beforeAutospacing="1" w:after="0" w:line="240" w:lineRule="auto"/>
        <w:rPr>
          <w:rFonts w:ascii="Times New Roman" w:eastAsia="Times New Roman" w:hAnsi="Times New Roman" w:cs="Times New Roman"/>
          <w:kern w:val="0"/>
          <w14:ligatures w14:val="none"/>
        </w:rPr>
      </w:pPr>
      <w:r w:rsidRPr="00E20A54">
        <w:rPr>
          <w:rFonts w:ascii="Times New Roman" w:eastAsia="Times New Roman" w:hAnsi="Times New Roman" w:cs="Times New Roman"/>
          <w:kern w:val="0"/>
          <w14:ligatures w14:val="none"/>
        </w:rPr>
        <w:t>Protect grid reliability</w:t>
      </w:r>
    </w:p>
    <w:p w14:paraId="393D0794" w14:textId="77777777" w:rsidR="00E20A54" w:rsidRPr="00E20A54" w:rsidRDefault="00E20A54" w:rsidP="00E20A54">
      <w:pPr>
        <w:numPr>
          <w:ilvl w:val="0"/>
          <w:numId w:val="2"/>
        </w:numPr>
        <w:spacing w:before="100" w:beforeAutospacing="1" w:after="0" w:line="240" w:lineRule="auto"/>
        <w:rPr>
          <w:rFonts w:ascii="Times New Roman" w:eastAsia="Times New Roman" w:hAnsi="Times New Roman" w:cs="Times New Roman"/>
          <w:kern w:val="0"/>
          <w14:ligatures w14:val="none"/>
        </w:rPr>
      </w:pPr>
      <w:r w:rsidRPr="00E20A54">
        <w:rPr>
          <w:rFonts w:ascii="Times New Roman" w:eastAsia="Times New Roman" w:hAnsi="Times New Roman" w:cs="Times New Roman"/>
          <w:kern w:val="0"/>
          <w14:ligatures w14:val="none"/>
        </w:rPr>
        <w:t>Reduce ratepayer risk</w:t>
      </w:r>
    </w:p>
    <w:p w14:paraId="75587F1F" w14:textId="77777777" w:rsidR="00E20A54" w:rsidRPr="00E20A54" w:rsidRDefault="00E20A54" w:rsidP="00E20A54">
      <w:pPr>
        <w:numPr>
          <w:ilvl w:val="0"/>
          <w:numId w:val="2"/>
        </w:numPr>
        <w:spacing w:before="100" w:beforeAutospacing="1" w:after="0" w:line="240" w:lineRule="auto"/>
        <w:rPr>
          <w:rFonts w:ascii="Times New Roman" w:eastAsia="Times New Roman" w:hAnsi="Times New Roman" w:cs="Times New Roman"/>
          <w:kern w:val="0"/>
          <w14:ligatures w14:val="none"/>
        </w:rPr>
      </w:pPr>
      <w:r w:rsidRPr="00E20A54">
        <w:rPr>
          <w:rFonts w:ascii="Times New Roman" w:eastAsia="Times New Roman" w:hAnsi="Times New Roman" w:cs="Times New Roman"/>
          <w:kern w:val="0"/>
          <w14:ligatures w14:val="none"/>
        </w:rPr>
        <w:t>Integrate basin-level water considerations</w:t>
      </w:r>
    </w:p>
    <w:p w14:paraId="5F11B79B" w14:textId="77777777" w:rsidR="00E20A54" w:rsidRPr="00E20A54" w:rsidRDefault="00E20A54" w:rsidP="00E20A54">
      <w:pPr>
        <w:numPr>
          <w:ilvl w:val="0"/>
          <w:numId w:val="2"/>
        </w:numPr>
        <w:spacing w:before="100" w:beforeAutospacing="1" w:after="0" w:line="240" w:lineRule="auto"/>
        <w:rPr>
          <w:rFonts w:ascii="Times New Roman" w:eastAsia="Times New Roman" w:hAnsi="Times New Roman" w:cs="Times New Roman"/>
          <w:kern w:val="0"/>
          <w14:ligatures w14:val="none"/>
        </w:rPr>
      </w:pPr>
      <w:r w:rsidRPr="00E20A54">
        <w:rPr>
          <w:rFonts w:ascii="Times New Roman" w:eastAsia="Times New Roman" w:hAnsi="Times New Roman" w:cs="Times New Roman"/>
          <w:kern w:val="0"/>
          <w14:ligatures w14:val="none"/>
        </w:rPr>
        <w:t>Increase transparency and regulatory clarity</w:t>
      </w:r>
    </w:p>
    <w:p w14:paraId="45BD8C27" w14:textId="77777777" w:rsidR="00E20A54" w:rsidRPr="00E20A54" w:rsidRDefault="00E20A54" w:rsidP="00E20A54">
      <w:pPr>
        <w:numPr>
          <w:ilvl w:val="0"/>
          <w:numId w:val="2"/>
        </w:numPr>
        <w:spacing w:before="100" w:beforeAutospacing="1" w:after="0" w:line="240" w:lineRule="auto"/>
        <w:rPr>
          <w:rFonts w:ascii="Times New Roman" w:eastAsia="Times New Roman" w:hAnsi="Times New Roman" w:cs="Times New Roman"/>
          <w:kern w:val="0"/>
          <w14:ligatures w14:val="none"/>
        </w:rPr>
      </w:pPr>
      <w:r w:rsidRPr="00E20A54">
        <w:rPr>
          <w:rFonts w:ascii="Times New Roman" w:eastAsia="Times New Roman" w:hAnsi="Times New Roman" w:cs="Times New Roman"/>
          <w:kern w:val="0"/>
          <w14:ligatures w14:val="none"/>
        </w:rPr>
        <w:t>Position Wisconsin as a national model for balanced digital infrastructure governance</w:t>
      </w:r>
    </w:p>
    <w:p w14:paraId="13B67BA7" w14:textId="1A8A6520" w:rsidR="00E20A54" w:rsidRPr="00E20A54" w:rsidRDefault="00E20A54" w:rsidP="00E20A54">
      <w:pPr>
        <w:spacing w:before="100" w:beforeAutospacing="1" w:after="0" w:line="240" w:lineRule="auto"/>
        <w:rPr>
          <w:rFonts w:ascii="Times New Roman" w:eastAsia="Times New Roman" w:hAnsi="Times New Roman" w:cs="Times New Roman"/>
          <w:kern w:val="0"/>
          <w14:ligatures w14:val="none"/>
        </w:rPr>
      </w:pPr>
      <w:r w:rsidRPr="00E20A54">
        <w:rPr>
          <w:rFonts w:ascii="Times New Roman" w:eastAsia="Times New Roman" w:hAnsi="Times New Roman" w:cs="Times New Roman"/>
          <w:kern w:val="0"/>
          <w14:ligatures w14:val="none"/>
        </w:rPr>
        <w:t>I would welcome the opportunity to present the full spatial risk analysis and discuss how this framework could be operationalized within PSC authority</w:t>
      </w:r>
      <w:r w:rsidR="00376360">
        <w:rPr>
          <w:rFonts w:ascii="Times New Roman" w:eastAsia="Times New Roman" w:hAnsi="Times New Roman" w:cs="Times New Roman"/>
          <w:kern w:val="0"/>
          <w14:ligatures w14:val="none"/>
        </w:rPr>
        <w:t xml:space="preserve"> or Center for </w:t>
      </w:r>
      <w:r w:rsidR="00C90F34">
        <w:rPr>
          <w:rFonts w:ascii="Times New Roman" w:eastAsia="Times New Roman" w:hAnsi="Times New Roman" w:cs="Times New Roman"/>
          <w:kern w:val="0"/>
          <w14:ligatures w14:val="none"/>
        </w:rPr>
        <w:t>Water Policy</w:t>
      </w:r>
      <w:r w:rsidRPr="00E20A54">
        <w:rPr>
          <w:rFonts w:ascii="Times New Roman" w:eastAsia="Times New Roman" w:hAnsi="Times New Roman" w:cs="Times New Roman"/>
          <w:kern w:val="0"/>
          <w14:ligatures w14:val="none"/>
        </w:rPr>
        <w:t>.</w:t>
      </w:r>
    </w:p>
    <w:p w14:paraId="69A88D55" w14:textId="77777777" w:rsidR="00F908A5" w:rsidRDefault="00F908A5"/>
    <w:p w14:paraId="492B8CBF" w14:textId="77777777" w:rsidR="0083431E" w:rsidRDefault="0083431E"/>
    <w:p w14:paraId="2DD4AD50" w14:textId="77777777" w:rsidR="0083431E" w:rsidRDefault="0083431E"/>
    <w:p w14:paraId="355206BB" w14:textId="77777777" w:rsidR="0083431E" w:rsidRDefault="0083431E"/>
    <w:p w14:paraId="6CA51C9F" w14:textId="77777777" w:rsidR="0083431E" w:rsidRDefault="0083431E"/>
    <w:p w14:paraId="03BB14EF" w14:textId="77777777" w:rsidR="0083431E" w:rsidRDefault="0083431E"/>
    <w:p w14:paraId="25D4B0B5" w14:textId="77777777" w:rsidR="0083431E" w:rsidRDefault="0083431E"/>
    <w:p w14:paraId="0E3BF5B3" w14:textId="77777777" w:rsidR="0083431E" w:rsidRDefault="0083431E">
      <w:pPr>
        <w:sectPr w:rsidR="0083431E">
          <w:footerReference w:type="default" r:id="rId8"/>
          <w:pgSz w:w="12240" w:h="15840"/>
          <w:pgMar w:top="1440" w:right="1440" w:bottom="1440" w:left="1440" w:header="720" w:footer="720" w:gutter="0"/>
          <w:cols w:space="720"/>
          <w:docGrid w:linePitch="360"/>
        </w:sectPr>
      </w:pPr>
    </w:p>
    <w:p w14:paraId="0329DF96" w14:textId="320CA9F3" w:rsidR="0083431E" w:rsidRDefault="0083431E">
      <w:r w:rsidRPr="0083431E">
        <w:lastRenderedPageBreak/>
        <w:drawing>
          <wp:inline distT="0" distB="0" distL="0" distR="0" wp14:anchorId="2AE0A6A5" wp14:editId="46BFEDDE">
            <wp:extent cx="8229600" cy="5867400"/>
            <wp:effectExtent l="0" t="0" r="0" b="0"/>
            <wp:docPr id="1092120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120362" name=""/>
                    <pic:cNvPicPr/>
                  </pic:nvPicPr>
                  <pic:blipFill>
                    <a:blip r:embed="rId9"/>
                    <a:stretch>
                      <a:fillRect/>
                    </a:stretch>
                  </pic:blipFill>
                  <pic:spPr>
                    <a:xfrm>
                      <a:off x="0" y="0"/>
                      <a:ext cx="8229600" cy="5867400"/>
                    </a:xfrm>
                    <a:prstGeom prst="rect">
                      <a:avLst/>
                    </a:prstGeom>
                  </pic:spPr>
                </pic:pic>
              </a:graphicData>
            </a:graphic>
          </wp:inline>
        </w:drawing>
      </w:r>
    </w:p>
    <w:p w14:paraId="76724888" w14:textId="77777777" w:rsidR="0083431E" w:rsidRDefault="0083431E"/>
    <w:p w14:paraId="00FD3DE4" w14:textId="77777777" w:rsidR="0083431E" w:rsidRDefault="0083431E"/>
    <w:sectPr w:rsidR="0083431E" w:rsidSect="0083431E">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A328B" w14:textId="77777777" w:rsidR="00284C7E" w:rsidRDefault="00284C7E" w:rsidP="00E20A54">
      <w:pPr>
        <w:spacing w:after="0" w:line="240" w:lineRule="auto"/>
      </w:pPr>
      <w:r>
        <w:separator/>
      </w:r>
    </w:p>
  </w:endnote>
  <w:endnote w:type="continuationSeparator" w:id="0">
    <w:p w14:paraId="2A07FC3C" w14:textId="77777777" w:rsidR="00284C7E" w:rsidRDefault="00284C7E" w:rsidP="00E20A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1017854"/>
      <w:docPartObj>
        <w:docPartGallery w:val="Page Numbers (Bottom of Page)"/>
        <w:docPartUnique/>
      </w:docPartObj>
    </w:sdtPr>
    <w:sdtEndPr>
      <w:rPr>
        <w:noProof/>
      </w:rPr>
    </w:sdtEndPr>
    <w:sdtContent>
      <w:p w14:paraId="201201F5" w14:textId="079C9441" w:rsidR="00E20A54" w:rsidRDefault="00E20A5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CFE6ADE" w14:textId="77777777" w:rsidR="00E20A54" w:rsidRDefault="00E20A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17F60" w14:textId="77777777" w:rsidR="00284C7E" w:rsidRDefault="00284C7E" w:rsidP="00E20A54">
      <w:pPr>
        <w:spacing w:after="0" w:line="240" w:lineRule="auto"/>
      </w:pPr>
      <w:r>
        <w:separator/>
      </w:r>
    </w:p>
  </w:footnote>
  <w:footnote w:type="continuationSeparator" w:id="0">
    <w:p w14:paraId="00E45555" w14:textId="77777777" w:rsidR="00284C7E" w:rsidRDefault="00284C7E" w:rsidP="00E20A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D707F"/>
    <w:multiLevelType w:val="multilevel"/>
    <w:tmpl w:val="0666B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5F2AC3"/>
    <w:multiLevelType w:val="multilevel"/>
    <w:tmpl w:val="5FE8B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22B0D01"/>
    <w:multiLevelType w:val="multilevel"/>
    <w:tmpl w:val="44A0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5540676">
    <w:abstractNumId w:val="1"/>
  </w:num>
  <w:num w:numId="2" w16cid:durableId="237784941">
    <w:abstractNumId w:val="0"/>
  </w:num>
  <w:num w:numId="3" w16cid:durableId="4076571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A54"/>
    <w:rsid w:val="00036BC7"/>
    <w:rsid w:val="000C46D4"/>
    <w:rsid w:val="000F70FF"/>
    <w:rsid w:val="00134FF7"/>
    <w:rsid w:val="001B2B6C"/>
    <w:rsid w:val="00284579"/>
    <w:rsid w:val="00284C7E"/>
    <w:rsid w:val="00376360"/>
    <w:rsid w:val="0083431E"/>
    <w:rsid w:val="00B5225B"/>
    <w:rsid w:val="00C90F34"/>
    <w:rsid w:val="00DA6412"/>
    <w:rsid w:val="00E20A54"/>
    <w:rsid w:val="00F908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33B28"/>
  <w15:chartTrackingRefBased/>
  <w15:docId w15:val="{CE24B093-257C-4557-AD6F-AD8C2BCD1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0A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0A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0A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0A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0A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0A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0A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0A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0A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0A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0A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0A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0A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0A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0A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0A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0A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0A54"/>
    <w:rPr>
      <w:rFonts w:eastAsiaTheme="majorEastAsia" w:cstheme="majorBidi"/>
      <w:color w:val="272727" w:themeColor="text1" w:themeTint="D8"/>
    </w:rPr>
  </w:style>
  <w:style w:type="paragraph" w:styleId="Title">
    <w:name w:val="Title"/>
    <w:basedOn w:val="Normal"/>
    <w:next w:val="Normal"/>
    <w:link w:val="TitleChar"/>
    <w:uiPriority w:val="10"/>
    <w:qFormat/>
    <w:rsid w:val="00E20A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0A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0A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0A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0A54"/>
    <w:pPr>
      <w:spacing w:before="160"/>
      <w:jc w:val="center"/>
    </w:pPr>
    <w:rPr>
      <w:i/>
      <w:iCs/>
      <w:color w:val="404040" w:themeColor="text1" w:themeTint="BF"/>
    </w:rPr>
  </w:style>
  <w:style w:type="character" w:customStyle="1" w:styleId="QuoteChar">
    <w:name w:val="Quote Char"/>
    <w:basedOn w:val="DefaultParagraphFont"/>
    <w:link w:val="Quote"/>
    <w:uiPriority w:val="29"/>
    <w:rsid w:val="00E20A54"/>
    <w:rPr>
      <w:i/>
      <w:iCs/>
      <w:color w:val="404040" w:themeColor="text1" w:themeTint="BF"/>
    </w:rPr>
  </w:style>
  <w:style w:type="paragraph" w:styleId="ListParagraph">
    <w:name w:val="List Paragraph"/>
    <w:basedOn w:val="Normal"/>
    <w:uiPriority w:val="34"/>
    <w:qFormat/>
    <w:rsid w:val="00E20A54"/>
    <w:pPr>
      <w:ind w:left="720"/>
      <w:contextualSpacing/>
    </w:pPr>
  </w:style>
  <w:style w:type="character" w:styleId="IntenseEmphasis">
    <w:name w:val="Intense Emphasis"/>
    <w:basedOn w:val="DefaultParagraphFont"/>
    <w:uiPriority w:val="21"/>
    <w:qFormat/>
    <w:rsid w:val="00E20A54"/>
    <w:rPr>
      <w:i/>
      <w:iCs/>
      <w:color w:val="0F4761" w:themeColor="accent1" w:themeShade="BF"/>
    </w:rPr>
  </w:style>
  <w:style w:type="paragraph" w:styleId="IntenseQuote">
    <w:name w:val="Intense Quote"/>
    <w:basedOn w:val="Normal"/>
    <w:next w:val="Normal"/>
    <w:link w:val="IntenseQuoteChar"/>
    <w:uiPriority w:val="30"/>
    <w:qFormat/>
    <w:rsid w:val="00E20A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0A54"/>
    <w:rPr>
      <w:i/>
      <w:iCs/>
      <w:color w:val="0F4761" w:themeColor="accent1" w:themeShade="BF"/>
    </w:rPr>
  </w:style>
  <w:style w:type="character" w:styleId="IntenseReference">
    <w:name w:val="Intense Reference"/>
    <w:basedOn w:val="DefaultParagraphFont"/>
    <w:uiPriority w:val="32"/>
    <w:qFormat/>
    <w:rsid w:val="00E20A54"/>
    <w:rPr>
      <w:b/>
      <w:bCs/>
      <w:smallCaps/>
      <w:color w:val="0F4761" w:themeColor="accent1" w:themeShade="BF"/>
      <w:spacing w:val="5"/>
    </w:rPr>
  </w:style>
  <w:style w:type="paragraph" w:styleId="Header">
    <w:name w:val="header"/>
    <w:basedOn w:val="Normal"/>
    <w:link w:val="HeaderChar"/>
    <w:uiPriority w:val="99"/>
    <w:unhideWhenUsed/>
    <w:rsid w:val="00E20A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0A54"/>
  </w:style>
  <w:style w:type="paragraph" w:styleId="Footer">
    <w:name w:val="footer"/>
    <w:basedOn w:val="Normal"/>
    <w:link w:val="FooterChar"/>
    <w:uiPriority w:val="99"/>
    <w:unhideWhenUsed/>
    <w:rsid w:val="00E20A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0A54"/>
  </w:style>
  <w:style w:type="paragraph" w:styleId="Caption">
    <w:name w:val="caption"/>
    <w:basedOn w:val="Normal"/>
    <w:next w:val="Normal"/>
    <w:uiPriority w:val="35"/>
    <w:unhideWhenUsed/>
    <w:qFormat/>
    <w:rsid w:val="00B5225B"/>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5</Pages>
  <Words>889</Words>
  <Characters>5072</Characters>
  <Application>Microsoft Office Word</Application>
  <DocSecurity>0</DocSecurity>
  <Lines>42</Lines>
  <Paragraphs>11</Paragraphs>
  <ScaleCrop>false</ScaleCrop>
  <Company/>
  <LinksUpToDate>false</LinksUpToDate>
  <CharactersWithSpaces>5950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Veisi, Hadi</dc:creator>
  <cp:keywords/>
  <dc:description/>
  <cp:lastModifiedBy>Veisi, Hadi</cp:lastModifiedBy>
  <cp:revision>6</cp:revision>
  <dcterms:created xsi:type="dcterms:W3CDTF">2026-03-01T01:23:00Z</dcterms:created>
  <dcterms:modified xsi:type="dcterms:W3CDTF">2026-03-02T14:41:00Z</dcterms:modified>
</cp:coreProperties>
</file>