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 định 86</w:t>
      </w:r>
    </w:p>
    <w:p>
      <w:r>
        <w:t>Phân loại: Quy định</w:t>
      </w:r>
    </w:p>
    <w:p>
      <w:r>
        <w:t>Nguồn: Khoa Hóa học</w:t>
      </w:r>
    </w:p>
    <w:p>
      <w:r>
        <w:t>Ngày tạo: 17/07/2026</w:t>
      </w:r>
    </w:p>
    <w:p/>
    <w:p>
      <w:r>
        <w:t>QUY ĐỊNH CỦA HỌC VIỆN</w:t>
      </w:r>
    </w:p>
    <w:p/>
    <w:p/>
    <w:p>
      <w:pPr>
        <w:pStyle w:val="Heading2"/>
      </w:pPr>
      <w:r>
        <w:t>Điều 1: Quy định về văn bằng chứng chỉ</w:t>
      </w:r>
    </w:p>
    <w:p>
      <w:r>
        <w:t>Học viện ban hành quy định cụ thể về văn bằng chứng chỉ nhằm đảm bảo tính thống nhất và công bằng cho tất cả học viên. Các nội dung chi tiết được trình bày trong các khoản dưới đây.</w:t>
      </w:r>
    </w:p>
    <w:p/>
    <w:p>
      <w:pPr>
        <w:pStyle w:val="Heading2"/>
      </w:pPr>
      <w:r>
        <w:t>Điều 2: Quy định về đào tạo</w:t>
      </w:r>
    </w:p>
    <w:p>
      <w:r>
        <w:t>Học viện ban hành quy định cụ thể về đào tạo nhằm đảm bảo tính thống nhất và công bằng cho tất cả học viên. Các nội dung chi tiết được trình bày trong các khoản dưới đây.</w:t>
      </w:r>
    </w:p>
    <w:p/>
    <w:p>
      <w:pPr>
        <w:pStyle w:val="Heading2"/>
      </w:pPr>
      <w:r>
        <w:t>Điều 3: Quy định về học bổng</w:t>
      </w:r>
    </w:p>
    <w:p>
      <w:r>
        <w:t>Học viện ban hành quy định cụ thể về học bổng nhằm đảm bảo tính thống nhất và công bằng cho tất cả học viên. Các nội dung chi tiết được trình bày trong các khoản dưới đây.</w:t>
      </w:r>
    </w:p>
    <w:p/>
    <w:p>
      <w:pPr>
        <w:pStyle w:val="Heading2"/>
      </w:pPr>
      <w:r>
        <w:t>Điều 4: Quy định về luận văn tốt nghiệp</w:t>
      </w:r>
    </w:p>
    <w:p>
      <w:r>
        <w:t>Học viện ban hành quy định cụ thể về luận văn tốt nghiệp nhằm đảm bảo tính thống nhất và công bằng cho tất cả học viên. Các nội dung chi tiết được trình bày trong các khoản dưới đây.</w:t>
      </w:r>
    </w:p>
    <w:p/>
    <w:p>
      <w:pPr>
        <w:pStyle w:val="Heading2"/>
      </w:pPr>
      <w:r>
        <w:t>Điều 5: Quy định về thực tập</w:t>
      </w:r>
    </w:p>
    <w:p>
      <w:r>
        <w:t>Học viện ban hành quy định cụ thể về thực tập nhằm đảm bảo tính thống nhất và công bằng cho tất cả học viên. Các nội dung chi tiết được trình bày trong các khoản dưới đây.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