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tuyển sinh (bản chi tiết)</w:t>
      </w:r>
    </w:p>
    <w:p>
      <w:r>
        <w:t>Phân loại: Quy định</w:t>
      </w:r>
    </w:p>
    <w:p>
      <w:r>
        <w:t>Nguồn: Phòng Khảo thí</w:t>
      </w:r>
    </w:p>
    <w:p>
      <w:r>
        <w:t>Ngày tạo: 17/07/2026</w:t>
      </w:r>
    </w:p>
    <w:p/>
    <w:p>
      <w:r>
        <w:t>QUY ĐỊNH TUYỂN SINH</w:t>
      </w:r>
    </w:p>
    <w:p/>
    <w:p>
      <w:pPr>
        <w:pStyle w:val="Heading2"/>
      </w:pPr>
      <w:r>
        <w:t>Điều 1: Tuyển sinh được thực hiện theo chỉ tiêu và phương thức xét tuyển công khai.</w:t>
      </w:r>
    </w:p>
    <w:p>
      <w:pPr>
        <w:pStyle w:val="Heading2"/>
      </w:pPr>
      <w:r>
        <w:t>Điều 2: Thí sinh phải tham dự kỳ thi tuyển sinh hoặc xét tuyển theo quy định.</w:t>
      </w:r>
    </w:p>
    <w:p>
      <w:pPr>
        <w:pStyle w:val="Heading2"/>
      </w:pPr>
      <w:r>
        <w:t>Điều 3: Hồ sơ đăng ký phải đầy đủ và đúng thời hạn.</w:t>
      </w:r>
    </w:p>
    <w:p>
      <w:pPr>
        <w:pStyle w:val="Heading2"/>
      </w:pPr>
      <w:r>
        <w:t>Điều 4: Kết quả tuyển sinh được công bố minh bạch.</w:t>
      </w:r>
    </w:p>
    <w:p/>
    <w:p>
      <w:r>
        <w:t>(Đính kèm phụ lục hướng dẫn thực hiện.)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