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84B45" w14:textId="77777777" w:rsidR="00D840C0" w:rsidRPr="002668F5" w:rsidRDefault="00D840C0"/>
    <w:p w14:paraId="428C8A0F" w14:textId="77777777" w:rsidR="00D840C0" w:rsidRPr="002668F5" w:rsidRDefault="00D840C0"/>
    <w:p w14:paraId="24992749" w14:textId="1DEA6115" w:rsidR="00D840C0" w:rsidRPr="002668F5" w:rsidRDefault="00000000">
      <w:pPr>
        <w:spacing w:after="200"/>
        <w:jc w:val="center"/>
      </w:pPr>
      <w:r w:rsidRPr="002668F5">
        <w:rPr>
          <w:b/>
          <w:bCs/>
        </w:rPr>
        <w:t>PGCE Secondary Computing Module 2 Assignment</w:t>
      </w:r>
    </w:p>
    <w:p w14:paraId="2284DA16" w14:textId="77777777" w:rsidR="00D840C0" w:rsidRPr="002668F5" w:rsidRDefault="00D840C0"/>
    <w:p w14:paraId="5DAF4B2B" w14:textId="3AF6C88E" w:rsidR="00D840C0" w:rsidRPr="002668F5" w:rsidRDefault="00000000">
      <w:pPr>
        <w:spacing w:after="400"/>
        <w:jc w:val="center"/>
      </w:pPr>
      <w:r w:rsidRPr="002668F5">
        <w:rPr>
          <w:b/>
          <w:bCs/>
          <w:sz w:val="28"/>
          <w:szCs w:val="28"/>
        </w:rPr>
        <w:t xml:space="preserve">A critical evaluation of how I improved the extended response examination performance of a group of Year 10 students in secondary </w:t>
      </w:r>
      <w:r w:rsidR="006102ED">
        <w:rPr>
          <w:b/>
          <w:bCs/>
          <w:sz w:val="28"/>
          <w:szCs w:val="28"/>
        </w:rPr>
        <w:t>computer science</w:t>
      </w:r>
      <w:r w:rsidRPr="002668F5">
        <w:rPr>
          <w:b/>
          <w:bCs/>
          <w:sz w:val="28"/>
          <w:szCs w:val="28"/>
        </w:rPr>
        <w:t xml:space="preserve"> </w:t>
      </w:r>
      <w:r w:rsidR="006102ED">
        <w:rPr>
          <w:b/>
          <w:bCs/>
          <w:sz w:val="28"/>
          <w:szCs w:val="28"/>
        </w:rPr>
        <w:t>lessons.</w:t>
      </w:r>
    </w:p>
    <w:p w14:paraId="5A66687E" w14:textId="77777777" w:rsidR="00D840C0" w:rsidRPr="002668F5" w:rsidRDefault="00D840C0"/>
    <w:p w14:paraId="25C3893C" w14:textId="77777777" w:rsidR="00D840C0" w:rsidRPr="002668F5" w:rsidRDefault="00D840C0"/>
    <w:p w14:paraId="59748602" w14:textId="0E70E093" w:rsidR="00D840C0" w:rsidRPr="002668F5" w:rsidRDefault="00D840C0">
      <w:pPr>
        <w:pageBreakBefore/>
      </w:pPr>
    </w:p>
    <w:p w14:paraId="6645D1F1" w14:textId="77777777" w:rsidR="00D840C0" w:rsidRPr="002668F5" w:rsidRDefault="00000000">
      <w:pPr>
        <w:pStyle w:val="Heading2"/>
        <w:rPr>
          <w:lang w:val="en-GB"/>
        </w:rPr>
      </w:pPr>
      <w:r w:rsidRPr="002668F5">
        <w:rPr>
          <w:lang w:val="en-GB"/>
        </w:rPr>
        <w:t>Introduction</w:t>
      </w:r>
    </w:p>
    <w:p w14:paraId="348AAF54" w14:textId="0AF7AFDB" w:rsidR="00ED0C4D" w:rsidRDefault="00000000">
      <w:pPr>
        <w:spacing w:after="200" w:line="276" w:lineRule="auto"/>
        <w:jc w:val="both"/>
      </w:pPr>
      <w:r w:rsidRPr="002668F5">
        <w:t xml:space="preserve">This assignment critically evaluates </w:t>
      </w:r>
      <w:r w:rsidR="00EF112D">
        <w:t>a series of</w:t>
      </w:r>
      <w:r w:rsidRPr="002668F5">
        <w:t xml:space="preserve"> interventions I designed and implemented </w:t>
      </w:r>
      <w:r w:rsidR="00EF112D">
        <w:t xml:space="preserve">during my placement at School X </w:t>
      </w:r>
      <w:r w:rsidRPr="002668F5">
        <w:t xml:space="preserve">to improve the </w:t>
      </w:r>
      <w:r w:rsidR="00487000">
        <w:t>performance of a group of Year 10 Computer Science students on extended-response examination questions</w:t>
      </w:r>
      <w:r w:rsidRPr="002668F5">
        <w:t xml:space="preserve">. School </w:t>
      </w:r>
      <w:r w:rsidR="00AE579B">
        <w:t xml:space="preserve">X </w:t>
      </w:r>
      <w:r w:rsidRPr="002668F5">
        <w:t xml:space="preserve">is a mixed, non-selective academy </w:t>
      </w:r>
      <w:r w:rsidR="004900E9">
        <w:t>converter with</w:t>
      </w:r>
      <w:r w:rsidR="00EF112D">
        <w:t xml:space="preserve"> 1,201 students aged 11 to 18 and</w:t>
      </w:r>
      <w:r w:rsidR="00AE579B">
        <w:t xml:space="preserve"> </w:t>
      </w:r>
      <w:r w:rsidRPr="002668F5">
        <w:t>was rated Good in its most recent inspection (Ofsted, 2021)</w:t>
      </w:r>
      <w:r w:rsidR="00EF112D">
        <w:t>.</w:t>
      </w:r>
      <w:r w:rsidRPr="002668F5">
        <w:t xml:space="preserve"> </w:t>
      </w:r>
      <w:r w:rsidR="00EF112D">
        <w:t>However, p</w:t>
      </w:r>
      <w:r w:rsidRPr="002668F5">
        <w:t xml:space="preserve">erformance data </w:t>
      </w:r>
      <w:r w:rsidR="00EF112D">
        <w:t>indicate</w:t>
      </w:r>
      <w:r w:rsidRPr="002668F5">
        <w:t xml:space="preserve"> that the school's Attainment 8 score of 35.4 falls considerably below the national average of approximately 46.3 (Department for Education, 2023), with only 29% of pupils achieving grade 5 or above in their GCSEs, compared to 42%</w:t>
      </w:r>
      <w:r w:rsidR="00EF112D">
        <w:t xml:space="preserve"> nationally</w:t>
      </w:r>
      <w:r w:rsidRPr="002668F5">
        <w:t xml:space="preserve">. </w:t>
      </w:r>
      <w:r w:rsidR="00ED0C4D" w:rsidRPr="00ED0C4D">
        <w:t xml:space="preserve">This highlights a context in which improving examination performance is not only desirable but </w:t>
      </w:r>
      <w:r w:rsidR="00ED0C4D">
        <w:t>necessary.</w:t>
      </w:r>
    </w:p>
    <w:p w14:paraId="0A26058D" w14:textId="62D626EF" w:rsidR="00D840C0" w:rsidRPr="002668F5" w:rsidRDefault="004900E9">
      <w:pPr>
        <w:spacing w:after="200" w:line="276" w:lineRule="auto"/>
        <w:jc w:val="both"/>
      </w:pPr>
      <w:r>
        <w:t>In this setting, I identified a group of 12 Year 10 students studying OCR GCSE Computer Science (J277) who posed</w:t>
      </w:r>
      <w:r w:rsidR="00000000" w:rsidRPr="002668F5">
        <w:t xml:space="preserve"> a</w:t>
      </w:r>
      <w:r>
        <w:t xml:space="preserve"> specific and recurring </w:t>
      </w:r>
      <w:r w:rsidR="00000000" w:rsidRPr="002668F5">
        <w:t>challenge</w:t>
      </w:r>
      <w:r w:rsidR="00EF112D">
        <w:t>. Despite</w:t>
      </w:r>
      <w:r w:rsidR="00000000" w:rsidRPr="002668F5">
        <w:t xml:space="preserve"> demonstrating strong subject knowledge and conceptual understanding in classroom discussions and practical tasks, this group consistently underperformed on extended</w:t>
      </w:r>
      <w:r w:rsidR="008812C1">
        <w:t>-</w:t>
      </w:r>
      <w:r w:rsidR="00000000" w:rsidRPr="002668F5">
        <w:t>response examination questions. Initial analysis of their responses to OCR past paper questions revealed a recurring pattern</w:t>
      </w:r>
      <w:r w:rsidR="00EF112D">
        <w:t xml:space="preserve">: </w:t>
      </w:r>
      <w:r w:rsidR="00000000" w:rsidRPr="002668F5">
        <w:t xml:space="preserve">students were unable to decode and respond appropriately to GCSE command words such as </w:t>
      </w:r>
      <w:r w:rsidR="006102ED">
        <w:t>'describe', 'explain', 'evaluate',</w:t>
      </w:r>
      <w:r w:rsidR="00000000" w:rsidRPr="002668F5">
        <w:t xml:space="preserve"> and </w:t>
      </w:r>
      <w:r w:rsidR="006102ED">
        <w:t>'justify'</w:t>
      </w:r>
      <w:r w:rsidR="00000000" w:rsidRPr="002668F5">
        <w:t xml:space="preserve"> and struggled to transfer their classroom learning to unfamiliar examination contexts and scenarios. OCR's published examiner reports consistently note that candidates across the country often possess the requisite knowledge but fail to communicate it effectively in response to higher-tariff questions (OCR, 2023), suggesting that the challenge identified in this group reflects a broader, systemic issue within GCSE Computer Science.</w:t>
      </w:r>
    </w:p>
    <w:p w14:paraId="6FAFB355" w14:textId="77777777" w:rsidR="00D840C0" w:rsidRPr="002668F5" w:rsidRDefault="00000000">
      <w:pPr>
        <w:spacing w:after="200" w:line="276" w:lineRule="auto"/>
        <w:jc w:val="both"/>
      </w:pPr>
      <w:r w:rsidRPr="002668F5">
        <w:t>This assignment examines the theoretical underpinnings of this challenge, drawing principally on the literature around disciplinary literacy, metacognition, knowledge transfer, formative assessment, and scaffolding, before evaluating the effectiveness of the interventions I deployed and reflecting critically on their implications for my future practice.</w:t>
      </w:r>
    </w:p>
    <w:p w14:paraId="427FBE29" w14:textId="77777777" w:rsidR="00D840C0" w:rsidRPr="002668F5" w:rsidRDefault="00000000">
      <w:pPr>
        <w:pStyle w:val="Heading2"/>
        <w:rPr>
          <w:lang w:val="en-GB"/>
        </w:rPr>
      </w:pPr>
      <w:r w:rsidRPr="002668F5">
        <w:rPr>
          <w:lang w:val="en-GB"/>
        </w:rPr>
        <w:t>Literature Review</w:t>
      </w:r>
    </w:p>
    <w:p w14:paraId="39AF1585" w14:textId="400BE038" w:rsidR="00D840C0" w:rsidRPr="002668F5" w:rsidRDefault="00000000">
      <w:pPr>
        <w:spacing w:after="200" w:line="276" w:lineRule="auto"/>
        <w:jc w:val="both"/>
      </w:pPr>
      <w:r w:rsidRPr="002668F5">
        <w:t>The challenge experienced by this group of learners can be understood through the lens of disciplinary literacy, a concept developed most influentially by Shanahan and Shanahan (2008) in their study of how expert readers engage with subject-specific texts</w:t>
      </w:r>
      <w:r w:rsidR="00487000">
        <w:t xml:space="preserve">. They </w:t>
      </w:r>
      <w:r w:rsidRPr="002668F5">
        <w:t>argued that literacy is not a generic</w:t>
      </w:r>
      <w:r w:rsidR="008812C1">
        <w:t xml:space="preserve"> or</w:t>
      </w:r>
      <w:r w:rsidRPr="002668F5">
        <w:t xml:space="preserve"> transferable skill but is deeply embedded in the conventions and communicative practices of specific academic disciplines. For </w:t>
      </w:r>
      <w:r w:rsidR="00487000">
        <w:t xml:space="preserve">my year 10 </w:t>
      </w:r>
      <w:r w:rsidR="006102ED">
        <w:t>computer science</w:t>
      </w:r>
      <w:r w:rsidR="00487000">
        <w:t xml:space="preserve"> class</w:t>
      </w:r>
      <w:r w:rsidR="004900E9">
        <w:t>,</w:t>
      </w:r>
      <w:r w:rsidR="0084123D">
        <w:t xml:space="preserve"> the difference was very clear because my students could define the RAM, </w:t>
      </w:r>
      <w:r w:rsidR="004900E9">
        <w:t>network</w:t>
      </w:r>
      <w:r w:rsidR="0084123D">
        <w:t xml:space="preserve"> speed, or system performance during classroom formative </w:t>
      </w:r>
      <w:r w:rsidR="002F273B">
        <w:t>assessment</w:t>
      </w:r>
      <w:r w:rsidR="004900E9">
        <w:t>. Still, when it comes to the summative assessment at the end of the unit, they struggle. For example, in one of the end-of-unit assessments, I asked them to analyse how networks affect user experience, and most of them were listing factors like the RAM, cache, etc. Still, they</w:t>
      </w:r>
      <w:r w:rsidR="0084123D">
        <w:t xml:space="preserve"> didn’t explain the relationship or cause and effect</w:t>
      </w:r>
      <w:r w:rsidR="004900E9">
        <w:t>. This</w:t>
      </w:r>
      <w:r w:rsidR="0084123D">
        <w:t xml:space="preserve"> clearly shows that their difficulty is not in </w:t>
      </w:r>
      <w:r w:rsidR="0084123D">
        <w:lastRenderedPageBreak/>
        <w:t xml:space="preserve">the knowledge but </w:t>
      </w:r>
      <w:r w:rsidR="004900E9">
        <w:t xml:space="preserve">in </w:t>
      </w:r>
      <w:r w:rsidR="0084123D">
        <w:t xml:space="preserve">how to write it down </w:t>
      </w:r>
      <w:r w:rsidR="002F273B">
        <w:t>effectively and</w:t>
      </w:r>
      <w:r w:rsidR="0084123D">
        <w:t xml:space="preserve"> in different </w:t>
      </w:r>
      <w:r w:rsidR="002F273B">
        <w:t>scenarios</w:t>
      </w:r>
      <w:r w:rsidR="0084123D">
        <w:t>.</w:t>
      </w:r>
      <w:r w:rsidR="002F273B">
        <w:t xml:space="preserve"> So,</w:t>
      </w:r>
      <w:r w:rsidRPr="002668F5">
        <w:t xml:space="preserve"> students must </w:t>
      </w:r>
      <w:r w:rsidR="0084123D">
        <w:t xml:space="preserve">not only </w:t>
      </w:r>
      <w:r w:rsidRPr="002668F5">
        <w:t xml:space="preserve">learn </w:t>
      </w:r>
      <w:r w:rsidR="0084123D">
        <w:t>the</w:t>
      </w:r>
      <w:r w:rsidRPr="002668F5">
        <w:t xml:space="preserve"> subject knowledge but also the </w:t>
      </w:r>
      <w:r w:rsidR="0084123D">
        <w:t>subject</w:t>
      </w:r>
      <w:r w:rsidRPr="002668F5">
        <w:t xml:space="preserve">-specific </w:t>
      </w:r>
      <w:r w:rsidR="0084123D">
        <w:t>way</w:t>
      </w:r>
      <w:r w:rsidRPr="002668F5">
        <w:t xml:space="preserve"> of writing that GCSE examiners expect</w:t>
      </w:r>
      <w:r w:rsidR="006D7B71">
        <w:t>. The</w:t>
      </w:r>
      <w:r w:rsidRPr="002668F5">
        <w:t xml:space="preserve"> Education Endowment Foundation (EEF, 2021) describes </w:t>
      </w:r>
      <w:r w:rsidR="006D7B71">
        <w:t xml:space="preserve">this </w:t>
      </w:r>
      <w:r w:rsidRPr="002668F5">
        <w:t xml:space="preserve">as the unique ways students must be able to read, write, and speak within each subject area. </w:t>
      </w:r>
      <w:r w:rsidR="006D7B71">
        <w:t>S</w:t>
      </w:r>
      <w:r w:rsidRPr="002668F5">
        <w:t xml:space="preserve">hanahan and Shanahan (2008) </w:t>
      </w:r>
      <w:r w:rsidR="006D7B71">
        <w:t xml:space="preserve">also </w:t>
      </w:r>
      <w:r w:rsidRPr="002668F5">
        <w:t>found that secondary schools have historically focused insufficient attention on this transition from general to disciplinary literacy, leaving students</w:t>
      </w:r>
      <w:r w:rsidR="00435C89">
        <w:t>,</w:t>
      </w:r>
      <w:r w:rsidRPr="002668F5">
        <w:t xml:space="preserve"> particularly those in the novice-to-competent range</w:t>
      </w:r>
      <w:r w:rsidR="00435C89">
        <w:t>,</w:t>
      </w:r>
      <w:r w:rsidRPr="002668F5">
        <w:t xml:space="preserve"> ill-equipped to demonstrate their knowledge in formal assessment contexts. The EEF (2021) reinforces this, identifying disciplinary literacy as the foremost strategy for improving literacy outcomes in secondary </w:t>
      </w:r>
      <w:r w:rsidR="006102ED">
        <w:t>schools and</w:t>
      </w:r>
      <w:r w:rsidRPr="002668F5">
        <w:t xml:space="preserve"> arguing that subject teachers must take active responsibility for explicitly teaching the reading, writing, and discourse conventions of their discipline.</w:t>
      </w:r>
    </w:p>
    <w:p w14:paraId="0CD95501" w14:textId="419A1D56" w:rsidR="00D840C0" w:rsidRPr="002668F5" w:rsidRDefault="00000000">
      <w:pPr>
        <w:spacing w:after="200" w:line="276" w:lineRule="auto"/>
        <w:jc w:val="both"/>
      </w:pPr>
      <w:r w:rsidRPr="002668F5">
        <w:t>In the context of GCSE extended</w:t>
      </w:r>
      <w:r w:rsidR="00435C89">
        <w:t>-</w:t>
      </w:r>
      <w:r w:rsidRPr="002668F5">
        <w:t>response questions, command</w:t>
      </w:r>
      <w:r w:rsidR="00435C89">
        <w:t xml:space="preserve"> </w:t>
      </w:r>
      <w:r w:rsidRPr="002668F5">
        <w:t xml:space="preserve">words represent the primary vehicle through which disciplinary literacy demands are expressed. OCR's GCSE Computer Science specification (J277) employs a structured hierarchy of command words from </w:t>
      </w:r>
      <w:r w:rsidR="006102ED">
        <w:t>'state' and 'define'</w:t>
      </w:r>
      <w:r w:rsidRPr="002668F5">
        <w:t xml:space="preserve"> at lower tariff levels to </w:t>
      </w:r>
      <w:r w:rsidR="006102ED">
        <w:t>'explain', 'describe', 'evaluate',</w:t>
      </w:r>
      <w:r w:rsidRPr="002668F5">
        <w:t xml:space="preserve"> and </w:t>
      </w:r>
      <w:r w:rsidR="006102ED">
        <w:t>'discuss'</w:t>
      </w:r>
      <w:r w:rsidRPr="002668F5">
        <w:t xml:space="preserve"> at higher tariff levels</w:t>
      </w:r>
      <w:r w:rsidR="00435C89">
        <w:t xml:space="preserve">, </w:t>
      </w:r>
      <w:r w:rsidRPr="002668F5">
        <w:t xml:space="preserve">each requiring a qualitatively different type of cognitive and communicative response (OCR, 2020). Quigley (2018) argues that vocabulary, including the precise meaning of command words, is foundational to academic achievement and that failing to teach this vocabulary explicitly constitutes a significant missed opportunity in secondary education. This is corroborated by the National Literacy Trust (2021), which notes that students who understand command word distinctions produce qualitatively superior examination responses. However, Mortimore (cited in Oxford Education Blog, 2022) provides an important critical caveat: command words carry subtly different meanings across subjects, such that students who develop command word literacy in one discipline may not automatically transfer that understanding to </w:t>
      </w:r>
      <w:r w:rsidR="006102ED">
        <w:t>computer science,</w:t>
      </w:r>
      <w:r w:rsidRPr="002668F5">
        <w:t xml:space="preserve"> where </w:t>
      </w:r>
      <w:r w:rsidR="006102ED">
        <w:t>'explain'</w:t>
      </w:r>
      <w:r w:rsidRPr="002668F5">
        <w:t xml:space="preserve"> frequently requires reference to specific computational mechanisms or cause-and-effect relationships not found in other subjects. This highlights a specificity challenge that generic exam technique instruction cannot fully address.</w:t>
      </w:r>
    </w:p>
    <w:p w14:paraId="089EB7FF" w14:textId="56C1C152" w:rsidR="00D840C0" w:rsidRPr="002668F5" w:rsidRDefault="00000000">
      <w:pPr>
        <w:spacing w:after="200" w:line="276" w:lineRule="auto"/>
        <w:jc w:val="both"/>
      </w:pPr>
      <w:r w:rsidRPr="002668F5">
        <w:t xml:space="preserve">The issue of knowledge transfer is central to understanding this group's examination difficulties. Perkins and Salomon (1992) distinguish between near </w:t>
      </w:r>
      <w:r w:rsidR="006102ED">
        <w:t>transfer, the</w:t>
      </w:r>
      <w:r w:rsidRPr="002668F5">
        <w:t xml:space="preserve"> application of learning to closely similar tasks</w:t>
      </w:r>
      <w:r w:rsidR="00605A2B">
        <w:t>,</w:t>
      </w:r>
      <w:r w:rsidRPr="002668F5">
        <w:t xml:space="preserve"> and far </w:t>
      </w:r>
      <w:r w:rsidR="006102ED">
        <w:t>transfer, the</w:t>
      </w:r>
      <w:r w:rsidRPr="002668F5">
        <w:t xml:space="preserve"> application of learning to novel or significantly different contexts. The students in this cohort demonstrated near</w:t>
      </w:r>
      <w:r w:rsidR="002A6663">
        <w:t>-transfer</w:t>
      </w:r>
      <w:r w:rsidRPr="002668F5">
        <w:t xml:space="preserve"> competence, correctly solving coding problems and answering short-answer questions within familiar classroom scenarios, but struggled with far transfer when required to apply that knowledge to unfamiliar examination contexts. Perkins and Salomon (1992) argue that far transfer rarely occurs spontaneously and must be explicitly cultivated through two pedagogical mechanisms: bridging, which involves deliberately drawing explicit connections between classroom learning and the assessment context; and hugging, which involves designing learning activities that closely approximate the conditions under which transfer will ultimately be required. The implication for practice is significant: students need repeated, structured exposure to diverse examination scenarios and explicit instruction </w:t>
      </w:r>
      <w:r w:rsidRPr="002668F5">
        <w:lastRenderedPageBreak/>
        <w:t>in how to transfer conceptual understanding into extended written argument, rather than mastery of a single worked example.</w:t>
      </w:r>
    </w:p>
    <w:p w14:paraId="055B42D7" w14:textId="0C4EA463" w:rsidR="00D840C0" w:rsidRPr="002668F5" w:rsidRDefault="00000000">
      <w:pPr>
        <w:spacing w:after="200" w:line="276" w:lineRule="auto"/>
        <w:jc w:val="both"/>
      </w:pPr>
      <w:r w:rsidRPr="002668F5">
        <w:t>Formative assessment, delivered through collaborative mark scheme analysis and structured feedback, is supported by Black and Wiliam's (1998) influential review of over 250 studies, which demonstrated that high-quality feedback</w:t>
      </w:r>
      <w:r w:rsidR="006B2B43">
        <w:t>,</w:t>
      </w:r>
      <w:r w:rsidRPr="002668F5">
        <w:t xml:space="preserve"> incorpora</w:t>
      </w:r>
      <w:r w:rsidR="00605A2B">
        <w:t>t</w:t>
      </w:r>
      <w:r w:rsidR="006B2B43">
        <w:t>ing</w:t>
      </w:r>
      <w:r w:rsidRPr="002668F5">
        <w:t xml:space="preserve"> clear success criteria and opportunities for students to act on feedback</w:t>
      </w:r>
      <w:r w:rsidR="006B2B43">
        <w:t>,</w:t>
      </w:r>
      <w:r w:rsidRPr="002668F5">
        <w:t xml:space="preserve"> produces significant and consistent learning gains. Black and Wiliam's (1998) key argument is that sharing assessment criteria with students is not merely a transparency measure but a substantive pedagogical intervention that makes the implicit expectations of examiners visible and actionable. Peer assessment, one of the strategies </w:t>
      </w:r>
      <w:r w:rsidR="006B2B43">
        <w:t xml:space="preserve">I </w:t>
      </w:r>
      <w:r w:rsidRPr="002668F5">
        <w:t xml:space="preserve">employed, is similarly validated by their framework as a means of developing students' capacity for self-evaluation and metacognitive reflection. A critical qualification offered by Black and Wiliam (1998), however, is that the quality and specificity of feedback interactions </w:t>
      </w:r>
      <w:r w:rsidR="006B2B43">
        <w:t>matter</w:t>
      </w:r>
      <w:r w:rsidRPr="002668F5">
        <w:t xml:space="preserve"> considerably: vague or purely summative feedback has limited demonstrable impact, a finding that shaped </w:t>
      </w:r>
      <w:r w:rsidR="006B2B43">
        <w:t>my</w:t>
      </w:r>
      <w:r w:rsidRPr="002668F5">
        <w:t xml:space="preserve"> decision to use mark scheme criteria at a granular, question-specific level rather than as a holistic summary.</w:t>
      </w:r>
    </w:p>
    <w:p w14:paraId="03D49506" w14:textId="5A0C5C4B" w:rsidR="00823526" w:rsidRDefault="00000000">
      <w:pPr>
        <w:spacing w:after="200" w:line="276" w:lineRule="auto"/>
        <w:jc w:val="both"/>
      </w:pPr>
      <w:r w:rsidRPr="002668F5">
        <w:t>Finally, the</w:t>
      </w:r>
      <w:r w:rsidR="006D7B71">
        <w:t xml:space="preserve"> use of</w:t>
      </w:r>
      <w:r w:rsidRPr="002668F5">
        <w:t xml:space="preserve"> structured writing frames I deployed </w:t>
      </w:r>
      <w:r w:rsidR="006D7B71">
        <w:t>is</w:t>
      </w:r>
      <w:r w:rsidRPr="002668F5">
        <w:t xml:space="preserve"> grounded in Vygotsky's (1978) theory of the Zone of Proximal Development (ZPD), which </w:t>
      </w:r>
      <w:r w:rsidR="006D7B71">
        <w:t>shows</w:t>
      </w:r>
      <w:r w:rsidRPr="002668F5">
        <w:t xml:space="preserve"> that learning is most effective when students are supported to </w:t>
      </w:r>
      <w:r w:rsidR="00B920F2">
        <w:t>accomplish</w:t>
      </w:r>
      <w:r w:rsidRPr="002668F5">
        <w:t xml:space="preserve"> tasks slightly beyond their current independent capability. Wood, Bruner, and Ross (1976) operationalised this principle through the concept of </w:t>
      </w:r>
      <w:r w:rsidR="002A6663">
        <w:t>scaffolding</w:t>
      </w:r>
      <w:r w:rsidR="00823526">
        <w:t>, a</w:t>
      </w:r>
      <w:r w:rsidR="002A6663">
        <w:t xml:space="preserve"> temporary,</w:t>
      </w:r>
      <w:r w:rsidRPr="002668F5">
        <w:t xml:space="preserve"> responsive support that enables a learner to accomplish tasks they could not achieve alone.</w:t>
      </w:r>
      <w:r w:rsidR="00823526">
        <w:t xml:space="preserve"> In my lessons with this year 10 class, I used tables and sentence starters. This is one example of the table I used.</w:t>
      </w:r>
    </w:p>
    <w:tbl>
      <w:tblPr>
        <w:tblStyle w:val="TableGrid"/>
        <w:tblW w:w="0" w:type="auto"/>
        <w:tblLook w:val="04A0" w:firstRow="1" w:lastRow="0" w:firstColumn="1" w:lastColumn="0" w:noHBand="0" w:noVBand="1"/>
      </w:tblPr>
      <w:tblGrid>
        <w:gridCol w:w="2335"/>
        <w:gridCol w:w="2880"/>
        <w:gridCol w:w="3441"/>
      </w:tblGrid>
      <w:tr w:rsidR="00871F3C" w14:paraId="2E30E13B" w14:textId="77777777" w:rsidTr="00871F3C">
        <w:tc>
          <w:tcPr>
            <w:tcW w:w="2335" w:type="dxa"/>
          </w:tcPr>
          <w:p w14:paraId="0B56515A" w14:textId="7E2BDF1C" w:rsidR="00871F3C" w:rsidRDefault="00871F3C">
            <w:pPr>
              <w:spacing w:after="200" w:line="276" w:lineRule="auto"/>
              <w:jc w:val="both"/>
            </w:pPr>
            <w:r>
              <w:t>Command Words</w:t>
            </w:r>
          </w:p>
        </w:tc>
        <w:tc>
          <w:tcPr>
            <w:tcW w:w="2880" w:type="dxa"/>
          </w:tcPr>
          <w:p w14:paraId="097BB12E" w14:textId="296E8580" w:rsidR="00871F3C" w:rsidRDefault="00871F3C">
            <w:pPr>
              <w:spacing w:after="200" w:line="276" w:lineRule="auto"/>
              <w:jc w:val="both"/>
            </w:pPr>
            <w:r>
              <w:t>What you must do</w:t>
            </w:r>
          </w:p>
        </w:tc>
        <w:tc>
          <w:tcPr>
            <w:tcW w:w="3441" w:type="dxa"/>
          </w:tcPr>
          <w:p w14:paraId="6948F020" w14:textId="6BEC28BF" w:rsidR="00871F3C" w:rsidRDefault="00871F3C">
            <w:pPr>
              <w:spacing w:after="200" w:line="276" w:lineRule="auto"/>
              <w:jc w:val="both"/>
            </w:pPr>
            <w:r>
              <w:t>Examples</w:t>
            </w:r>
            <w:r w:rsidR="003B1478">
              <w:t xml:space="preserve"> of questions.</w:t>
            </w:r>
          </w:p>
        </w:tc>
      </w:tr>
      <w:tr w:rsidR="00871F3C" w14:paraId="1F198AC9" w14:textId="77777777" w:rsidTr="00871F3C">
        <w:tc>
          <w:tcPr>
            <w:tcW w:w="2335" w:type="dxa"/>
          </w:tcPr>
          <w:p w14:paraId="243D539A" w14:textId="29B8E26B" w:rsidR="00871F3C" w:rsidRDefault="00871F3C">
            <w:pPr>
              <w:spacing w:after="200" w:line="276" w:lineRule="auto"/>
              <w:jc w:val="both"/>
            </w:pPr>
            <w:r>
              <w:t>Describe</w:t>
            </w:r>
          </w:p>
        </w:tc>
        <w:tc>
          <w:tcPr>
            <w:tcW w:w="2880" w:type="dxa"/>
          </w:tcPr>
          <w:p w14:paraId="5FBCF324" w14:textId="13F8064E" w:rsidR="00871F3C" w:rsidRDefault="00871F3C">
            <w:pPr>
              <w:spacing w:after="200" w:line="276" w:lineRule="auto"/>
              <w:jc w:val="both"/>
            </w:pPr>
            <w:r>
              <w:t>Says what something means</w:t>
            </w:r>
            <w:r w:rsidR="004900E9">
              <w:t>.</w:t>
            </w:r>
          </w:p>
        </w:tc>
        <w:tc>
          <w:tcPr>
            <w:tcW w:w="3441" w:type="dxa"/>
          </w:tcPr>
          <w:p w14:paraId="6EC88EC2" w14:textId="45EBEBAB" w:rsidR="00871F3C" w:rsidRDefault="00871F3C">
            <w:pPr>
              <w:spacing w:after="200" w:line="276" w:lineRule="auto"/>
              <w:jc w:val="both"/>
            </w:pPr>
            <w:r>
              <w:t xml:space="preserve">Describe what RAM </w:t>
            </w:r>
            <w:r w:rsidR="004900E9">
              <w:t>is.</w:t>
            </w:r>
          </w:p>
        </w:tc>
      </w:tr>
      <w:tr w:rsidR="00871F3C" w14:paraId="3F355A86" w14:textId="77777777" w:rsidTr="00871F3C">
        <w:tc>
          <w:tcPr>
            <w:tcW w:w="2335" w:type="dxa"/>
          </w:tcPr>
          <w:p w14:paraId="31EE007C" w14:textId="0EA3BA24" w:rsidR="00871F3C" w:rsidRDefault="00871F3C">
            <w:pPr>
              <w:spacing w:after="200" w:line="276" w:lineRule="auto"/>
              <w:jc w:val="both"/>
            </w:pPr>
            <w:r>
              <w:t>Explain</w:t>
            </w:r>
          </w:p>
        </w:tc>
        <w:tc>
          <w:tcPr>
            <w:tcW w:w="2880" w:type="dxa"/>
          </w:tcPr>
          <w:p w14:paraId="1295691F" w14:textId="18296C88" w:rsidR="00871F3C" w:rsidRDefault="00871F3C">
            <w:pPr>
              <w:spacing w:after="200" w:line="276" w:lineRule="auto"/>
              <w:jc w:val="both"/>
            </w:pPr>
            <w:r>
              <w:t xml:space="preserve">Give a reason or </w:t>
            </w:r>
            <w:r w:rsidR="004900E9">
              <w:t>effect.</w:t>
            </w:r>
          </w:p>
        </w:tc>
        <w:tc>
          <w:tcPr>
            <w:tcW w:w="3441" w:type="dxa"/>
          </w:tcPr>
          <w:p w14:paraId="08EE7619" w14:textId="003BE1FA" w:rsidR="00871F3C" w:rsidRDefault="00871F3C">
            <w:pPr>
              <w:spacing w:after="200" w:line="276" w:lineRule="auto"/>
              <w:jc w:val="both"/>
            </w:pPr>
            <w:r>
              <w:t xml:space="preserve">Explain why RAM affects </w:t>
            </w:r>
            <w:r w:rsidR="004900E9">
              <w:t>performance.</w:t>
            </w:r>
          </w:p>
        </w:tc>
      </w:tr>
      <w:tr w:rsidR="00871F3C" w14:paraId="613A4043" w14:textId="77777777" w:rsidTr="00871F3C">
        <w:tc>
          <w:tcPr>
            <w:tcW w:w="2335" w:type="dxa"/>
          </w:tcPr>
          <w:p w14:paraId="7CDE9E6B" w14:textId="772B99B0" w:rsidR="00871F3C" w:rsidRDefault="00871F3C">
            <w:pPr>
              <w:spacing w:after="200" w:line="276" w:lineRule="auto"/>
              <w:jc w:val="both"/>
            </w:pPr>
            <w:r>
              <w:t>Analyse</w:t>
            </w:r>
          </w:p>
        </w:tc>
        <w:tc>
          <w:tcPr>
            <w:tcW w:w="2880" w:type="dxa"/>
          </w:tcPr>
          <w:p w14:paraId="0370639D" w14:textId="6DC51AA1" w:rsidR="00871F3C" w:rsidRDefault="00871F3C">
            <w:pPr>
              <w:spacing w:after="200" w:line="276" w:lineRule="auto"/>
              <w:jc w:val="both"/>
            </w:pPr>
            <w:r>
              <w:t>Break down or explain the relationships.</w:t>
            </w:r>
          </w:p>
        </w:tc>
        <w:tc>
          <w:tcPr>
            <w:tcW w:w="3441" w:type="dxa"/>
          </w:tcPr>
          <w:p w14:paraId="09AA3184" w14:textId="652273E8" w:rsidR="00871F3C" w:rsidRDefault="003B1478">
            <w:pPr>
              <w:spacing w:after="200" w:line="276" w:lineRule="auto"/>
              <w:jc w:val="both"/>
            </w:pPr>
            <w:r>
              <w:t>Analyse how network speed affects user experience</w:t>
            </w:r>
            <w:r w:rsidR="001A7AF4">
              <w:t>.</w:t>
            </w:r>
          </w:p>
        </w:tc>
      </w:tr>
      <w:tr w:rsidR="00871F3C" w14:paraId="3651FF5C" w14:textId="77777777" w:rsidTr="00871F3C">
        <w:tc>
          <w:tcPr>
            <w:tcW w:w="2335" w:type="dxa"/>
          </w:tcPr>
          <w:p w14:paraId="12C023BB" w14:textId="630E90C1" w:rsidR="00871F3C" w:rsidRDefault="00871F3C">
            <w:pPr>
              <w:spacing w:after="200" w:line="276" w:lineRule="auto"/>
              <w:jc w:val="both"/>
            </w:pPr>
            <w:r>
              <w:t xml:space="preserve">Evaluate </w:t>
            </w:r>
          </w:p>
        </w:tc>
        <w:tc>
          <w:tcPr>
            <w:tcW w:w="2880" w:type="dxa"/>
          </w:tcPr>
          <w:p w14:paraId="70278B28" w14:textId="6CF4C3B9" w:rsidR="00871F3C" w:rsidRDefault="00871F3C" w:rsidP="00871F3C">
            <w:pPr>
              <w:spacing w:after="200" w:line="276" w:lineRule="auto"/>
              <w:jc w:val="center"/>
            </w:pPr>
            <w:r>
              <w:t xml:space="preserve">Make a </w:t>
            </w:r>
            <w:r w:rsidR="00121522">
              <w:t>judgement</w:t>
            </w:r>
            <w:r>
              <w:t xml:space="preserve"> </w:t>
            </w:r>
            <w:r w:rsidR="003B1478">
              <w:t>about it with justifications.</w:t>
            </w:r>
          </w:p>
        </w:tc>
        <w:tc>
          <w:tcPr>
            <w:tcW w:w="3441" w:type="dxa"/>
          </w:tcPr>
          <w:p w14:paraId="38126FA6" w14:textId="2283CD4F" w:rsidR="00871F3C" w:rsidRDefault="003B1478">
            <w:pPr>
              <w:spacing w:after="200" w:line="276" w:lineRule="auto"/>
              <w:jc w:val="both"/>
            </w:pPr>
            <w:r>
              <w:t>Evaluate if cloud storage is suitable for a school</w:t>
            </w:r>
            <w:r w:rsidR="001A7AF4">
              <w:t>.</w:t>
            </w:r>
          </w:p>
        </w:tc>
      </w:tr>
    </w:tbl>
    <w:p w14:paraId="6EBEAA65" w14:textId="53FB0759" w:rsidR="00823526" w:rsidRPr="00147A98" w:rsidRDefault="004A141D">
      <w:pPr>
        <w:spacing w:after="200" w:line="276" w:lineRule="auto"/>
        <w:jc w:val="both"/>
        <w:rPr>
          <w:i/>
          <w:iCs/>
        </w:rPr>
      </w:pPr>
      <w:r w:rsidRPr="00147A98">
        <w:rPr>
          <w:i/>
          <w:iCs/>
        </w:rPr>
        <w:t xml:space="preserve">Table 1: Command words, definition and examples used to support disciplinary literacy development. </w:t>
      </w:r>
    </w:p>
    <w:p w14:paraId="191FF219" w14:textId="61FBAA19" w:rsidR="00D840C0" w:rsidRPr="002668F5" w:rsidRDefault="004A141D" w:rsidP="00EB6994">
      <w:pPr>
        <w:spacing w:after="200" w:line="276" w:lineRule="auto"/>
        <w:jc w:val="both"/>
      </w:pPr>
      <w:r>
        <w:t>Over time</w:t>
      </w:r>
      <w:r w:rsidR="008263CE">
        <w:t xml:space="preserve">, I gradually removed the support by removing some of the columns and rows in the table and encouraged the students to </w:t>
      </w:r>
      <w:r w:rsidR="00EB6994">
        <w:t xml:space="preserve">construct their response </w:t>
      </w:r>
      <w:r w:rsidR="008263CE">
        <w:t>independently.</w:t>
      </w:r>
      <w:r w:rsidR="00EB6994">
        <w:t xml:space="preserve"> While some students quickly adapted, others needed more scaffolding and modelling. This technique was grounded in</w:t>
      </w:r>
      <w:r w:rsidR="00000000" w:rsidRPr="002668F5">
        <w:t xml:space="preserve"> Wood et al. </w:t>
      </w:r>
      <w:r w:rsidR="00121522">
        <w:t>(1976), which states</w:t>
      </w:r>
      <w:r w:rsidR="00000000" w:rsidRPr="002668F5">
        <w:t xml:space="preserve"> that scaffolding must be </w:t>
      </w:r>
      <w:r w:rsidR="00000000" w:rsidRPr="002668F5">
        <w:lastRenderedPageBreak/>
        <w:t xml:space="preserve">progressively </w:t>
      </w:r>
      <w:r w:rsidR="002A6663">
        <w:t>withdrawn</w:t>
      </w:r>
      <w:r w:rsidR="00303715">
        <w:t>,</w:t>
      </w:r>
      <w:r w:rsidR="00000000" w:rsidRPr="002668F5">
        <w:t xml:space="preserve"> a process they term </w:t>
      </w:r>
      <w:r w:rsidR="002A6663">
        <w:t>'fading'</w:t>
      </w:r>
      <w:r w:rsidR="00303715">
        <w:t>, which helps</w:t>
      </w:r>
      <w:r w:rsidR="00000000" w:rsidRPr="002668F5">
        <w:t xml:space="preserve"> to ensure that students develop genuine independence rather than a dependency on support structures. This is </w:t>
      </w:r>
      <w:r w:rsidR="00303715">
        <w:t>very important in preparing for their GCSEs</w:t>
      </w:r>
      <w:r w:rsidR="00000000" w:rsidRPr="002668F5">
        <w:t xml:space="preserve">, where students must </w:t>
      </w:r>
      <w:r w:rsidR="00303715">
        <w:t>perform independently</w:t>
      </w:r>
      <w:r w:rsidR="00000000" w:rsidRPr="002668F5">
        <w:t xml:space="preserve"> without any scaffolding under timed conditions.</w:t>
      </w:r>
    </w:p>
    <w:p w14:paraId="79976133" w14:textId="77777777" w:rsidR="00D840C0" w:rsidRPr="002668F5" w:rsidRDefault="00000000">
      <w:pPr>
        <w:pStyle w:val="Heading2"/>
        <w:rPr>
          <w:lang w:val="en-GB"/>
        </w:rPr>
      </w:pPr>
      <w:r w:rsidRPr="002668F5">
        <w:rPr>
          <w:lang w:val="en-GB"/>
        </w:rPr>
        <w:t>Methodology and Data</w:t>
      </w:r>
    </w:p>
    <w:p w14:paraId="3F78E39A" w14:textId="3967A1DE" w:rsidR="00D840C0" w:rsidRPr="002668F5" w:rsidRDefault="00000000">
      <w:pPr>
        <w:spacing w:after="200" w:line="276" w:lineRule="auto"/>
        <w:jc w:val="both"/>
      </w:pPr>
      <w:r w:rsidRPr="002668F5">
        <w:t>In planning this intervention, I was mindful of the ethical framework applicable to PGCE-level practitioner inquiry. In accordance with the University of Birmingham's ethical guidance and the British Educational Research Association's (BERA, 2018) ethical guidelines for educational research, I did not design or administer any original research instruments</w:t>
      </w:r>
      <w:r w:rsidR="00B55C64">
        <w:t>,</w:t>
      </w:r>
      <w:r w:rsidRPr="002668F5">
        <w:t xml:space="preserve"> such as questionnaires or experimental interventions that would require ethical approval. Instead, the intervention drew exclusively on data and assessment materials that form part of normal, routine classroom practice: OCR past paper questions, school-held assessment data, and </w:t>
      </w:r>
      <w:proofErr w:type="gramStart"/>
      <w:r w:rsidR="006D7B71">
        <w:t>students'</w:t>
      </w:r>
      <w:proofErr w:type="gramEnd"/>
      <w:r w:rsidRPr="002668F5">
        <w:t xml:space="preserve"> marked written work annotated using green pens as part of standard teacher feedback. This approach aligns with BERA's (2018) guidance regarding the distinction between practitioner reflection on ordinary classroom activity and formal research requiring institutional ethical approval.</w:t>
      </w:r>
    </w:p>
    <w:p w14:paraId="1BC07160" w14:textId="525FD8F0" w:rsidR="00D840C0" w:rsidRPr="002668F5" w:rsidRDefault="00000000">
      <w:pPr>
        <w:spacing w:after="200" w:line="276" w:lineRule="auto"/>
        <w:jc w:val="both"/>
      </w:pPr>
      <w:r w:rsidRPr="002668F5">
        <w:t xml:space="preserve">The group consisted of </w:t>
      </w:r>
      <w:r w:rsidR="00433B84">
        <w:t>twelve</w:t>
      </w:r>
      <w:r w:rsidR="00B55C64">
        <w:t xml:space="preserve"> </w:t>
      </w:r>
      <w:r w:rsidRPr="002668F5">
        <w:t xml:space="preserve">Year 10 students, identified through observation of their classroom responses and through analysis of their performance on a series of OCR GCSE Computer Science past paper questions administered during routine lesson activity. The school's broader performance data provides important context for this group: </w:t>
      </w:r>
      <w:r w:rsidR="00B55C64">
        <w:t>School X</w:t>
      </w:r>
      <w:r w:rsidRPr="002668F5">
        <w:t xml:space="preserve">'s Attainment 8 score of 35.4 is significantly below the national average of 46.3 (Department for Education, 2023), and Ofsted's most recent inspection (2021) noted that </w:t>
      </w:r>
      <w:r w:rsidR="00ED0C4D">
        <w:t>while</w:t>
      </w:r>
      <w:r w:rsidRPr="002668F5">
        <w:t xml:space="preserve"> pupils at the school generally exhibit positive attitudes to learning, the quality of teaching has been </w:t>
      </w:r>
      <w:r w:rsidR="006102ED">
        <w:t>improving,</w:t>
      </w:r>
      <w:r w:rsidRPr="002668F5">
        <w:t xml:space="preserve"> but there remains scope to develop higher-order thinking and analytical skills further. These data points contextualise the extended response underperformance observed in this group as part of a broader institutional attainment challenge, rather than as an isolated or idiosyncratic learner difficulty.</w:t>
      </w:r>
    </w:p>
    <w:p w14:paraId="40CA2EF7" w14:textId="08AE493C" w:rsidR="00D840C0" w:rsidRPr="002668F5" w:rsidRDefault="00000000">
      <w:pPr>
        <w:spacing w:after="200" w:line="276" w:lineRule="auto"/>
        <w:jc w:val="both"/>
      </w:pPr>
      <w:r w:rsidRPr="002668F5">
        <w:t>My intervention comprised four integrated strategies, implemented across a sustained series of lessons. First, I explicitly taught OCR's command</w:t>
      </w:r>
      <w:r w:rsidR="00B55C64">
        <w:t>-</w:t>
      </w:r>
      <w:r w:rsidRPr="002668F5">
        <w:t xml:space="preserve">word framework, using worked examples to demonstrate the qualitative differences between </w:t>
      </w:r>
      <w:r w:rsidR="006102ED">
        <w:t>'state', 'describe', 'explain',</w:t>
      </w:r>
      <w:r w:rsidRPr="002668F5">
        <w:t xml:space="preserve"> and </w:t>
      </w:r>
      <w:r w:rsidR="006102ED">
        <w:t>'evaluate'</w:t>
      </w:r>
      <w:r w:rsidRPr="002668F5">
        <w:t xml:space="preserve"> responses. Second, I modelled the deconstruction of examiner mark schemes alongside </w:t>
      </w:r>
      <w:r w:rsidR="00B55C64">
        <w:t>some of the students’ written</w:t>
      </w:r>
      <w:r w:rsidRPr="002668F5">
        <w:t xml:space="preserve"> responses, so that students could identify precisely where and how their answers fell short of examiner expectations. Third, I provided structured writing frames</w:t>
      </w:r>
      <w:r w:rsidR="00B55C64">
        <w:t>,</w:t>
      </w:r>
      <w:r w:rsidRPr="002668F5">
        <w:t xml:space="preserve"> including discipline-specific sentence starters</w:t>
      </w:r>
      <w:r w:rsidR="00B55C64">
        <w:t>,</w:t>
      </w:r>
      <w:r w:rsidRPr="002668F5">
        <w:t xml:space="preserve"> to scaffold students' initial attempts at extended responses. Fourth, I incorporated peer assessment activities in which students evaluated each other's responses using adapted mark</w:t>
      </w:r>
      <w:r w:rsidR="00B55C64">
        <w:t>-</w:t>
      </w:r>
      <w:r w:rsidRPr="002668F5">
        <w:t>scheme criteria, developing their capacity for metacognitive self-evaluation.</w:t>
      </w:r>
    </w:p>
    <w:p w14:paraId="27789153" w14:textId="77777777" w:rsidR="00D840C0" w:rsidRPr="002668F5" w:rsidRDefault="00000000">
      <w:pPr>
        <w:pStyle w:val="Heading2"/>
        <w:rPr>
          <w:lang w:val="en-GB"/>
        </w:rPr>
      </w:pPr>
      <w:r w:rsidRPr="002668F5">
        <w:rPr>
          <w:lang w:val="en-GB"/>
        </w:rPr>
        <w:t>Analysis and Findings</w:t>
      </w:r>
    </w:p>
    <w:p w14:paraId="576BDD97" w14:textId="0B9A4B6E" w:rsidR="00D840C0" w:rsidRPr="002668F5" w:rsidRDefault="00B55C64">
      <w:pPr>
        <w:spacing w:after="200" w:line="276" w:lineRule="auto"/>
        <w:jc w:val="both"/>
      </w:pPr>
      <w:r>
        <w:lastRenderedPageBreak/>
        <w:t>Before</w:t>
      </w:r>
      <w:r w:rsidRPr="002668F5">
        <w:t xml:space="preserve"> the intervention, </w:t>
      </w:r>
      <w:r w:rsidR="005A0BA2">
        <w:t>while marking this year 10 students' assessment results, I noticed that most of them underperformed on questions that had three or more marks. A lot of the time</w:t>
      </w:r>
      <w:r w:rsidR="00121522">
        <w:t>,</w:t>
      </w:r>
      <w:r w:rsidR="005A0BA2">
        <w:t xml:space="preserve"> the students could show relevant subject knowledge </w:t>
      </w:r>
      <w:r w:rsidR="00787176">
        <w:t xml:space="preserve">but </w:t>
      </w:r>
      <w:r w:rsidR="00121522">
        <w:t>couldn't</w:t>
      </w:r>
      <w:r w:rsidR="00787176">
        <w:t xml:space="preserve"> construct a sufficient </w:t>
      </w:r>
      <w:r w:rsidR="00121522">
        <w:t>response;</w:t>
      </w:r>
      <w:r w:rsidR="00787176">
        <w:t xml:space="preserve"> they may just write a line or two for a </w:t>
      </w:r>
      <w:r w:rsidR="00121522">
        <w:t>5-mark</w:t>
      </w:r>
      <w:r w:rsidR="00787176">
        <w:t xml:space="preserve"> question, or when asked to explain a concept</w:t>
      </w:r>
      <w:r w:rsidR="00121522">
        <w:t>,</w:t>
      </w:r>
      <w:r w:rsidR="00787176">
        <w:t xml:space="preserve"> they might just define or list</w:t>
      </w:r>
      <w:r w:rsidR="00121522">
        <w:t>. For instance,</w:t>
      </w:r>
      <w:r w:rsidR="00787176">
        <w:t xml:space="preserve"> a </w:t>
      </w:r>
      <w:r w:rsidR="00121522">
        <w:t>student's</w:t>
      </w:r>
      <w:r w:rsidR="00787176">
        <w:t xml:space="preserve"> response to “Analyse how network speed </w:t>
      </w:r>
      <w:r w:rsidR="00121522">
        <w:t>affects</w:t>
      </w:r>
      <w:r w:rsidR="00787176">
        <w:t xml:space="preserve"> user experience” was “RAM and cache” without any explanation of how these factors actually </w:t>
      </w:r>
      <w:r w:rsidR="00121522">
        <w:t>affect</w:t>
      </w:r>
      <w:r w:rsidR="00787176">
        <w:t xml:space="preserve"> the user experience.</w:t>
      </w:r>
      <w:r w:rsidR="005A0BA2">
        <w:t xml:space="preserve"> </w:t>
      </w:r>
      <w:r w:rsidRPr="002668F5">
        <w:t>This pattern is precisely consistent with Shanahan and Shanahan's (2008) finding that students with developing disciplinary literacy can engage with surface-level content tasks but struggle to produce the structured, elaborated responses that disciplinary writing demands. It also reflects the near-to-far transfer gap identified by Perkins and Salomon (1992): students could apply knowledge within familiar classroom tasks but were unable to restructure and communicate that knowledge effectively in the discourse conventions of GCSE examination writing.</w:t>
      </w:r>
    </w:p>
    <w:p w14:paraId="6020CBC9" w14:textId="171C20A2" w:rsidR="00D840C0" w:rsidRPr="002668F5" w:rsidRDefault="00000000">
      <w:pPr>
        <w:spacing w:after="200" w:line="276" w:lineRule="auto"/>
        <w:jc w:val="both"/>
      </w:pPr>
      <w:r w:rsidRPr="002668F5">
        <w:t xml:space="preserve">Following the introduction of explicit command word instruction, students demonstrated a measurable improvement in their ability to identify what each question type required before constructing their answers. The deconstruction of OCR mark schemes proved particularly impactful: by comparing their own responses to mark scheme criteria point-by-point using green pens, students were able to identify specific gaps in their answers with a level of precision and agency that summative feedback alone could not have produced. This is consistent with Black and Wiliam's (1998) argument that self-assessment against clear criteria is among the most powerful forms of formative </w:t>
      </w:r>
      <w:r w:rsidR="006102ED">
        <w:t>feedback and</w:t>
      </w:r>
      <w:r w:rsidRPr="002668F5">
        <w:t xml:space="preserve"> with the EEF's (2024) recommendation that metacognitive task knowledge should be made explicit through structured, criteria-referenced reflection. In practice, students who had previously written one-sentence responses to four-mark explain questions began producing two-to-three-sentence answers that incorporated cause-effect chains and referenced specific computing concepts such as the fetch-decode-execute cycle, binary arithmetic, and </w:t>
      </w:r>
      <w:r w:rsidR="00DE4225">
        <w:t xml:space="preserve">system architecture </w:t>
      </w:r>
      <w:r w:rsidRPr="002668F5">
        <w:t>in contextually appropriate ways.</w:t>
      </w:r>
    </w:p>
    <w:p w14:paraId="6536C75E" w14:textId="1DE56846" w:rsidR="00D840C0" w:rsidRPr="002668F5" w:rsidRDefault="00000000">
      <w:pPr>
        <w:spacing w:after="200" w:line="276" w:lineRule="auto"/>
        <w:jc w:val="both"/>
      </w:pPr>
      <w:r w:rsidRPr="002668F5">
        <w:t xml:space="preserve">The structured writing frames provided an important initial scaffold for students who lacked the linguistic templates to structure extended responses. The use of disciplinary sentence starters such as </w:t>
      </w:r>
      <w:r w:rsidR="002A6663">
        <w:t>‘</w:t>
      </w:r>
      <w:r w:rsidR="006102ED">
        <w:t>This</w:t>
      </w:r>
      <w:r w:rsidRPr="002668F5">
        <w:t xml:space="preserve"> occurs </w:t>
      </w:r>
      <w:r w:rsidR="006102ED">
        <w:t>because...</w:t>
      </w:r>
      <w:r w:rsidR="002A6663">
        <w:t>’</w:t>
      </w:r>
      <w:r w:rsidR="006102ED">
        <w:t>,</w:t>
      </w:r>
      <w:r w:rsidRPr="002668F5">
        <w:t xml:space="preserve"> </w:t>
      </w:r>
      <w:r w:rsidR="006102ED">
        <w:t>‘</w:t>
      </w:r>
      <w:r w:rsidRPr="002668F5">
        <w:t>An advantage of this approach is that...</w:t>
      </w:r>
      <w:r w:rsidR="006102ED">
        <w:t>’</w:t>
      </w:r>
      <w:r w:rsidRPr="002668F5">
        <w:t xml:space="preserve">, and </w:t>
      </w:r>
      <w:r w:rsidR="006102ED">
        <w:t>‘</w:t>
      </w:r>
      <w:r w:rsidRPr="002668F5">
        <w:t>However, this could be evaluated by considering...</w:t>
      </w:r>
      <w:r w:rsidR="006102ED">
        <w:t>’</w:t>
      </w:r>
      <w:r w:rsidRPr="002668F5">
        <w:t xml:space="preserve"> enabled students to translate strong conceptual understanding into examiner-acceptable written argument. Crucially, I implemented progressive fading of this scaffolding in line with Wood et al.'s (1976) principle, progressively reducing the specificity of the sentence starters provided and eventually requiring students to generate their own structural frameworks. By the conclusion of the intervention period, the majority of the group were able to produce coherent, developed responses with minimal prompting.</w:t>
      </w:r>
    </w:p>
    <w:p w14:paraId="018B49D4" w14:textId="041EB20E" w:rsidR="00D840C0" w:rsidRPr="002668F5" w:rsidRDefault="00000000">
      <w:pPr>
        <w:spacing w:after="200" w:line="276" w:lineRule="auto"/>
        <w:jc w:val="both"/>
      </w:pPr>
      <w:r w:rsidRPr="002668F5">
        <w:t xml:space="preserve">The impact on student confidence and engagement was equally </w:t>
      </w:r>
      <w:r w:rsidR="006102ED">
        <w:t>significant and</w:t>
      </w:r>
      <w:r w:rsidRPr="002668F5">
        <w:t xml:space="preserve"> represented one of the most observable and sustained outcomes of the intervention. </w:t>
      </w:r>
      <w:r w:rsidR="00DE4225">
        <w:t>Before</w:t>
      </w:r>
      <w:r w:rsidRPr="002668F5">
        <w:t xml:space="preserve"> the intervention, many students in the group would leave extended response questions partially or entirely incomplete</w:t>
      </w:r>
      <w:r w:rsidR="00DE4225">
        <w:t>,</w:t>
      </w:r>
      <w:r w:rsidRPr="002668F5">
        <w:t xml:space="preserve"> a behaviour consistent with Bandura's (1997) concept of low academic self-efficacy, in which students who anticipate failure disengage rather than </w:t>
      </w:r>
      <w:r w:rsidRPr="002668F5">
        <w:lastRenderedPageBreak/>
        <w:t>attempt challenging tasks. Following the intervention, students' willingness to attempt and persist with extended</w:t>
      </w:r>
      <w:r w:rsidR="00FA2B68">
        <w:t>-</w:t>
      </w:r>
      <w:r w:rsidRPr="002668F5">
        <w:t xml:space="preserve">response questions increased </w:t>
      </w:r>
      <w:r w:rsidR="00FA2B68">
        <w:t>significant</w:t>
      </w:r>
      <w:r w:rsidRPr="002668F5">
        <w:t xml:space="preserve">ly, and several students </w:t>
      </w:r>
      <w:r w:rsidR="00FA2B68">
        <w:t>came to</w:t>
      </w:r>
      <w:r w:rsidRPr="002668F5">
        <w:t xml:space="preserve"> </w:t>
      </w:r>
      <w:r w:rsidR="00FA2B68">
        <w:t>understand</w:t>
      </w:r>
      <w:r w:rsidRPr="002668F5">
        <w:t xml:space="preserve"> that their previous underperformance had been a </w:t>
      </w:r>
      <w:r w:rsidR="00FA2B68">
        <w:t xml:space="preserve">function </w:t>
      </w:r>
      <w:r w:rsidRPr="002668F5">
        <w:t>of examination literacy rather than a deficiency of subject knowledge. This reframing is consistent with Dweck's (2006) growth mindset framework, which holds that students who attribute failure to specific, learnable skills rather than to fixed ability</w:t>
      </w:r>
      <w:r w:rsidR="00FA2B68">
        <w:t xml:space="preserve"> </w:t>
      </w:r>
      <w:r w:rsidRPr="002668F5">
        <w:t>are more likely to engage productively with targeted improvement strategies. The peer assessment activities reinforced this dynamic by enabling students to recognise and affirm each other's subject knowledge, even where their written communication required further development.</w:t>
      </w:r>
    </w:p>
    <w:p w14:paraId="579BF3F9" w14:textId="77777777" w:rsidR="00D840C0" w:rsidRPr="002668F5" w:rsidRDefault="00000000">
      <w:pPr>
        <w:pStyle w:val="Heading2"/>
        <w:rPr>
          <w:lang w:val="en-GB"/>
        </w:rPr>
      </w:pPr>
      <w:r w:rsidRPr="002668F5">
        <w:rPr>
          <w:lang w:val="en-GB"/>
        </w:rPr>
        <w:t>Discussion and Critical Evaluation</w:t>
      </w:r>
    </w:p>
    <w:p w14:paraId="31140095" w14:textId="0505D2F7" w:rsidR="00ED0C4D" w:rsidRDefault="00ED0C4D">
      <w:pPr>
        <w:spacing w:after="200" w:line="276" w:lineRule="auto"/>
        <w:jc w:val="both"/>
      </w:pPr>
      <w:r w:rsidRPr="00ED0C4D">
        <w:t>Whil</w:t>
      </w:r>
      <w:r>
        <w:t>e</w:t>
      </w:r>
      <w:r w:rsidRPr="00ED0C4D">
        <w:t xml:space="preserve"> the improvements observed in this group are encouraging, it is important to critically evaluate the limitations of this evidence. The small sample size of twelve students means that findings cannot be generalised beyond this specific context. As </w:t>
      </w:r>
      <w:proofErr w:type="spellStart"/>
      <w:r w:rsidRPr="00ED0C4D">
        <w:t>Gorard</w:t>
      </w:r>
      <w:proofErr w:type="spellEnd"/>
      <w:r w:rsidRPr="00ED0C4D">
        <w:t xml:space="preserve"> (2021) argues, practitioner-led studies are often subject to bias, and without a control group</w:t>
      </w:r>
      <w:r w:rsidR="004900E9">
        <w:t>,</w:t>
      </w:r>
      <w:r w:rsidRPr="00ED0C4D">
        <w:t xml:space="preserve"> it is not possible to attribute improvements solely to the intervention. It is likely that other factors, such as increased familiarity with exam questions or general teaching input over time, also contributed to the observed progress.</w:t>
      </w:r>
    </w:p>
    <w:p w14:paraId="2B881E28" w14:textId="2C14B296" w:rsidR="00D840C0" w:rsidRPr="002668F5" w:rsidRDefault="00000000">
      <w:pPr>
        <w:spacing w:after="200" w:line="276" w:lineRule="auto"/>
        <w:jc w:val="both"/>
      </w:pPr>
      <w:r w:rsidRPr="002668F5">
        <w:t>Furthermore, whil</w:t>
      </w:r>
      <w:r w:rsidR="00B920F2">
        <w:t>e</w:t>
      </w:r>
      <w:r w:rsidRPr="002668F5">
        <w:t xml:space="preserve"> students demonstrated improved performance in </w:t>
      </w:r>
      <w:r w:rsidR="00B920F2">
        <w:t xml:space="preserve">lessons </w:t>
      </w:r>
      <w:r w:rsidRPr="002668F5">
        <w:t xml:space="preserve">during guided and semi-guided practice, it remains unresolved </w:t>
      </w:r>
      <w:r w:rsidR="00B920F2">
        <w:t>if</w:t>
      </w:r>
      <w:r w:rsidRPr="002668F5">
        <w:t xml:space="preserve"> this improvement will translate to genuinely independent performance under formal examination conditions. This concern is directly relevant to Perkins and Salomon's (1992) distinction between near and far transfer: the scaffolded activities I designed represent a form of </w:t>
      </w:r>
      <w:r w:rsidR="002A6663">
        <w:t>hugging,</w:t>
      </w:r>
      <w:r w:rsidRPr="002668F5">
        <w:t xml:space="preserve"> approximating examination conditions in a supported environment</w:t>
      </w:r>
      <w:r w:rsidR="00433B84">
        <w:t>,</w:t>
      </w:r>
      <w:r w:rsidRPr="002668F5">
        <w:t xml:space="preserve"> but do not yet constitute the fully independent performance that GCSE success requires. A more extended intervention period with sustained, progressive reduction of </w:t>
      </w:r>
      <w:r w:rsidR="002A6663">
        <w:t>scaffolding and</w:t>
      </w:r>
      <w:r w:rsidRPr="002668F5">
        <w:t xml:space="preserve"> the regular inclusion of fully unsupported timed practice under examination </w:t>
      </w:r>
      <w:r w:rsidR="002A6663">
        <w:t>conditions would</w:t>
      </w:r>
      <w:r w:rsidRPr="002668F5">
        <w:t xml:space="preserve"> be necessary to consolidate this transfer and to generate more robust evidence of impact.</w:t>
      </w:r>
    </w:p>
    <w:p w14:paraId="1FF9A186" w14:textId="7B0C44C3" w:rsidR="00D840C0" w:rsidRPr="002668F5" w:rsidRDefault="00000000">
      <w:pPr>
        <w:spacing w:after="200" w:line="276" w:lineRule="auto"/>
        <w:jc w:val="both"/>
      </w:pPr>
      <w:r w:rsidRPr="002668F5">
        <w:t>A further critical tension worth examining is the relationship between mark scheme familiarity and genuine higher-</w:t>
      </w:r>
      <w:r w:rsidR="004A141D">
        <w:t>IQ</w:t>
      </w:r>
      <w:r w:rsidRPr="002668F5">
        <w:t xml:space="preserve"> thinking. Whil</w:t>
      </w:r>
      <w:r w:rsidR="00B920F2">
        <w:t>e</w:t>
      </w:r>
      <w:r w:rsidRPr="002668F5">
        <w:t xml:space="preserve"> familiarising students with mark scheme conventions is </w:t>
      </w:r>
      <w:r w:rsidR="00433B84">
        <w:t>evidently</w:t>
      </w:r>
      <w:r w:rsidRPr="002668F5">
        <w:t xml:space="preserve"> beneficial for examination performance (Black and Wiliam, 1998), there is a substantive pedagogical risk that excessive reliance on mark scheme language trains students to pattern-match against expected answer structures rather than to reason independently and analytically. In a rapidly evolving field such as </w:t>
      </w:r>
      <w:r w:rsidR="002A6663">
        <w:t>computer science,</w:t>
      </w:r>
      <w:r w:rsidRPr="002668F5">
        <w:t xml:space="preserve"> where novel examination questions increasingly require students to apply foundational principles to new technological contexts</w:t>
      </w:r>
      <w:r w:rsidR="00433B84">
        <w:t>,</w:t>
      </w:r>
      <w:r w:rsidRPr="002668F5">
        <w:t xml:space="preserve"> this dependency could limit performance on higher-tariff questions that reward original and flexible analytical thinking. Future iterations of this intervention should therefore balance mark scheme literacy with regular opportunities for open-ended analytical tasks in which students encounter genuinely novel scenarios, ensuring that disciplinary literacy is developed as a genuine capability rather than a performative technique.</w:t>
      </w:r>
    </w:p>
    <w:p w14:paraId="46B665F9" w14:textId="0AE11CD3" w:rsidR="00D840C0" w:rsidRPr="002668F5" w:rsidRDefault="00000000">
      <w:pPr>
        <w:spacing w:after="200" w:line="276" w:lineRule="auto"/>
        <w:jc w:val="both"/>
      </w:pPr>
      <w:r w:rsidRPr="002668F5">
        <w:lastRenderedPageBreak/>
        <w:t>At the macro level, it is also important to situate this intervention within the broader structural context of Sch</w:t>
      </w:r>
      <w:r w:rsidR="00433B84">
        <w:t>ool X</w:t>
      </w:r>
      <w:r w:rsidRPr="002668F5">
        <w:t xml:space="preserve">'s attainment data. With an Attainment 8 score of 35.4 and only 29% of pupils achieving grade 5 or above nationally (Department for Education, 2023), the challenges faced by this group of learners cannot be fully explained or addressed at the level of individual lesson design. </w:t>
      </w:r>
      <w:proofErr w:type="spellStart"/>
      <w:r w:rsidRPr="002668F5">
        <w:t>Gorard</w:t>
      </w:r>
      <w:proofErr w:type="spellEnd"/>
      <w:r w:rsidRPr="002668F5">
        <w:t xml:space="preserve"> (2021) </w:t>
      </w:r>
      <w:r w:rsidR="004900E9">
        <w:t>argues</w:t>
      </w:r>
      <w:r w:rsidRPr="002668F5">
        <w:t xml:space="preserve"> that persistent attainment gaps in schools like </w:t>
      </w:r>
      <w:r w:rsidR="00465B1E">
        <w:t>School X</w:t>
      </w:r>
      <w:r w:rsidRPr="002668F5">
        <w:t xml:space="preserve"> are driven significantly by structural and socio-economic factors that require coordinated, institutional responses</w:t>
      </w:r>
      <w:r w:rsidR="00465B1E">
        <w:t>,</w:t>
      </w:r>
      <w:r w:rsidRPr="002668F5">
        <w:t xml:space="preserve"> a finding that highlights the limitation of any single practitioner-led intervention, however well-designed. This underscores the importance of embedding disciplinary literacy and examination preparation approaches as a sustained, whole-curriculum priority, ensuring that all subject teachers share responsibility for developing students' capacity to communicate disciplinary knowledge in high-stakes assessment contexts.</w:t>
      </w:r>
    </w:p>
    <w:p w14:paraId="5E72E88F" w14:textId="77777777" w:rsidR="00D840C0" w:rsidRPr="002668F5" w:rsidRDefault="00000000">
      <w:pPr>
        <w:pStyle w:val="Heading2"/>
        <w:rPr>
          <w:lang w:val="en-GB"/>
        </w:rPr>
      </w:pPr>
      <w:r w:rsidRPr="002668F5">
        <w:rPr>
          <w:lang w:val="en-GB"/>
        </w:rPr>
        <w:t>Conclusion</w:t>
      </w:r>
    </w:p>
    <w:p w14:paraId="79508D63" w14:textId="605B46E4" w:rsidR="00D840C0" w:rsidRPr="002668F5" w:rsidRDefault="006F48A1">
      <w:pPr>
        <w:spacing w:after="200" w:line="276" w:lineRule="auto"/>
        <w:jc w:val="both"/>
      </w:pPr>
      <w:r w:rsidRPr="006F48A1">
        <w:t>This assignment has critically evaluated the impact of a series of targeted interventions aimed at improving Year 10 Computer Science students’ performance on extended-response examination questions at School X</w:t>
      </w:r>
      <w:r>
        <w:t>. D</w:t>
      </w:r>
      <w:r w:rsidR="00000000" w:rsidRPr="002668F5">
        <w:t xml:space="preserve">rawing on theoretical frameworks of disciplinary literacy (Shanahan and Shanahan, 2008), knowledge transfer (Perkins and Salomon, 1992), metacognition (EEF, 2024), formative assessment (Black and Wiliam, 1998), and scaffolding (Wood et al., 1976), I have contextualised both the nature of the learning challenge and the evidence base underpinning the strategies employed. The evidence gathered </w:t>
      </w:r>
      <w:r w:rsidR="00465B1E">
        <w:t xml:space="preserve">in the classroom context indicates that explicit command-word instruction, collaborative mark-scheme analysis, structured writing frames, and peer assessment have collectively contributed to measurable improvements in </w:t>
      </w:r>
      <w:proofErr w:type="gramStart"/>
      <w:r w:rsidR="00465B1E">
        <w:t>students'</w:t>
      </w:r>
      <w:proofErr w:type="gramEnd"/>
      <w:r w:rsidR="00465B1E">
        <w:t xml:space="preserve"> extended-response</w:t>
      </w:r>
      <w:r w:rsidR="00000000" w:rsidRPr="002668F5">
        <w:t xml:space="preserve"> quality and academic self-efficacy. However, this evaluation has also identified significant limitations</w:t>
      </w:r>
      <w:r>
        <w:t>,</w:t>
      </w:r>
      <w:r w:rsidR="00000000" w:rsidRPr="002668F5">
        <w:t xml:space="preserve"> including the small sample size, the risk of mark scheme dependency, the unresolved question of far transfer to independent examination performance, and the broader structural attainment context that must inform and critically shape my future practice. Going forward, I am committed to embedding disciplinary literacy development as a sustained, whole-curriculum priority rather than as a reactive, group-specific intervention, in recognition that equipping students to communicate their knowledge effectively in disciplinary contexts is not ancillary to the teaching of </w:t>
      </w:r>
      <w:r w:rsidR="002A6663">
        <w:t>computer science</w:t>
      </w:r>
      <w:r w:rsidR="00000000" w:rsidRPr="002668F5">
        <w:t xml:space="preserve"> but is constitutive of it.</w:t>
      </w:r>
    </w:p>
    <w:p w14:paraId="224D0E32" w14:textId="77777777" w:rsidR="00D840C0" w:rsidRPr="002668F5" w:rsidRDefault="00000000">
      <w:pPr>
        <w:pStyle w:val="Heading2"/>
        <w:rPr>
          <w:lang w:val="en-GB"/>
        </w:rPr>
      </w:pPr>
      <w:r w:rsidRPr="002668F5">
        <w:rPr>
          <w:lang w:val="en-GB"/>
        </w:rPr>
        <w:t>References</w:t>
      </w:r>
    </w:p>
    <w:p w14:paraId="01265821" w14:textId="77777777" w:rsidR="00D840C0" w:rsidRPr="002668F5" w:rsidRDefault="00000000">
      <w:pPr>
        <w:spacing w:after="160" w:line="276" w:lineRule="auto"/>
        <w:ind w:left="720" w:hanging="720"/>
        <w:jc w:val="both"/>
      </w:pPr>
      <w:r w:rsidRPr="002668F5">
        <w:t>Bandura, A. (1997) Self-Efficacy: The Exercise of Control. New York: W.H. Freeman.</w:t>
      </w:r>
    </w:p>
    <w:p w14:paraId="370F93CD" w14:textId="36FA1A5C" w:rsidR="00D840C0" w:rsidRPr="002668F5" w:rsidRDefault="00000000">
      <w:pPr>
        <w:spacing w:after="160" w:line="276" w:lineRule="auto"/>
        <w:ind w:left="720" w:hanging="720"/>
        <w:jc w:val="both"/>
      </w:pPr>
      <w:r w:rsidRPr="002668F5">
        <w:t xml:space="preserve">Black, P. and Wiliam, D. (1998) 'Inside the Black Box: Raising Standards Through Classroom Assessment', Phi Delta </w:t>
      </w:r>
      <w:proofErr w:type="spellStart"/>
      <w:r w:rsidRPr="002668F5">
        <w:t>Kappan</w:t>
      </w:r>
      <w:proofErr w:type="spellEnd"/>
      <w:r w:rsidRPr="002668F5">
        <w:t>, 80(2), pp. 139</w:t>
      </w:r>
      <w:r w:rsidR="00147A98">
        <w:t>-</w:t>
      </w:r>
      <w:r w:rsidRPr="002668F5">
        <w:t>148.</w:t>
      </w:r>
    </w:p>
    <w:p w14:paraId="6BA5E096" w14:textId="77777777" w:rsidR="00D840C0" w:rsidRPr="002668F5" w:rsidRDefault="00000000">
      <w:pPr>
        <w:spacing w:after="160" w:line="276" w:lineRule="auto"/>
        <w:ind w:left="720" w:hanging="720"/>
        <w:jc w:val="both"/>
      </w:pPr>
      <w:r w:rsidRPr="002668F5">
        <w:t>British Educational Research Association (BERA) (2018) Ethical Guidelines for Educational Research (4th ed.). London: BERA. [online] Available at: https://www.bera.ac.uk/publication/ethical-guidelines-for-educational-research-2018 [Accessed 1 April 2026].</w:t>
      </w:r>
    </w:p>
    <w:p w14:paraId="55A5B9E0" w14:textId="77777777" w:rsidR="00D840C0" w:rsidRPr="002668F5" w:rsidRDefault="00000000">
      <w:pPr>
        <w:spacing w:after="160" w:line="276" w:lineRule="auto"/>
        <w:ind w:left="720" w:hanging="720"/>
        <w:jc w:val="both"/>
      </w:pPr>
      <w:r w:rsidRPr="002668F5">
        <w:lastRenderedPageBreak/>
        <w:t>Department for Education (DfE) (2023) GCSE and equivalent results, 2022 to 2023. [online] GOV.UK. Available at: https://www.gov.uk/government/statistics/gcse-and-equivalent-results-2022-to-2023 [Accessed 1 April 2026].</w:t>
      </w:r>
    </w:p>
    <w:p w14:paraId="51D8A90E" w14:textId="77777777" w:rsidR="00D840C0" w:rsidRPr="002668F5" w:rsidRDefault="00000000">
      <w:pPr>
        <w:spacing w:after="160" w:line="276" w:lineRule="auto"/>
        <w:ind w:left="720" w:hanging="720"/>
        <w:jc w:val="both"/>
      </w:pPr>
      <w:r w:rsidRPr="002668F5">
        <w:t>Dweck, C.S. (2006) Mindset: The New Psychology of Success. New York: Random House.</w:t>
      </w:r>
    </w:p>
    <w:p w14:paraId="7FDA6063" w14:textId="77777777" w:rsidR="00D840C0" w:rsidRPr="002668F5" w:rsidRDefault="00000000">
      <w:pPr>
        <w:spacing w:after="160" w:line="276" w:lineRule="auto"/>
        <w:ind w:left="720" w:hanging="720"/>
        <w:jc w:val="both"/>
      </w:pPr>
      <w:r w:rsidRPr="002668F5">
        <w:t>Education Endowment Foundation (EEF) (2021) Improving Literacy in Secondary Schools: Guidance Report. London: EEF. [online] Available at: https://educationendowmentfoundation.org.uk/education-evidence/guidance-reports/literacy-ks3-ks4 [Accessed 1 April 2026].</w:t>
      </w:r>
    </w:p>
    <w:p w14:paraId="77B0C227" w14:textId="77777777" w:rsidR="00D840C0" w:rsidRPr="002668F5" w:rsidRDefault="00000000">
      <w:pPr>
        <w:spacing w:after="160" w:line="276" w:lineRule="auto"/>
        <w:ind w:left="720" w:hanging="720"/>
        <w:jc w:val="both"/>
      </w:pPr>
      <w:r w:rsidRPr="002668F5">
        <w:t>Education Endowment Foundation (EEF) (2024) Metacognition and Self-Regulated Learning: Guidance Report (Updated). London: EEF. [online] Available at: https://educationendowmentfoundation.org.uk/education-evidence/guidance-reports/metacognition [Accessed 1 April 2026].</w:t>
      </w:r>
    </w:p>
    <w:p w14:paraId="53154CAD" w14:textId="3842CD02" w:rsidR="00D840C0" w:rsidRPr="002668F5" w:rsidRDefault="00000000">
      <w:pPr>
        <w:spacing w:after="160" w:line="276" w:lineRule="auto"/>
        <w:ind w:left="720" w:hanging="720"/>
        <w:jc w:val="both"/>
      </w:pPr>
      <w:proofErr w:type="spellStart"/>
      <w:r w:rsidRPr="002668F5">
        <w:t>Gorard</w:t>
      </w:r>
      <w:proofErr w:type="spellEnd"/>
      <w:r w:rsidRPr="002668F5">
        <w:t>, S. (2021) 'What is the evidence on the impact of Pupil Premium funding on school intakes and attainment by age 16 in England?', British Educational Research Journal, 47(3), pp. 515</w:t>
      </w:r>
      <w:r w:rsidR="00147A98">
        <w:t>-</w:t>
      </w:r>
      <w:r w:rsidRPr="002668F5">
        <w:t>531.</w:t>
      </w:r>
    </w:p>
    <w:p w14:paraId="732B6216" w14:textId="77777777" w:rsidR="00D840C0" w:rsidRPr="002668F5" w:rsidRDefault="00000000">
      <w:pPr>
        <w:spacing w:after="160" w:line="276" w:lineRule="auto"/>
        <w:ind w:left="720" w:hanging="720"/>
        <w:jc w:val="both"/>
      </w:pPr>
      <w:r w:rsidRPr="002668F5">
        <w:t>National Literacy Trust (2021) Glossary of GCSE Command Words. [online] Available at: https://literacytrust.org.uk/resources/glossary-gcse-command-words-aqa/ [Accessed 1 April 2026].</w:t>
      </w:r>
    </w:p>
    <w:p w14:paraId="625ECCA4" w14:textId="77777777" w:rsidR="00D840C0" w:rsidRPr="002668F5" w:rsidRDefault="00000000">
      <w:pPr>
        <w:spacing w:after="160" w:line="276" w:lineRule="auto"/>
        <w:ind w:left="720" w:hanging="720"/>
        <w:jc w:val="both"/>
      </w:pPr>
      <w:r w:rsidRPr="002668F5">
        <w:t>OCR (2020) GCSE Computer Science (J277): Specification. Cambridge: OCR. [online] Available at: https://www.ocr.org.uk/qualifications/gcse/computer-science-j277-from-2020/ [Accessed 1 April 2026].</w:t>
      </w:r>
    </w:p>
    <w:p w14:paraId="69DDAA15" w14:textId="77777777" w:rsidR="00D840C0" w:rsidRPr="002668F5" w:rsidRDefault="00000000">
      <w:pPr>
        <w:spacing w:after="160" w:line="276" w:lineRule="auto"/>
        <w:ind w:left="720" w:hanging="720"/>
        <w:jc w:val="both"/>
      </w:pPr>
      <w:r w:rsidRPr="002668F5">
        <w:t>OCR (2023) GCSE Computer Science (J277) Examiner Report 2023. Cambridge: OCR. [online] Available at: https://www.ocr.org.uk [Accessed 1 April 2026].</w:t>
      </w:r>
    </w:p>
    <w:p w14:paraId="77D2E727" w14:textId="4CF2B908" w:rsidR="00D840C0" w:rsidRPr="002668F5" w:rsidRDefault="00000000">
      <w:pPr>
        <w:spacing w:after="160" w:line="276" w:lineRule="auto"/>
        <w:ind w:left="720" w:hanging="720"/>
        <w:jc w:val="both"/>
      </w:pPr>
      <w:r w:rsidRPr="002668F5">
        <w:t>Ofsted (2021) School</w:t>
      </w:r>
      <w:r w:rsidR="006102ED">
        <w:t xml:space="preserve"> X</w:t>
      </w:r>
      <w:r w:rsidRPr="002668F5">
        <w:t xml:space="preserve"> Inspection Report. [online] Available at: https://reports.ofsted.gov.uk/provider/23/138355 [Accessed 1 April 2026].</w:t>
      </w:r>
    </w:p>
    <w:p w14:paraId="70FAC936" w14:textId="77777777" w:rsidR="00D840C0" w:rsidRPr="002668F5" w:rsidRDefault="00000000">
      <w:pPr>
        <w:spacing w:after="160" w:line="276" w:lineRule="auto"/>
        <w:ind w:left="720" w:hanging="720"/>
        <w:jc w:val="both"/>
      </w:pPr>
      <w:r w:rsidRPr="002668F5">
        <w:t xml:space="preserve">Perkins, D. and Salomon, G. (1992) 'Transfer of Learning', in Husen, T. and Postlethwaite, T.N. (eds.) International </w:t>
      </w:r>
      <w:proofErr w:type="spellStart"/>
      <w:r w:rsidRPr="002668F5">
        <w:t>Encyclopedia</w:t>
      </w:r>
      <w:proofErr w:type="spellEnd"/>
      <w:r w:rsidRPr="002668F5">
        <w:t xml:space="preserve"> of Education (2nd ed.). Oxford: Pergamon Press.</w:t>
      </w:r>
    </w:p>
    <w:p w14:paraId="60061B2B" w14:textId="77777777" w:rsidR="00D840C0" w:rsidRPr="002668F5" w:rsidRDefault="00000000">
      <w:pPr>
        <w:spacing w:after="160" w:line="276" w:lineRule="auto"/>
        <w:ind w:left="720" w:hanging="720"/>
        <w:jc w:val="both"/>
      </w:pPr>
      <w:r w:rsidRPr="002668F5">
        <w:t>Quigley, A. (2018) Closing the Vocabulary Gap. London: Routledge.</w:t>
      </w:r>
    </w:p>
    <w:p w14:paraId="654D38E1" w14:textId="53B82B14" w:rsidR="00D840C0" w:rsidRPr="002668F5" w:rsidRDefault="00000000">
      <w:pPr>
        <w:spacing w:after="160" w:line="276" w:lineRule="auto"/>
        <w:ind w:left="720" w:hanging="720"/>
        <w:jc w:val="both"/>
      </w:pPr>
      <w:r w:rsidRPr="002668F5">
        <w:t>Shanahan, T. and Shanahan, C. (2008) 'Teaching Disciplinary Literacy to Adolescents: Rethinking Content-Area Literacy', Harvard Educational Review, 78(1), pp. 40</w:t>
      </w:r>
      <w:r w:rsidR="00147A98">
        <w:t>-</w:t>
      </w:r>
      <w:r w:rsidRPr="002668F5">
        <w:t>59.</w:t>
      </w:r>
    </w:p>
    <w:p w14:paraId="5E8BFE08" w14:textId="77777777" w:rsidR="00D840C0" w:rsidRPr="002668F5" w:rsidRDefault="00000000">
      <w:pPr>
        <w:spacing w:after="160" w:line="276" w:lineRule="auto"/>
        <w:ind w:left="720" w:hanging="720"/>
        <w:jc w:val="both"/>
      </w:pPr>
      <w:r w:rsidRPr="002668F5">
        <w:t>Vygotsky, L.S. (1978) Mind in Society: The Development of Higher Psychological Processes. Cambridge, MA: Harvard University Press.</w:t>
      </w:r>
    </w:p>
    <w:p w14:paraId="3B9D6122" w14:textId="14F0D7FF" w:rsidR="00D840C0" w:rsidRDefault="00000000">
      <w:pPr>
        <w:spacing w:after="160" w:line="276" w:lineRule="auto"/>
        <w:ind w:left="720" w:hanging="720"/>
        <w:jc w:val="both"/>
      </w:pPr>
      <w:r w:rsidRPr="002668F5">
        <w:t xml:space="preserve">Wood, D., Bruner, J.S. and Ross, G. (1976) 'The Role of Tutoring in Problem Solving', Journal of Child Psychology </w:t>
      </w:r>
      <w:r w:rsidR="00140940">
        <w:rPr>
          <w:rStyle w:val="FootnoteReference"/>
        </w:rPr>
        <w:footnoteReference w:id="1"/>
      </w:r>
      <w:r w:rsidRPr="002668F5">
        <w:t>and Psychiatry, 17(2), pp. 89</w:t>
      </w:r>
      <w:r w:rsidR="00147A98">
        <w:t>-</w:t>
      </w:r>
      <w:r w:rsidRPr="002668F5">
        <w:t>100.</w:t>
      </w:r>
    </w:p>
    <w:sectPr w:rsidR="00D840C0">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38052" w14:textId="77777777" w:rsidR="003661A7" w:rsidRDefault="003661A7" w:rsidP="00140940">
      <w:r>
        <w:separator/>
      </w:r>
    </w:p>
  </w:endnote>
  <w:endnote w:type="continuationSeparator" w:id="0">
    <w:p w14:paraId="039073A8" w14:textId="77777777" w:rsidR="003661A7" w:rsidRDefault="003661A7" w:rsidP="00140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02124" w14:textId="77777777" w:rsidR="003661A7" w:rsidRDefault="003661A7" w:rsidP="00140940">
      <w:r>
        <w:separator/>
      </w:r>
    </w:p>
  </w:footnote>
  <w:footnote w:type="continuationSeparator" w:id="0">
    <w:p w14:paraId="26CA8571" w14:textId="77777777" w:rsidR="003661A7" w:rsidRDefault="003661A7" w:rsidP="00140940">
      <w:r>
        <w:continuationSeparator/>
      </w:r>
    </w:p>
  </w:footnote>
  <w:footnote w:id="1">
    <w:p w14:paraId="7A6DACD8" w14:textId="029E688D" w:rsidR="00140940" w:rsidRDefault="00140940">
      <w:pPr>
        <w:pStyle w:val="FootnoteText"/>
      </w:pPr>
      <w:r>
        <w:rPr>
          <w:rStyle w:val="FootnoteReference"/>
        </w:rPr>
        <w:footnoteRef/>
      </w:r>
      <w:r>
        <w:t xml:space="preserve"> </w:t>
      </w:r>
      <w:r w:rsidR="00465B1E">
        <w:t xml:space="preserve">School X is a pseudonym used to safeguard the institution's identity.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D64D6"/>
    <w:multiLevelType w:val="hybridMultilevel"/>
    <w:tmpl w:val="864ED02A"/>
    <w:lvl w:ilvl="0" w:tplc="842C2580">
      <w:start w:val="1"/>
      <w:numFmt w:val="bullet"/>
      <w:lvlText w:val="●"/>
      <w:lvlJc w:val="left"/>
      <w:pPr>
        <w:ind w:left="720" w:hanging="360"/>
      </w:pPr>
    </w:lvl>
    <w:lvl w:ilvl="1" w:tplc="EAA42000">
      <w:start w:val="1"/>
      <w:numFmt w:val="bullet"/>
      <w:lvlText w:val="○"/>
      <w:lvlJc w:val="left"/>
      <w:pPr>
        <w:ind w:left="1440" w:hanging="360"/>
      </w:pPr>
    </w:lvl>
    <w:lvl w:ilvl="2" w:tplc="FB5A36C6">
      <w:start w:val="1"/>
      <w:numFmt w:val="bullet"/>
      <w:lvlText w:val="■"/>
      <w:lvlJc w:val="left"/>
      <w:pPr>
        <w:ind w:left="2160" w:hanging="360"/>
      </w:pPr>
    </w:lvl>
    <w:lvl w:ilvl="3" w:tplc="B252733C">
      <w:start w:val="1"/>
      <w:numFmt w:val="bullet"/>
      <w:lvlText w:val="●"/>
      <w:lvlJc w:val="left"/>
      <w:pPr>
        <w:ind w:left="2880" w:hanging="360"/>
      </w:pPr>
    </w:lvl>
    <w:lvl w:ilvl="4" w:tplc="32FC3D20">
      <w:start w:val="1"/>
      <w:numFmt w:val="bullet"/>
      <w:lvlText w:val="○"/>
      <w:lvlJc w:val="left"/>
      <w:pPr>
        <w:ind w:left="3600" w:hanging="360"/>
      </w:pPr>
    </w:lvl>
    <w:lvl w:ilvl="5" w:tplc="6D6AFF9E">
      <w:start w:val="1"/>
      <w:numFmt w:val="bullet"/>
      <w:lvlText w:val="■"/>
      <w:lvlJc w:val="left"/>
      <w:pPr>
        <w:ind w:left="4320" w:hanging="360"/>
      </w:pPr>
    </w:lvl>
    <w:lvl w:ilvl="6" w:tplc="E74E4446">
      <w:start w:val="1"/>
      <w:numFmt w:val="bullet"/>
      <w:lvlText w:val="●"/>
      <w:lvlJc w:val="left"/>
      <w:pPr>
        <w:ind w:left="5040" w:hanging="360"/>
      </w:pPr>
    </w:lvl>
    <w:lvl w:ilvl="7" w:tplc="8BBAEC68">
      <w:start w:val="1"/>
      <w:numFmt w:val="bullet"/>
      <w:lvlText w:val="●"/>
      <w:lvlJc w:val="left"/>
      <w:pPr>
        <w:ind w:left="5760" w:hanging="360"/>
      </w:pPr>
    </w:lvl>
    <w:lvl w:ilvl="8" w:tplc="EFAAE0E4">
      <w:start w:val="1"/>
      <w:numFmt w:val="bullet"/>
      <w:lvlText w:val="●"/>
      <w:lvlJc w:val="left"/>
      <w:pPr>
        <w:ind w:left="6480" w:hanging="360"/>
      </w:pPr>
    </w:lvl>
  </w:abstractNum>
  <w:num w:numId="1" w16cid:durableId="437019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0C0"/>
    <w:rsid w:val="000A349C"/>
    <w:rsid w:val="0010369C"/>
    <w:rsid w:val="001163E6"/>
    <w:rsid w:val="00121522"/>
    <w:rsid w:val="00140940"/>
    <w:rsid w:val="00147A98"/>
    <w:rsid w:val="001A7AF4"/>
    <w:rsid w:val="002668F5"/>
    <w:rsid w:val="002947F8"/>
    <w:rsid w:val="002A6663"/>
    <w:rsid w:val="002B0EDF"/>
    <w:rsid w:val="002F273B"/>
    <w:rsid w:val="00303715"/>
    <w:rsid w:val="00327323"/>
    <w:rsid w:val="00336199"/>
    <w:rsid w:val="003661A7"/>
    <w:rsid w:val="003B1478"/>
    <w:rsid w:val="00433B84"/>
    <w:rsid w:val="00435C89"/>
    <w:rsid w:val="00465B1E"/>
    <w:rsid w:val="00487000"/>
    <w:rsid w:val="004900E9"/>
    <w:rsid w:val="004A141D"/>
    <w:rsid w:val="005A0BA2"/>
    <w:rsid w:val="00605A2B"/>
    <w:rsid w:val="006102ED"/>
    <w:rsid w:val="006B2B43"/>
    <w:rsid w:val="006B574B"/>
    <w:rsid w:val="006D7B71"/>
    <w:rsid w:val="006F48A1"/>
    <w:rsid w:val="00787176"/>
    <w:rsid w:val="00823526"/>
    <w:rsid w:val="008263CE"/>
    <w:rsid w:val="0084123D"/>
    <w:rsid w:val="00871F3C"/>
    <w:rsid w:val="008812C1"/>
    <w:rsid w:val="00881680"/>
    <w:rsid w:val="00907D9D"/>
    <w:rsid w:val="00945545"/>
    <w:rsid w:val="00A04786"/>
    <w:rsid w:val="00AE579B"/>
    <w:rsid w:val="00B55C64"/>
    <w:rsid w:val="00B920F2"/>
    <w:rsid w:val="00D840C0"/>
    <w:rsid w:val="00DD0A5A"/>
    <w:rsid w:val="00DE4225"/>
    <w:rsid w:val="00EB6994"/>
    <w:rsid w:val="00ED0C4D"/>
    <w:rsid w:val="00EF112D"/>
    <w:rsid w:val="00F6683B"/>
    <w:rsid w:val="00FA2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13C7B"/>
  <w15:docId w15:val="{AFB01C5C-3B50-4EAA-AE54-A8B0E603D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uiPriority w:val="9"/>
    <w:qFormat/>
    <w:pPr>
      <w:spacing w:before="400" w:after="200"/>
      <w:outlineLvl w:val="0"/>
    </w:pPr>
    <w:rPr>
      <w:b/>
      <w:bCs/>
      <w:color w:val="000000"/>
      <w:sz w:val="28"/>
      <w:szCs w:val="28"/>
    </w:rPr>
  </w:style>
  <w:style w:type="paragraph" w:styleId="Heading2">
    <w:name w:val="heading 2"/>
    <w:uiPriority w:val="9"/>
    <w:unhideWhenUsed/>
    <w:qFormat/>
    <w:pPr>
      <w:spacing w:before="320" w:after="16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871F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31EC32-0F03-4D83-8D1B-BFFFE24B8560}">
  <we:reference id="wa200000368" version="1.0.0.0" store="en-US" storeType="OMEX"/>
  <we:alternateReferences>
    <we:reference id="wa200000368" version="1.0.0.0" store="WA200000368" storeType="OMEX"/>
  </we:alternateReferences>
  <we:properties>
    <we:property name="documentId" value="&quot;e771174463bdb72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4053</TotalTime>
  <Pages>9</Pages>
  <Words>3764</Words>
  <Characters>21459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Havilah Oriazowan</cp:lastModifiedBy>
  <cp:revision>3</cp:revision>
  <dcterms:created xsi:type="dcterms:W3CDTF">2026-04-01T12:31:00Z</dcterms:created>
  <dcterms:modified xsi:type="dcterms:W3CDTF">2026-04-10T07:25:00Z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c899795d-eff1-4658-9e7a-1c4beaf8d0f8</vt:lpwstr>
  </property>
</Properties>
</file>