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WorldLand Knowledge Wiki Agent Final Report</w:t>
      </w:r>
    </w:p>
    <w:p>
      <w:r>
        <w:t xml:space="preserve">Team: Research Wiki Agent</w:t>
      </w:r>
    </w:p>
    <w:p>
      <w:r>
        <w:t xml:space="preserve">Member: Cheon Seungyeon</w:t>
      </w:r>
    </w:p>
    <w:p>
      <w:r>
        <w:t xml:space="preserve">Primary Project Type: Research/Study Copilot</w:t>
      </w:r>
    </w:p>
    <w:p>
      <w:r>
        <w:t xml:space="preserve">Course: GIST Generative AI &amp; Blockchain 2026</w:t>
      </w:r>
    </w:p>
    <w:p>
      <w:pPr>
        <w:pStyle w:val="Heading1"/>
      </w:pPr>
      <w:r>
        <w:t xml:space="preserve">1. Project Overview</w:t>
      </w:r>
    </w:p>
    <w:p>
      <w:r>
        <w:t xml:space="preserve">WorldLand Knowledge Wiki Agent is a research productivity agent that processes academic paper PDFs, generates structured research wiki pages, evaluates whether generated claims are grounded in source evidence, and records audit logs with a blockchain-style trust layer.</w:t>
      </w:r>
    </w:p>
    <w:p>
      <w:r>
        <w:t xml:space="preserve">The project is designed as more than a chatbot. It implements a repeatable workflow: source ingestion, wiki page generation, claim evaluation, PASS/FAIL publication gating, mock certificate logging, and mock reward logging.</w:t>
      </w:r>
    </w:p>
    <w:p>
      <w:r>
        <w:t xml:space="preserve">The submitted GitHub repository follows the required course structure: README.md, code/, slides/, paper/, usage-log/, and demo-video/. The runnable implementation is placed under code/.</w:t>
      </w:r>
    </w:p>
    <w:p>
      <w:pPr>
        <w:pStyle w:val="Heading1"/>
      </w:pPr>
      <w:r>
        <w:t xml:space="preserve">2. Problem Statement and Target User</w:t>
      </w:r>
    </w:p>
    <w:p>
      <w:r>
        <w:t xml:space="preserve">Researchers and AI students often collect papers faster than they can read, organize, connect, and verify them. A folder of PDFs is difficult to search and does not preserve why a claim is trustworthy.</w:t>
      </w:r>
    </w:p>
    <w:p>
      <w:r>
        <w:t xml:space="preserve">The target user is an AI researcher who wants a private, reproducible study workflow for converting paper PDFs into linked notes, source-backed summaries, and auditable research logs.</w:t>
      </w:r>
    </w:p>
    <w:p>
      <w:r>
        <w:t xml:space="preserve">The project addresses this problem by turning paper reading into a tool-using workflow with explicit evidence, local-first execution, and a publication gate that prevents unsupported generated content from being treated as certified knowledge.</w:t>
      </w:r>
    </w:p>
    <w:p>
      <w:pPr>
        <w:pStyle w:val="Heading1"/>
      </w:pPr>
      <w:r>
        <w:t xml:space="preserve">3. Final Repository Structure</w:t>
      </w:r>
    </w:p>
    <w:p>
      <w:r>
        <w:t xml:space="preserve">README.md provides the submission summary, execution instructions, cost estimate, privacy/security summary, and final deliverable links.</w:t>
      </w:r>
    </w:p>
    <w:p>
      <w:r>
        <w:t xml:space="preserve">code/ contains the runnable implementation. The src/ directory contains the core pipeline and agents, demo/ contains command-line demos and utility scripts, contracts/ contains the certificate registry smart contract, and mcp_servers/ contains an optional MCP-style research vault server.</w:t>
      </w:r>
    </w:p>
    <w:p>
      <w:r>
        <w:t xml:space="preserve">usage-log/ contains USAGE_LOG.md plus supporting logs such as RUN_LOG.jsonl, EVALUATION_LOG.md, CERTIFICATE_LOG.md, and PAYMENT_LOG.md.</w:t>
      </w:r>
    </w:p>
    <w:p>
      <w:r>
        <w:t xml:space="preserve">slides/ is the placeholder folder for the final presentation material.</w:t>
      </w:r>
    </w:p>
    <w:p>
      <w:r>
        <w:t xml:space="preserve">paper/ contains this final Word report.</w:t>
      </w:r>
    </w:p>
    <w:p>
      <w:r>
        <w:t xml:space="preserve">demo-video/ contains the placeholder for the final demo video link.</w:t>
      </w:r>
    </w:p>
    <w:p>
      <w:pPr>
        <w:pStyle w:val="Heading1"/>
      </w:pPr>
      <w:r>
        <w:t xml:space="preserve">4. System Architecture</w:t>
      </w:r>
    </w:p>
    <w:p>
      <w:r>
        <w:t xml:space="preserve">PipelineRunner orchestrates the main workflow. It loads source files, chunks them, sends chunks to WikiCuratorAgent, evaluates the generated pages with EvalAgent, and records certificate and payment decisions.</w:t>
      </w:r>
    </w:p>
    <w:p>
      <w:r>
        <w:t xml:space="preserve">WikiCuratorAgent creates Obsidian-style Markdown pages from source chunks. Each page contains a summary, key claims, source evidence, cross-link candidates, and verification status.</w:t>
      </w:r>
    </w:p>
    <w:p>
      <w:r>
        <w:t xml:space="preserve">EvalAgent evaluates generated claims against source text and decides whether a page passes the configured threshold. PASS pages are eligible for mock certification, while FAIL pages remain local-only.</w:t>
      </w:r>
    </w:p>
    <w:p>
      <w:r>
        <w:t xml:space="preserve">PayAgent records mock rewards for accepted evaluation findings rather than blindly rewarding all generated pages.</w:t>
      </w:r>
    </w:p>
    <w:p>
      <w:r>
        <w:t xml:space="preserve">The mock blockchain layer records certificate-like evidence for pages that pass the publication gate. This makes the trust layer auditable without claiming any real WorldLand transaction.</w:t>
      </w:r>
    </w:p>
    <w:p>
      <w:pPr>
        <w:pStyle w:val="Heading1"/>
      </w:pPr>
      <w:r>
        <w:t xml:space="preserve">5. How the Model Pipeline Is Used</w:t>
      </w:r>
    </w:p>
    <w:p>
      <w:r>
        <w:t xml:space="preserve">The project does not train or use a separate MLP, meaning a custom Multi-Layer Perceptron neural network is not part of the final implementation. If the term MLP was used informally, the accurate description is that the project uses an LLM and embedding pipeline.</w:t>
      </w:r>
    </w:p>
    <w:p>
      <w:r>
        <w:t xml:space="preserve">LLMClient supports mock, Ollama, and OpenAI-style providers. The default safe submission path uses mock/local execution, while Ollama can be used locally when available. OpenAI is optional and requires an API key.</w:t>
      </w:r>
    </w:p>
    <w:p>
      <w:r>
        <w:t xml:space="preserve">In the curation stage, the LLM is used to transform source text into a structured wiki page with summary, key claims, source evidence, cross-link candidates, and verification status.</w:t>
      </w:r>
    </w:p>
    <w:p>
      <w:r>
        <w:t xml:space="preserve">In the evaluation stage, the LLM can evaluate whether each claim is SUPPORTED, PARTIAL, or UNSUPPORTED by the original source text. If the LLM is unavailable or the mock provider is selected, the system falls back to deterministic lexical evidence matching.</w:t>
      </w:r>
    </w:p>
    <w:p>
      <w:r>
        <w:t xml:space="preserve">The embedding module uses sentence-transformers with the paraphrase-multilingual-MiniLM-L12-v2 model when available. If that package is unavailable, it falls back to TF-IDF. Embeddings are used for similarity-based search, retrieval, and cross-linking, not for the PASS/FAIL threshold itself.</w:t>
      </w:r>
    </w:p>
    <w:p>
      <w:r>
        <w:t xml:space="preserve">Therefore, the final model pipeline is best described as LLM-assisted generation and evaluation plus embedding-based similarity search, rather than a separately trained MLP classifier.</w:t>
      </w:r>
    </w:p>
    <w:p>
      <w:pPr>
        <w:pStyle w:val="Heading1"/>
      </w:pPr>
      <w:r>
        <w:t xml:space="preserve">6. Claim Evaluation and Publication Gate</w:t>
      </w:r>
    </w:p>
    <w:p>
      <w:r>
        <w:t xml:space="preserve">EvalAgent converts claim-level verdicts into a basis-point score. SUPPORTED receives full credit, PARTIAL receives half credit, and UNSUPPORTED receives no credit.</w:t>
      </w:r>
    </w:p>
    <w:p>
      <w:r>
        <w:t xml:space="preserve">The demo threshold is 7800 basis points. A page passes only if its score is greater than or equal to the threshold and it has no critical unsupported claim.</w:t>
      </w:r>
    </w:p>
    <w:p>
      <w:r>
        <w:t xml:space="preserve">Failed pages are local-only. They do not trigger blockchain calls, do not receive mock certificate transactions, and are recorded with SKIP_CHAIN. This design prevents hallucinated or unsupported content from being presented as certified knowledge.</w:t>
      </w:r>
    </w:p>
    <w:p>
      <w:pPr>
        <w:pStyle w:val="Heading1"/>
      </w:pPr>
      <w:r>
        <w:t xml:space="preserve">7. Blockchain Trust Layer</w:t>
      </w:r>
    </w:p>
    <w:p>
      <w:r>
        <w:t xml:space="preserve">The blockchain component is a publication certificate registry concept. It is not used as a storage layer for every draft. Instead, it represents a trust rail for pages that pass evaluation.</w:t>
      </w:r>
    </w:p>
    <w:p>
      <w:r>
        <w:t xml:space="preserve">The submitted demo uses mock blockchain and mock payment behavior. It does not claim real WorldLand transactions, real WLC payments, or real gas usage.</w:t>
      </w:r>
    </w:p>
    <w:p>
      <w:r>
        <w:t xml:space="preserve">The Solidity contract PageCertificateRegistry demonstrates the certificate-only registry design. Python mock-chain components make the same concept testable without requiring funded wallets or real network operations.</w:t>
      </w:r>
    </w:p>
    <w:p>
      <w:pPr>
        <w:pStyle w:val="Heading1"/>
      </w:pPr>
      <w:r>
        <w:t xml:space="preserve">8. Usage Log and Evidence</w:t>
      </w:r>
    </w:p>
    <w:p>
      <w:r>
        <w:t xml:space="preserve">The usage-log folder records real development and demo activity. USAGE_LOG.md summarizes usage, while RUN_LOG.jsonl records structured run-level data such as source_files, chunks, pages, pass/fail counts, and provider information.</w:t>
      </w:r>
    </w:p>
    <w:p>
      <w:r>
        <w:t xml:space="preserve">EVALUATION_LOG.md records the final evaluation evidence, including PASS pages and a FAIL_LOCAL_ONLY fixture. This makes it clear that the demo visibly includes both successful and failed evaluation outcomes.</w:t>
      </w:r>
    </w:p>
    <w:p>
      <w:r>
        <w:t xml:space="preserve">The logs also disclose fallback behavior honestly. For example, if a local LLM is unavailable or times out, the deterministic fallback path is recorded instead of hidden.</w:t>
      </w:r>
    </w:p>
    <w:p>
      <w:pPr>
        <w:pStyle w:val="Heading1"/>
      </w:pPr>
      <w:r>
        <w:t xml:space="preserve">9. Cost Estimate and Local/Cloud Stack</w:t>
      </w:r>
    </w:p>
    <w:p>
      <w:r>
        <w:t xml:space="preserve">The default submitted workflow can run in mock/local mode with no paid API cost. Ollama local inference can be used without per-token cloud charges if the model is installed on the user machine.</w:t>
      </w:r>
    </w:p>
    <w:p>
      <w:r>
        <w:t xml:space="preserve">OpenAI support is implemented as an optional provider and requires an environment variable. It is not required for the default submission path.</w:t>
      </w:r>
    </w:p>
    <w:p>
      <w:r>
        <w:t xml:space="preserve">The blockchain and payment layers are mock-only in the submitted project. Therefore, the submitted workflow has no real gas cost and sends no real WLC payment.</w:t>
      </w:r>
    </w:p>
    <w:p>
      <w:pPr>
        <w:pStyle w:val="Heading1"/>
      </w:pPr>
      <w:r>
        <w:t xml:space="preserve">10. Privacy and Security Summary</w:t>
      </w:r>
    </w:p>
    <w:p>
      <w:r>
        <w:t xml:space="preserve">The system is local-first by default. Source documents and generated notes can be processed locally, and the mock execution path avoids sending private paper content to external APIs.</w:t>
      </w:r>
    </w:p>
    <w:p>
      <w:r>
        <w:t xml:space="preserve">.env files, private keys, PEM files, wallet files, and other sensitive local files are ignored by git. The project does not print private keys.</w:t>
      </w:r>
    </w:p>
    <w:p>
      <w:r>
        <w:t xml:space="preserve">Real payment or public-chain publication would require explicit user approval and is outside the default safe demo path.</w:t>
      </w:r>
    </w:p>
    <w:p>
      <w:pPr>
        <w:pStyle w:val="Heading1"/>
      </w:pPr>
      <w:r>
        <w:t xml:space="preserve">11. Differentiation vs Big-Tech Assistants</w:t>
      </w:r>
    </w:p>
    <w:p>
      <w:r>
        <w:t xml:space="preserve">Large general-purpose assistants are strong at chat and summarization, but they often do not provide a project-specific audit trail, repository structure, PASS/FAIL publication gate, and certificate decision log.</w:t>
      </w:r>
    </w:p>
    <w:p>
      <w:r>
        <w:t xml:space="preserve">This project focuses on a narrow research workflow where source evidence, evaluation decisions, and logs remain visible. That makes it easier to review what the agent did and why a page was or was not certified.</w:t>
      </w:r>
    </w:p>
    <w:p>
      <w:r>
        <w:t xml:space="preserve">The local-first and mock-chain design also makes the project cheaper and safer for classroom demonstration while still showing the role of blockchain-style trust rails.</w:t>
      </w:r>
    </w:p>
    <w:p>
      <w:pPr>
        <w:pStyle w:val="Heading1"/>
      </w:pPr>
      <w:r>
        <w:t xml:space="preserve">12. Limitations and Future Work</w:t>
      </w:r>
    </w:p>
    <w:p>
      <w:r>
        <w:t xml:space="preserve">The current submission repository is intentionally lightweight. Large PDF files and generated vault artifacts are not committed, but the code can regenerate outputs when source PDFs are provided.</w:t>
      </w:r>
    </w:p>
    <w:p>
      <w:r>
        <w:t xml:space="preserve">The project does not claim real WorldLand transaction hashes or real WLC payments. Real chain integration would require a funded wallet, RPC configuration, gas policy, retry handling, and explicit approval before sending any transaction.</w:t>
      </w:r>
    </w:p>
    <w:p>
      <w:r>
        <w:t xml:space="preserve">Future improvements could include a cleaner Notion export path, richer Obsidian packaging, a full browser demo, and a real public-chain test after wallet funding and approval controls are added.</w:t>
      </w:r>
    </w:p>
    <w:p>
      <w:pPr>
        <w:pStyle w:val="Heading1"/>
      </w:pPr>
      <w:r>
        <w:t xml:space="preserve">13. Conclusion</w:t>
      </w:r>
    </w:p>
    <w:p>
      <w:r>
        <w:t xml:space="preserve">WorldLand Knowledge Wiki Agent demonstrates a research/study copilot that combines document ingestion, LLM-assisted curation, claim evaluation, audit logging, and a blockchain-style publication certificate concept.</w:t>
      </w:r>
    </w:p>
    <w:p>
      <w:r>
        <w:t xml:space="preserve">The final repository follows the required course structure. The code folder contains the runnable implementation, the usage-log folder contains audit evidence, and the paper folder contains this final report.</w:t>
      </w:r>
    </w:p>
    <w:p>
      <w:r>
        <w:t xml:space="preserve">The most important safety property is that the project clearly distinguishes mock evidence from real blockchain activity: mock certificate and payment logs are used for demonstration, while real WorldLand transactions and WLC payments are not claimed.</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styleId="Normal">
    <w:name w:val="Normal"/>
    <w:qFormat/>
    <w:rPr>
      <w:sz w:val="22"/>
    </w:rPr>
  </w:style>
  <w:style w:type="paragraph" w:styleId="Title">
    <w:name w:val="Title"/>
    <w:basedOn w:val="Normal"/>
    <w:next w:val="Normal"/>
    <w:qFormat/>
    <w:rPr>
      <w:b/>
      <w:sz w:val="36"/>
    </w:rPr>
  </w:style>
  <w:style w:type="paragraph" w:styleId="Heading1">
    <w:name w:val="heading 1"/>
    <w:basedOn w:val="Normal"/>
    <w:next w:val="Normal"/>
    <w:qFormat/>
    <w:pPr>
      <w:spacing w:before="360" w:after="120"/>
    </w:pPr>
    <w:rPr>
      <w:b/>
      <w:sz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