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A71" w:rsidRPr="00295828" w:rsidRDefault="00CC6C4B" w:rsidP="00983F29">
      <w:pPr>
        <w:spacing w:line="480" w:lineRule="auto"/>
        <w:rPr>
          <w:i/>
        </w:rPr>
      </w:pPr>
      <w:r>
        <w:t xml:space="preserve">Supplementary Information: </w:t>
      </w:r>
      <w:r w:rsidRPr="00CC6C4B">
        <w:t>Hawaiian</w:t>
      </w:r>
      <w:r>
        <w:rPr>
          <w:i/>
        </w:rPr>
        <w:t xml:space="preserve"> </w:t>
      </w:r>
      <w:proofErr w:type="spellStart"/>
      <w:r w:rsidR="00B77A71" w:rsidRPr="001A5588">
        <w:rPr>
          <w:i/>
        </w:rPr>
        <w:t>Tetragnatha</w:t>
      </w:r>
      <w:proofErr w:type="spellEnd"/>
      <w:r w:rsidR="00B77A71" w:rsidRPr="001A5588">
        <w:rPr>
          <w:i/>
        </w:rPr>
        <w:t xml:space="preserve"> </w:t>
      </w:r>
      <w:proofErr w:type="spellStart"/>
      <w:r w:rsidR="00B77A71" w:rsidRPr="001A5588">
        <w:rPr>
          <w:i/>
        </w:rPr>
        <w:t>P</w:t>
      </w:r>
      <w:r w:rsidR="00B77A71">
        <w:rPr>
          <w:i/>
        </w:rPr>
        <w:t>hylogenetics</w:t>
      </w:r>
      <w:proofErr w:type="spellEnd"/>
      <w:r w:rsidR="00B77A71">
        <w:rPr>
          <w:i/>
        </w:rPr>
        <w:t xml:space="preserve"> and </w:t>
      </w:r>
      <w:r w:rsidR="00B77A71" w:rsidRPr="00295828">
        <w:rPr>
          <w:i/>
        </w:rPr>
        <w:t>Divergence Time Estimation</w:t>
      </w:r>
      <w:r w:rsidR="00B77A71">
        <w:rPr>
          <w:i/>
        </w:rPr>
        <w:t xml:space="preserve"> Methods</w:t>
      </w:r>
      <w:r w:rsidR="00B77A71" w:rsidRPr="00295828">
        <w:rPr>
          <w:i/>
        </w:rPr>
        <w:t>:</w:t>
      </w:r>
    </w:p>
    <w:p w:rsidR="00B77A71" w:rsidRPr="00C53BB7" w:rsidRDefault="00B77A71" w:rsidP="00983F29">
      <w:pPr>
        <w:spacing w:line="480" w:lineRule="auto"/>
        <w:ind w:firstLine="720"/>
      </w:pPr>
      <w:r>
        <w:t xml:space="preserve">Sequence data for two mitochondrial gene regions, </w:t>
      </w:r>
      <w:proofErr w:type="spellStart"/>
      <w:r>
        <w:rPr>
          <w:i/>
        </w:rPr>
        <w:t>Cytochrome</w:t>
      </w:r>
      <w:proofErr w:type="spellEnd"/>
      <w:r>
        <w:rPr>
          <w:i/>
        </w:rPr>
        <w:t xml:space="preserve"> </w:t>
      </w:r>
      <w:proofErr w:type="spellStart"/>
      <w:r>
        <w:rPr>
          <w:i/>
        </w:rPr>
        <w:t>Oxidase</w:t>
      </w:r>
      <w:proofErr w:type="spellEnd"/>
      <w:r>
        <w:rPr>
          <w:i/>
        </w:rPr>
        <w:t xml:space="preserve"> </w:t>
      </w:r>
      <w:r w:rsidR="001A5588">
        <w:rPr>
          <w:i/>
        </w:rPr>
        <w:t>1</w:t>
      </w:r>
      <w:r>
        <w:t xml:space="preserve"> (COI) and the large ribosomal subunit (16S), from Hawaiian </w:t>
      </w:r>
      <w:proofErr w:type="spellStart"/>
      <w:r>
        <w:rPr>
          <w:i/>
        </w:rPr>
        <w:t>Tetragnatha</w:t>
      </w:r>
      <w:proofErr w:type="spellEnd"/>
      <w:r>
        <w:rPr>
          <w:i/>
        </w:rPr>
        <w:t xml:space="preserve"> </w:t>
      </w:r>
      <w:r>
        <w:t xml:space="preserve">spiders were obtained from existing databases and </w:t>
      </w:r>
      <w:r>
        <w:rPr>
          <w:i/>
        </w:rPr>
        <w:t xml:space="preserve">de novo </w:t>
      </w:r>
      <w:r>
        <w:t>sequencing (</w:t>
      </w:r>
      <w:r w:rsidRPr="001830A2">
        <w:rPr>
          <w:highlight w:val="yellow"/>
        </w:rPr>
        <w:t>ask Rosie about the specimens</w:t>
      </w:r>
      <w:r>
        <w:t xml:space="preserve">). </w:t>
      </w:r>
      <w:r w:rsidR="00983F29">
        <w:t xml:space="preserve"> Sequences were generated following protocols described in </w:t>
      </w:r>
      <w:r w:rsidR="00983F29" w:rsidRPr="00983F29">
        <w:rPr>
          <w:highlight w:val="yellow"/>
        </w:rPr>
        <w:t>XXX (date</w:t>
      </w:r>
      <w:r w:rsidR="00983F29">
        <w:rPr>
          <w:highlight w:val="yellow"/>
        </w:rPr>
        <w:t>: Michael, Rosie complete this</w:t>
      </w:r>
      <w:r w:rsidR="00983F29" w:rsidRPr="00983F29">
        <w:rPr>
          <w:highlight w:val="yellow"/>
        </w:rPr>
        <w:t>)</w:t>
      </w:r>
      <w:r w:rsidR="00983F29">
        <w:t xml:space="preserve">. </w:t>
      </w:r>
      <w:r w:rsidRPr="00295828">
        <w:t>Divergence time estimation</w:t>
      </w:r>
      <w:r>
        <w:t>s</w:t>
      </w:r>
      <w:r w:rsidRPr="00295828">
        <w:t xml:space="preserve"> </w:t>
      </w:r>
      <w:r>
        <w:t>and topology inferences were</w:t>
      </w:r>
      <w:r w:rsidRPr="00295828">
        <w:t xml:space="preserve"> performed using a Bayesian relaxed-clock method implemented in </w:t>
      </w:r>
      <w:r>
        <w:t xml:space="preserve">the </w:t>
      </w:r>
      <w:r w:rsidRPr="00295828">
        <w:t xml:space="preserve">BEAST </w:t>
      </w:r>
      <w:r w:rsidR="00837162">
        <w:t>v</w:t>
      </w:r>
      <w:r w:rsidRPr="00295828">
        <w:t xml:space="preserve">1.7.5 </w:t>
      </w:r>
      <w:r w:rsidR="008D4934">
        <w:fldChar w:fldCharType="begin"/>
      </w:r>
      <w:r w:rsidR="008A2B0F">
        <w:instrText xml:space="preserve"> ADDIN PAPERS2_CITATIONS &lt;citation&gt;&lt;uuid&gt;C07CFC23-A024-4FD7-8103-EC95CC0B4D29&lt;/uuid&gt;&lt;priority&gt;0&lt;/priority&gt;&lt;publications&gt;&lt;publication&gt;&lt;location&gt;602,0,0,0&lt;/location&gt;&lt;volume&gt;7&lt;/volume&gt;&lt;doi&gt;10.1186/1471-2148-7-214&lt;/doi&gt;&lt;institution&gt;Univ Auckland, Bioinformat Inst, Auckland 1, New Zealand&lt;/institution&gt;&lt;startpage&gt;214&lt;/startpage&gt;&lt;title&gt;BEAST: Bayesian evolutionary analysis by sampling trees&lt;/title&gt;&lt;uuid&gt;6D4FA24F-16CD-4DDD-8FDE-AEFDBAD35E16&lt;/uuid&gt;&lt;subtype&gt;400&lt;/subtype&gt;&lt;type&gt;400&lt;/type&gt;&lt;publication_date&gt;99200701011200000000222000&lt;/publication_date&gt;&lt;bundle&gt;&lt;publication&gt;&lt;publisher&gt;BioMed Central Ltd&lt;/publisher&gt;&lt;title&gt;Bmc Evolutionary Biology&lt;/title&gt;&lt;type&gt;-100&lt;/type&gt;&lt;subtype&gt;-100&lt;/subtype&gt;&lt;uuid&gt;BF3523F5-7FE4-4B26-B150-8CE69FE00B69&lt;/uuid&gt;&lt;/publication&gt;&lt;/bundle&gt;&lt;authors&gt;&lt;author&gt;&lt;firstName&gt;Alexei&lt;/firstName&gt;&lt;middleNames&gt;J&lt;/middleNames&gt;&lt;lastName&gt;Drummond&lt;/lastName&gt;&lt;/author&gt;&lt;author&gt;&lt;firstName&gt;Andrew&lt;/firstName&gt;&lt;lastName&gt;Rambaut&lt;/lastName&gt;&lt;/author&gt;&lt;/authors&gt;&lt;/publication&gt;&lt;/publications&gt;&lt;cites&gt;&lt;/cites&gt;&lt;/citation&gt;</w:instrText>
      </w:r>
      <w:r w:rsidR="008D4934">
        <w:fldChar w:fldCharType="separate"/>
      </w:r>
      <w:r w:rsidR="008A2B0F">
        <w:rPr>
          <w:rFonts w:ascii="Cambria" w:eastAsiaTheme="minorEastAsia" w:hAnsi="Cambria" w:cs="Cambria"/>
        </w:rPr>
        <w:t>(Drummond &amp; Rambaut 2007)</w:t>
      </w:r>
      <w:r w:rsidR="008D4934">
        <w:fldChar w:fldCharType="end"/>
      </w:r>
      <w:r w:rsidR="00837162">
        <w:t>.  The times</w:t>
      </w:r>
      <w:r>
        <w:t xml:space="preserve"> to most recent common ancestors (TMCA) were estimated for all terminals using a fixed Hawaiian </w:t>
      </w:r>
      <w:proofErr w:type="spellStart"/>
      <w:r w:rsidRPr="00837162">
        <w:rPr>
          <w:i/>
        </w:rPr>
        <w:t>Tetragnatha</w:t>
      </w:r>
      <w:proofErr w:type="spellEnd"/>
      <w:r>
        <w:t xml:space="preserve"> COI specific rate of molecular evol</w:t>
      </w:r>
      <w:r w:rsidR="008A2B0F">
        <w:t>ution: 3.55% per million years</w:t>
      </w:r>
      <w:r w:rsidR="00837162">
        <w:t xml:space="preserve">. This was calculated by averaging COI rates from </w:t>
      </w:r>
      <w:proofErr w:type="spellStart"/>
      <w:r w:rsidR="00837162" w:rsidRPr="00837162">
        <w:rPr>
          <w:i/>
        </w:rPr>
        <w:t>Tetragnatha</w:t>
      </w:r>
      <w:proofErr w:type="spellEnd"/>
      <w:r w:rsidR="00837162" w:rsidRPr="00837162">
        <w:rPr>
          <w:i/>
        </w:rPr>
        <w:t xml:space="preserve"> </w:t>
      </w:r>
      <w:proofErr w:type="spellStart"/>
      <w:proofErr w:type="gramStart"/>
      <w:r w:rsidR="00837162" w:rsidRPr="00837162">
        <w:rPr>
          <w:i/>
        </w:rPr>
        <w:t>quasimodo</w:t>
      </w:r>
      <w:proofErr w:type="spellEnd"/>
      <w:proofErr w:type="gramEnd"/>
      <w:r w:rsidR="00837162">
        <w:t xml:space="preserve"> and </w:t>
      </w:r>
      <w:proofErr w:type="spellStart"/>
      <w:r w:rsidR="00837162" w:rsidRPr="00837162">
        <w:rPr>
          <w:i/>
        </w:rPr>
        <w:t>Tetragnatha</w:t>
      </w:r>
      <w:proofErr w:type="spellEnd"/>
      <w:r w:rsidR="00837162" w:rsidRPr="00837162">
        <w:rPr>
          <w:i/>
        </w:rPr>
        <w:t xml:space="preserve"> </w:t>
      </w:r>
      <w:proofErr w:type="spellStart"/>
      <w:r w:rsidR="00837162" w:rsidRPr="00837162">
        <w:rPr>
          <w:i/>
        </w:rPr>
        <w:t>restricta</w:t>
      </w:r>
      <w:proofErr w:type="spellEnd"/>
      <w:r w:rsidR="00837162">
        <w:t xml:space="preserve">, each of which are situated with reciprocally monophyletic populations on Maui and Hawaii. To generate the most conservative rate possible, the date of the earliest emergence of the island of Hawaii was used, 0.9 million years </w:t>
      </w:r>
      <w:r w:rsidR="008D4934">
        <w:fldChar w:fldCharType="begin"/>
      </w:r>
      <w:r w:rsidR="008A2B0F">
        <w:instrText xml:space="preserve"> ADDIN PAPERS2_CITATIONS &lt;citation&gt;&lt;uuid&gt;F340C449-008B-4A08-82A5-70485E86E89A&lt;/uuid&gt;&lt;priority&gt;0&lt;/priority&gt;&lt;publications&gt;&lt;publication&gt;&lt;uuid&gt;66BD779B-8615-4E7D-BB41-09AFE1E1C4B2&lt;/uuid&gt;&lt;volume&gt;66&lt;/volume&gt;&lt;doi&gt;10.1111/j.1558-5646.2012.01643.x&lt;/doi&gt;&lt;subtitle&gt;DIVERGENCE DECOUPLED FROM DIVERSIFICATION&lt;/subtitle&gt;&lt;startpage&gt;2798&lt;/startpage&gt;&lt;publication_date&gt;99201205141200000000222000&lt;/publication_date&gt;&lt;url&gt;http://doi.wiley.com/10.1111/j.1558-5646.2012.01643.x&lt;/url&gt;&lt;type&gt;400&lt;/type&gt;&lt;title&gt;GENETIC DIVERGENCE IS DECOUPLED FROM ECOLOGICAL DIVERSIFICATION IN THE HAWAIIAN NESOSYDNE PLANTHOPPERS&lt;/title&gt;&lt;publisher&gt;Blackwell Publishing Inc&lt;/publisher&gt;&lt;number&gt;9&lt;/number&gt;&lt;subtype&gt;400&lt;/subtype&gt;&lt;endpage&gt;2814&lt;/endpage&gt;&lt;bundle&gt;&lt;publication&gt;&lt;title&gt;Evolution&lt;/title&gt;&lt;type&gt;-100&lt;/type&gt;&lt;subtype&gt;-100&lt;/subtype&gt;&lt;uuid&gt;D636F494-26B0-439F-BAA8-F2B6B05F1775&lt;/uuid&gt;&lt;/publication&gt;&lt;/bundle&gt;&lt;authors&gt;&lt;author&gt;&lt;firstName&gt;Kari&lt;/firstName&gt;&lt;lastName&gt;Roesch Goodman&lt;/lastName&gt;&lt;/author&gt;&lt;author&gt;&lt;firstName&gt;Stephen&lt;/firstName&gt;&lt;middleNames&gt;C&lt;/middleNames&gt;&lt;lastName&gt;Welter&lt;/lastName&gt;&lt;/author&gt;&lt;author&gt;&lt;firstName&gt;George&lt;/firstName&gt;&lt;middleNames&gt;K&lt;/middleNames&gt;&lt;lastName&gt;Roderick&lt;/lastName&gt;&lt;/author&gt;&lt;/authors&gt;&lt;/publication&gt;&lt;/publications&gt;&lt;cites&gt;&lt;/cites&gt;&lt;/citation&gt;</w:instrText>
      </w:r>
      <w:r w:rsidR="008D4934">
        <w:fldChar w:fldCharType="separate"/>
      </w:r>
      <w:r w:rsidR="008A2B0F">
        <w:rPr>
          <w:rFonts w:ascii="Cambria" w:eastAsiaTheme="minorEastAsia" w:hAnsi="Cambria" w:cs="Cambria"/>
        </w:rPr>
        <w:t>(</w:t>
      </w:r>
      <w:r w:rsidR="00837162">
        <w:rPr>
          <w:rFonts w:ascii="Cambria" w:eastAsiaTheme="minorEastAsia" w:hAnsi="Cambria" w:cs="Cambria"/>
        </w:rPr>
        <w:t xml:space="preserve">see discussion in Supplementary Information from </w:t>
      </w:r>
      <w:r w:rsidR="008A2B0F">
        <w:rPr>
          <w:rFonts w:ascii="Cambria" w:eastAsiaTheme="minorEastAsia" w:hAnsi="Cambria" w:cs="Cambria"/>
        </w:rPr>
        <w:t>Goodman et al. 2012)</w:t>
      </w:r>
      <w:r w:rsidR="008D4934">
        <w:fldChar w:fldCharType="end"/>
      </w:r>
      <w:r w:rsidR="00837162">
        <w:t>.</w:t>
      </w:r>
      <w:r>
        <w:t xml:space="preserve"> </w:t>
      </w:r>
      <w:r w:rsidR="00DF0100">
        <w:t>The</w:t>
      </w:r>
      <w:r w:rsidR="00837162">
        <w:t xml:space="preserve"> rate</w:t>
      </w:r>
      <w:r>
        <w:t xml:space="preserve"> </w:t>
      </w:r>
      <w:r w:rsidR="00DF0100">
        <w:t xml:space="preserve">obtained </w:t>
      </w:r>
      <w:r>
        <w:t xml:space="preserve">is very similar to the </w:t>
      </w:r>
      <w:r w:rsidR="007626BD">
        <w:t>revised</w:t>
      </w:r>
      <w:r w:rsidR="00DF0100">
        <w:t xml:space="preserve"> general</w:t>
      </w:r>
      <w:r w:rsidR="007626BD">
        <w:t xml:space="preserve"> </w:t>
      </w:r>
      <w:bookmarkStart w:id="0" w:name="_GoBack"/>
      <w:bookmarkEnd w:id="0"/>
      <w:r>
        <w:t xml:space="preserve">insect </w:t>
      </w:r>
      <w:r w:rsidR="00837162">
        <w:t xml:space="preserve">COI </w:t>
      </w:r>
      <w:r>
        <w:t>r</w:t>
      </w:r>
      <w:r w:rsidR="008A2B0F">
        <w:t xml:space="preserve">ate of 3.54% per million years </w:t>
      </w:r>
      <w:r w:rsidR="008D4934">
        <w:fldChar w:fldCharType="begin"/>
      </w:r>
      <w:r w:rsidR="008A2B0F">
        <w:instrText xml:space="preserve"> ADDIN PAPERS2_CITATIONS &lt;citation&gt;&lt;uuid&gt;71A09B9D-D9E3-4114-9583-2AA97A28FD88&lt;/uuid&gt;&lt;priority&gt;0&lt;/priority&gt;&lt;publications&gt;&lt;publication&gt;&lt;volume&gt;27&lt;/volume&gt;&lt;publication_date&gt;99201006131200000000222000&lt;/publication_date&gt;&lt;number&gt;7&lt;/number&gt;&lt;doi&gt;10.1093/molbev/msq051&lt;/doi&gt;&lt;startpage&gt;1659&lt;/startpage&gt;&lt;title&gt;Revisiting the Insect Mitochondrial Molecular Clock: The Mid-Aegean Trench Calibration&lt;/title&gt;&lt;uuid&gt;EB8AE5EA-9088-4229-BDEB-DACE881D436B&lt;/uuid&gt;&lt;subtype&gt;400&lt;/subtype&gt;&lt;endpage&gt;1672&lt;/endpage&gt;&lt;type&gt;400&lt;/type&gt;&lt;url&gt;http://mbe.oxfordjournals.org/cgi/doi/10.1093/molbev/msq051&lt;/url&gt;&lt;bundle&gt;&lt;publication&gt;&lt;publisher&gt;SMBE&lt;/publisher&gt;&lt;title&gt;Molecular Biology And Evolution&lt;/title&gt;&lt;type&gt;-100&lt;/type&gt;&lt;subtype&gt;-100&lt;/subtype&gt;&lt;uuid&gt;14C143FF-7E99-46C6-A24C-236E31DF0E53&lt;/uuid&gt;&lt;/publication&gt;&lt;/bundle&gt;&lt;authors&gt;&lt;author&gt;&lt;firstName&gt;A&lt;/firstName&gt;&lt;lastName&gt;Papadopoulou&lt;/lastName&gt;&lt;/author&gt;&lt;author&gt;&lt;firstName&gt;I&lt;/firstName&gt;&lt;lastName&gt;Anastasiou&lt;/lastName&gt;&lt;/author&gt;&lt;author&gt;&lt;firstName&gt;A&lt;/firstName&gt;&lt;middleNames&gt;P&lt;/middleNames&gt;&lt;lastName&gt;Vogler&lt;/lastName&gt;&lt;/author&gt;&lt;/authors&gt;&lt;/publication&gt;&lt;/publications&gt;&lt;cites&gt;&lt;/cites&gt;&lt;/citation&gt;</w:instrText>
      </w:r>
      <w:r w:rsidR="008D4934">
        <w:fldChar w:fldCharType="separate"/>
      </w:r>
      <w:r w:rsidR="008A2B0F">
        <w:rPr>
          <w:rFonts w:ascii="Cambria" w:eastAsiaTheme="minorEastAsia" w:hAnsi="Cambria" w:cs="Cambria"/>
        </w:rPr>
        <w:t>(Papadopoulou et al. 2010)</w:t>
      </w:r>
      <w:r w:rsidR="008D4934">
        <w:fldChar w:fldCharType="end"/>
      </w:r>
      <w:r>
        <w:t xml:space="preserve">.  The separate </w:t>
      </w:r>
      <w:proofErr w:type="spellStart"/>
      <w:r>
        <w:t>codon</w:t>
      </w:r>
      <w:proofErr w:type="spellEnd"/>
      <w:r>
        <w:t xml:space="preserve"> positions of COI were combined under a single clock rate but were given separate models of molecular evolution.  The 16S rate was estimated based on the COI rate.  Appropriate models of molecular evolution were chosen using PARTITIONFINDER</w:t>
      </w:r>
      <w:r w:rsidR="008A2B0F">
        <w:t xml:space="preserve"> </w:t>
      </w:r>
      <w:r w:rsidR="008D4934">
        <w:fldChar w:fldCharType="begin"/>
      </w:r>
      <w:r w:rsidR="008A2B0F">
        <w:instrText xml:space="preserve"> ADDIN PAPERS2_CITATIONS &lt;citation&gt;&lt;uuid&gt;94221127-43EB-4ED8-AC94-50580B5577BD&lt;/uuid&gt;&lt;priority&gt;0&lt;/priority&gt;&lt;publications&gt;&lt;publication&gt;&lt;volume&gt;29&lt;/volume&gt;&lt;publication_date&gt;99201205151200000000222000&lt;/publication_date&gt;&lt;number&gt;6&lt;/number&gt;&lt;doi&gt;10.1093/molbev/mss020&lt;/doi&gt;&lt;startpage&gt;1695&lt;/startpage&gt;&lt;title&gt;PartitionFinder: Combined Selection of Partitioning Schemes and Substitution Models for Phylogenetic Analyses&lt;/title&gt;&lt;uuid&gt;30BD92CC-A96B-42DE-9BBC-E120E6341D18&lt;/uuid&gt;&lt;subtype&gt;400&lt;/subtype&gt;&lt;endpage&gt;1701&lt;/endpage&gt;&lt;type&gt;400&lt;/type&gt;&lt;url&gt;http://mbe.oxfordjournals.org/cgi/doi/10.1093/molbev/mss020&lt;/url&gt;&lt;bundle&gt;&lt;publication&gt;&lt;publisher&gt;SMBE&lt;/publisher&gt;&lt;title&gt;Molecular Biology And Evolution&lt;/title&gt;&lt;type&gt;-100&lt;/type&gt;&lt;subtype&gt;-100&lt;/subtype&gt;&lt;uuid&gt;14C143FF-7E99-46C6-A24C-236E31DF0E53&lt;/uuid&gt;&lt;/publication&gt;&lt;/bundle&gt;&lt;authors&gt;&lt;author&gt;&lt;firstName&gt;R&lt;/firstName&gt;&lt;lastName&gt;Lanfear&lt;/lastName&gt;&lt;/author&gt;&lt;author&gt;&lt;firstName&gt;B&lt;/firstName&gt;&lt;lastName&gt;Calcott&lt;/lastName&gt;&lt;/author&gt;&lt;author&gt;&lt;firstName&gt;S&lt;/firstName&gt;&lt;middleNames&gt;Y W&lt;/middleNames&gt;&lt;lastName&gt;Ho&lt;/lastName&gt;&lt;/author&gt;&lt;author&gt;&lt;firstName&gt;S&lt;/firstName&gt;&lt;lastName&gt;Guindon&lt;/lastName&gt;&lt;/author&gt;&lt;/authors&gt;&lt;/publication&gt;&lt;/publications&gt;&lt;cites&gt;&lt;/cites&gt;&lt;/citation&gt;</w:instrText>
      </w:r>
      <w:r w:rsidR="008D4934">
        <w:fldChar w:fldCharType="separate"/>
      </w:r>
      <w:r w:rsidR="008A2B0F">
        <w:rPr>
          <w:rFonts w:ascii="Cambria" w:eastAsiaTheme="minorEastAsia" w:hAnsi="Cambria" w:cs="Cambria"/>
        </w:rPr>
        <w:t>(Lanfear et al. 2012)</w:t>
      </w:r>
      <w:r w:rsidR="008D4934">
        <w:fldChar w:fldCharType="end"/>
      </w:r>
      <w:r w:rsidR="008A2B0F">
        <w:t xml:space="preserve"> </w:t>
      </w:r>
      <w:r>
        <w:t xml:space="preserve">and are as follows: 16S (254 </w:t>
      </w:r>
      <w:proofErr w:type="spellStart"/>
      <w:r>
        <w:t>bp</w:t>
      </w:r>
      <w:proofErr w:type="spellEnd"/>
      <w:r>
        <w:t xml:space="preserve">) – </w:t>
      </w:r>
      <w:proofErr w:type="spellStart"/>
      <w:r>
        <w:t>Tr</w:t>
      </w:r>
      <w:r w:rsidR="00DF0100">
        <w:t>N+I+G</w:t>
      </w:r>
      <w:proofErr w:type="spellEnd"/>
      <w:r w:rsidR="00DF0100">
        <w:t xml:space="preserve">; COI (484 </w:t>
      </w:r>
      <w:proofErr w:type="spellStart"/>
      <w:r w:rsidR="00DF0100">
        <w:t>bp</w:t>
      </w:r>
      <w:proofErr w:type="spellEnd"/>
      <w:r w:rsidR="00DF0100">
        <w:t xml:space="preserve">) – pos1 </w:t>
      </w:r>
      <w:proofErr w:type="spellStart"/>
      <w:r w:rsidR="00DF0100">
        <w:t>TrN</w:t>
      </w:r>
      <w:r>
        <w:t>+I+G</w:t>
      </w:r>
      <w:proofErr w:type="spellEnd"/>
      <w:r>
        <w:t xml:space="preserve">, pos2 </w:t>
      </w:r>
      <w:proofErr w:type="spellStart"/>
      <w:r>
        <w:t>TrN</w:t>
      </w:r>
      <w:proofErr w:type="spellEnd"/>
      <w:r>
        <w:t xml:space="preserve">, pos3 HKY+G.  The </w:t>
      </w:r>
      <w:proofErr w:type="spellStart"/>
      <w:r>
        <w:t>ingroup</w:t>
      </w:r>
      <w:proofErr w:type="spellEnd"/>
      <w:r>
        <w:t xml:space="preserve"> was constrained as monophyletic, and analyses were run for 50 x 10</w:t>
      </w:r>
      <w:r>
        <w:rPr>
          <w:vertAlign w:val="superscript"/>
        </w:rPr>
        <w:t>6</w:t>
      </w:r>
      <w:r>
        <w:t xml:space="preserve"> generations with a random starting tree under a “Speciation: Birth-Death” tree prior.  Trees and parameters were sampled every 1,000 generations.  TRACER version 1.7.5 was used to assure the estimated sample sizes (ESS) were large enough, and the resulting posterior distribution of trees were combined using TREEANNOTATOR version 1.7.5 after discarding the first ten percent of trees as burn-in.  The fi</w:t>
      </w:r>
      <w:r w:rsidR="00CA7030">
        <w:t>nal consensus tree is shown in F</w:t>
      </w:r>
      <w:r>
        <w:t xml:space="preserve">igure </w:t>
      </w:r>
      <w:r w:rsidR="00CA7030">
        <w:rPr>
          <w:highlight w:val="yellow"/>
        </w:rPr>
        <w:t>S</w:t>
      </w:r>
      <w:r w:rsidRPr="002E44F5">
        <w:rPr>
          <w:highlight w:val="yellow"/>
        </w:rPr>
        <w:t>X</w:t>
      </w:r>
      <w:r>
        <w:t>.</w:t>
      </w:r>
    </w:p>
    <w:p w:rsidR="008A2B0F" w:rsidRDefault="008A2B0F" w:rsidP="00983F29"/>
    <w:p w:rsidR="008A2B0F" w:rsidRDefault="008A2B0F" w:rsidP="00983F29"/>
    <w:p w:rsidR="008A2B0F" w:rsidRDefault="008D4934" w:rsidP="00983F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eastAsiaTheme="minorEastAsia" w:hAnsi="Cambria" w:cs="Cambria"/>
        </w:rPr>
      </w:pPr>
      <w:r>
        <w:fldChar w:fldCharType="begin"/>
      </w:r>
      <w:r w:rsidR="008A2B0F">
        <w:instrText xml:space="preserve"> ADDIN PAPERS2_CITATIONS &lt;papers2_bibliography/&gt;</w:instrText>
      </w:r>
      <w:r>
        <w:fldChar w:fldCharType="separate"/>
      </w:r>
      <w:r w:rsidR="008A2B0F">
        <w:rPr>
          <w:rFonts w:ascii="Cambria" w:eastAsiaTheme="minorEastAsia" w:hAnsi="Cambria" w:cs="Cambria"/>
        </w:rPr>
        <w:t xml:space="preserve">Drummond, A.J. &amp; Rambaut, A., 2007. BEAST: Bayesian evolutionary analysis by sampling trees. </w:t>
      </w:r>
      <w:r w:rsidR="008A2B0F">
        <w:rPr>
          <w:rFonts w:ascii="Cambria" w:eastAsiaTheme="minorEastAsia" w:hAnsi="Cambria" w:cs="Cambria"/>
          <w:i/>
          <w:iCs/>
        </w:rPr>
        <w:t>Bmc Evolutionary Biology</w:t>
      </w:r>
      <w:r w:rsidR="008A2B0F">
        <w:rPr>
          <w:rFonts w:ascii="Cambria" w:eastAsiaTheme="minorEastAsia" w:hAnsi="Cambria" w:cs="Cambria"/>
        </w:rPr>
        <w:t>, 7, p.214.</w:t>
      </w:r>
    </w:p>
    <w:p w:rsidR="008A2B0F" w:rsidRDefault="008A2B0F" w:rsidP="00983F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eastAsiaTheme="minorEastAsia" w:hAnsi="Cambria" w:cs="Cambria"/>
        </w:rPr>
      </w:pPr>
      <w:r>
        <w:rPr>
          <w:rFonts w:ascii="Cambria" w:eastAsiaTheme="minorEastAsia" w:hAnsi="Cambria" w:cs="Cambria"/>
        </w:rPr>
        <w:t xml:space="preserve">Lanfear, R. et al., 2012. PartitionFinder: Combined Selection of Partitioning Schemes and Substitution Models for Phylogenetic Analyses. </w:t>
      </w:r>
      <w:r>
        <w:rPr>
          <w:rFonts w:ascii="Cambria" w:eastAsiaTheme="minorEastAsia" w:hAnsi="Cambria" w:cs="Cambria"/>
          <w:i/>
          <w:iCs/>
        </w:rPr>
        <w:t>Molecular Biology And Evolution</w:t>
      </w:r>
      <w:r>
        <w:rPr>
          <w:rFonts w:ascii="Cambria" w:eastAsiaTheme="minorEastAsia" w:hAnsi="Cambria" w:cs="Cambria"/>
        </w:rPr>
        <w:t>, 29(6), pp.1695–1701.</w:t>
      </w:r>
    </w:p>
    <w:p w:rsidR="008A2B0F" w:rsidRDefault="008A2B0F" w:rsidP="00983F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eastAsiaTheme="minorEastAsia" w:hAnsi="Cambria" w:cs="Cambria"/>
        </w:rPr>
      </w:pPr>
      <w:r>
        <w:rPr>
          <w:rFonts w:ascii="Cambria" w:eastAsiaTheme="minorEastAsia" w:hAnsi="Cambria" w:cs="Cambria"/>
        </w:rPr>
        <w:t xml:space="preserve">Papadopoulou, A., Anastasiou, I. &amp; Vogler, A.P., 2010. Revisiting the Insect Mitochondrial Molecular Clock: The Mid-Aegean Trench Calibration. </w:t>
      </w:r>
      <w:r>
        <w:rPr>
          <w:rFonts w:ascii="Cambria" w:eastAsiaTheme="minorEastAsia" w:hAnsi="Cambria" w:cs="Cambria"/>
          <w:i/>
          <w:iCs/>
        </w:rPr>
        <w:t>Molecular Biology And Evolution</w:t>
      </w:r>
      <w:r>
        <w:rPr>
          <w:rFonts w:ascii="Cambria" w:eastAsiaTheme="minorEastAsia" w:hAnsi="Cambria" w:cs="Cambria"/>
        </w:rPr>
        <w:t>, 27(7), pp.1659–1672.</w:t>
      </w:r>
    </w:p>
    <w:p w:rsidR="008A2B0F" w:rsidRDefault="008A2B0F" w:rsidP="00983F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eastAsiaTheme="minorEastAsia" w:hAnsi="Cambria" w:cs="Cambria"/>
        </w:rPr>
      </w:pPr>
      <w:r>
        <w:rPr>
          <w:rFonts w:ascii="Cambria" w:eastAsiaTheme="minorEastAsia" w:hAnsi="Cambria" w:cs="Cambria"/>
        </w:rPr>
        <w:t xml:space="preserve">Goodman, K., Welter, S.C. &amp; Roderick, G.K., 2012. GENETIC DIVERGENCE IS DECOUPLED FROM ECOLOGICAL DIVERSIFICATION IN THE HAWAIIAN NESOSYDNE PLANTHOPPERS. </w:t>
      </w:r>
      <w:r>
        <w:rPr>
          <w:rFonts w:ascii="Cambria" w:eastAsiaTheme="minorEastAsia" w:hAnsi="Cambria" w:cs="Cambria"/>
          <w:i/>
          <w:iCs/>
        </w:rPr>
        <w:t>Evolution</w:t>
      </w:r>
      <w:r>
        <w:rPr>
          <w:rFonts w:ascii="Cambria" w:eastAsiaTheme="minorEastAsia" w:hAnsi="Cambria" w:cs="Cambria"/>
        </w:rPr>
        <w:t>, 66(9), pp.2798–2814.</w:t>
      </w:r>
    </w:p>
    <w:p w:rsidR="00CA7030" w:rsidRDefault="008D4934" w:rsidP="00983F29">
      <w:r>
        <w:fldChar w:fldCharType="end"/>
      </w:r>
    </w:p>
    <w:p w:rsidR="00F36E20" w:rsidRDefault="00F36E20">
      <w:pPr>
        <w:rPr>
          <w:rFonts w:eastAsiaTheme="minorEastAsia" w:cs="Times New Roman"/>
          <w:b/>
          <w:bCs/>
          <w:color w:val="000000"/>
        </w:rPr>
      </w:pPr>
      <w:r>
        <w:rPr>
          <w:rFonts w:eastAsiaTheme="minorEastAsia" w:cs="Times New Roman"/>
          <w:b/>
          <w:bCs/>
          <w:color w:val="000000"/>
        </w:rPr>
        <w:br w:type="page"/>
      </w:r>
    </w:p>
    <w:p w:rsidR="008C7A9D" w:rsidRPr="008C7A9D" w:rsidRDefault="008C7A9D" w:rsidP="008C7A9D">
      <w:pPr>
        <w:rPr>
          <w:rFonts w:eastAsiaTheme="minorEastAsia" w:cs="Times New Roman"/>
          <w:sz w:val="20"/>
          <w:szCs w:val="20"/>
        </w:rPr>
      </w:pPr>
      <w:r w:rsidRPr="008C7A9D">
        <w:rPr>
          <w:rFonts w:eastAsiaTheme="minorEastAsia" w:cs="Times New Roman"/>
          <w:b/>
          <w:bCs/>
          <w:color w:val="000000"/>
        </w:rPr>
        <w:t xml:space="preserve">Figure </w:t>
      </w:r>
      <w:r w:rsidRPr="008C7A9D">
        <w:rPr>
          <w:rFonts w:eastAsiaTheme="minorEastAsia" w:cs="Times New Roman"/>
          <w:b/>
          <w:bCs/>
          <w:color w:val="000000"/>
          <w:shd w:val="clear" w:color="auto" w:fill="FFFF00"/>
        </w:rPr>
        <w:t>SX</w:t>
      </w:r>
      <w:r w:rsidRPr="008C7A9D">
        <w:rPr>
          <w:rFonts w:eastAsiaTheme="minorEastAsia" w:cs="Times New Roman"/>
          <w:b/>
          <w:bCs/>
          <w:color w:val="000000"/>
        </w:rPr>
        <w:t xml:space="preserve">. Hawaiian </w:t>
      </w:r>
      <w:proofErr w:type="spellStart"/>
      <w:r w:rsidRPr="008C7A9D">
        <w:rPr>
          <w:rFonts w:eastAsiaTheme="minorEastAsia" w:cs="Times New Roman"/>
          <w:b/>
          <w:bCs/>
          <w:i/>
          <w:iCs/>
          <w:color w:val="000000"/>
        </w:rPr>
        <w:t>Tetragnatha</w:t>
      </w:r>
      <w:proofErr w:type="spellEnd"/>
      <w:r w:rsidRPr="008C7A9D">
        <w:rPr>
          <w:rFonts w:eastAsiaTheme="minorEastAsia" w:cs="Times New Roman"/>
          <w:b/>
          <w:bCs/>
          <w:color w:val="000000"/>
        </w:rPr>
        <w:t xml:space="preserve"> Time Tree</w:t>
      </w:r>
    </w:p>
    <w:p w:rsidR="00F36E20" w:rsidRDefault="008C7A9D" w:rsidP="008C7A9D">
      <w:pPr>
        <w:rPr>
          <w:b/>
        </w:rPr>
      </w:pPr>
      <w:r w:rsidRPr="008C7A9D">
        <w:rPr>
          <w:rFonts w:eastAsiaTheme="minorEastAsia"/>
          <w:sz w:val="20"/>
          <w:szCs w:val="20"/>
        </w:rPr>
        <w:br/>
      </w:r>
    </w:p>
    <w:p w:rsidR="00F9453B" w:rsidRPr="008C7A9D" w:rsidRDefault="00F36E20" w:rsidP="008C7A9D">
      <w:pPr>
        <w:rPr>
          <w:b/>
        </w:rPr>
      </w:pPr>
      <w:r>
        <w:rPr>
          <w:b/>
          <w:noProof/>
        </w:rPr>
        <w:drawing>
          <wp:inline distT="0" distB="0" distL="0" distR="0">
            <wp:extent cx="5486400" cy="7099935"/>
            <wp:effectExtent l="0" t="0" r="0" b="0"/>
            <wp:docPr id="1" name="Picture 0" descr="TetragnathaDat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agnathaDating.pdf"/>
                    <pic:cNvPicPr/>
                  </pic:nvPicPr>
                  <ve:AlternateContent xmlns:ma="http://schemas.microsoft.com/office/mac/drawingml/2008/main">
                    <ve:Choice Requires="ma">
                      <pic:blipFill>
                        <a:blip r:embed="rId4"/>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5"/>
                        <a:stretch>
                          <a:fillRect/>
                        </a:stretch>
                      </pic:blipFill>
                    </ve:Fallback>
                  </ve:AlternateContent>
                  <pic:spPr>
                    <a:xfrm>
                      <a:off x="0" y="0"/>
                      <a:ext cx="5486400" cy="7099935"/>
                    </a:xfrm>
                    <a:prstGeom prst="rect">
                      <a:avLst/>
                    </a:prstGeom>
                  </pic:spPr>
                </pic:pic>
              </a:graphicData>
            </a:graphic>
          </wp:inline>
        </w:drawing>
      </w:r>
    </w:p>
    <w:sectPr w:rsidR="00F9453B" w:rsidRPr="008C7A9D" w:rsidSect="00F9453B">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savePreviewPicture/>
  <w:compat>
    <w:useFELayout/>
  </w:compat>
  <w:rsids>
    <w:rsidRoot w:val="00B77A71"/>
    <w:rsid w:val="001A53AA"/>
    <w:rsid w:val="001A5588"/>
    <w:rsid w:val="003738D6"/>
    <w:rsid w:val="005E1E7C"/>
    <w:rsid w:val="00617EA8"/>
    <w:rsid w:val="006C5723"/>
    <w:rsid w:val="00732EF3"/>
    <w:rsid w:val="007626BD"/>
    <w:rsid w:val="00837162"/>
    <w:rsid w:val="008A2B0F"/>
    <w:rsid w:val="008C7A9D"/>
    <w:rsid w:val="008D4934"/>
    <w:rsid w:val="00983F29"/>
    <w:rsid w:val="009A2889"/>
    <w:rsid w:val="00B77A71"/>
    <w:rsid w:val="00C81438"/>
    <w:rsid w:val="00CA7030"/>
    <w:rsid w:val="00CC6C4B"/>
    <w:rsid w:val="00DF0100"/>
    <w:rsid w:val="00E13AC1"/>
    <w:rsid w:val="00F36E20"/>
    <w:rsid w:val="00F9453B"/>
  </w:rsids>
  <m:mathPr>
    <m:mathFont m:val="Consola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71"/>
    <w:rPr>
      <w:rFonts w:eastAsiaTheme="minorHAns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8C7A9D"/>
    <w:pPr>
      <w:spacing w:beforeLines="1" w:afterLines="1"/>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71"/>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222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1090</Words>
  <Characters>6215</Characters>
  <Application>Microsoft Macintosh Word</Application>
  <DocSecurity>0</DocSecurity>
  <Lines>51</Lines>
  <Paragraphs>12</Paragraphs>
  <ScaleCrop>false</ScaleCrop>
  <Company>University of California, Berkeley</Company>
  <LinksUpToDate>false</LinksUpToDate>
  <CharactersWithSpaces>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Brewer</dc:creator>
  <cp:keywords/>
  <dc:description/>
  <cp:lastModifiedBy> Kari Goodman</cp:lastModifiedBy>
  <cp:revision>16</cp:revision>
  <dcterms:created xsi:type="dcterms:W3CDTF">2014-05-23T22:00:00Z</dcterms:created>
  <dcterms:modified xsi:type="dcterms:W3CDTF">2014-06-01T20:09:00Z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id="http://www.zotero.org/styles/harvard1"/&gt;&lt;format class="21"/&gt;&lt;count citations="4" publications="4"/&gt;&lt;/info&gt;PAPERS2_INFO_END</vt:lpwstr>
  </property>
</Properties>
</file>