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D58F9" w14:textId="4602A42A" w:rsidR="005B27C2" w:rsidRPr="00251411" w:rsidRDefault="00FE4633" w:rsidP="00251411">
      <w:pPr>
        <w:spacing w:line="480" w:lineRule="auto"/>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M</w:t>
      </w:r>
      <w:r w:rsidR="00DB23B5" w:rsidRPr="00251411">
        <w:rPr>
          <w:rFonts w:ascii="Times New Roman" w:hAnsi="Times New Roman" w:cs="Times New Roman"/>
          <w:b/>
          <w:sz w:val="24"/>
          <w:szCs w:val="24"/>
          <w:lang w:val="en-US"/>
        </w:rPr>
        <w:t>ultilocus</w:t>
      </w:r>
      <w:proofErr w:type="spellEnd"/>
      <w:r w:rsidR="00DB23B5" w:rsidRPr="00251411">
        <w:rPr>
          <w:rFonts w:ascii="Times New Roman" w:hAnsi="Times New Roman" w:cs="Times New Roman"/>
          <w:b/>
          <w:sz w:val="24"/>
          <w:szCs w:val="24"/>
          <w:lang w:val="en-US"/>
        </w:rPr>
        <w:t xml:space="preserve"> test</w:t>
      </w:r>
      <w:r>
        <w:rPr>
          <w:rFonts w:ascii="Times New Roman" w:hAnsi="Times New Roman" w:cs="Times New Roman"/>
          <w:b/>
          <w:sz w:val="24"/>
          <w:szCs w:val="24"/>
          <w:lang w:val="en-US"/>
        </w:rPr>
        <w:t>s</w:t>
      </w:r>
      <w:r w:rsidR="00DB23B5" w:rsidRPr="00251411">
        <w:rPr>
          <w:rFonts w:ascii="Times New Roman" w:hAnsi="Times New Roman" w:cs="Times New Roman"/>
          <w:b/>
          <w:sz w:val="24"/>
          <w:szCs w:val="24"/>
          <w:lang w:val="en-US"/>
        </w:rPr>
        <w:t xml:space="preserve"> </w:t>
      </w:r>
      <w:r>
        <w:rPr>
          <w:rFonts w:ascii="Times New Roman" w:hAnsi="Times New Roman" w:cs="Times New Roman"/>
          <w:b/>
          <w:sz w:val="24"/>
          <w:szCs w:val="24"/>
          <w:lang w:val="en-US"/>
        </w:rPr>
        <w:t>suggest</w:t>
      </w:r>
      <w:r w:rsidR="00311C38" w:rsidRPr="00251411">
        <w:rPr>
          <w:rFonts w:ascii="Times New Roman" w:hAnsi="Times New Roman" w:cs="Times New Roman"/>
          <w:b/>
          <w:sz w:val="24"/>
          <w:szCs w:val="24"/>
          <w:lang w:val="en-US"/>
        </w:rPr>
        <w:t xml:space="preserve"> optimal markers and PC</w:t>
      </w:r>
      <w:r w:rsidR="005B27C2" w:rsidRPr="00251411">
        <w:rPr>
          <w:rFonts w:ascii="Times New Roman" w:hAnsi="Times New Roman" w:cs="Times New Roman"/>
          <w:b/>
          <w:sz w:val="24"/>
          <w:szCs w:val="24"/>
          <w:lang w:val="en-US"/>
        </w:rPr>
        <w:t xml:space="preserve">R conditions </w:t>
      </w:r>
      <w:r w:rsidR="00FC428F" w:rsidRPr="00251411">
        <w:rPr>
          <w:rFonts w:ascii="Times New Roman" w:hAnsi="Times New Roman" w:cs="Times New Roman"/>
          <w:b/>
          <w:sz w:val="24"/>
          <w:szCs w:val="24"/>
          <w:lang w:val="en-US"/>
        </w:rPr>
        <w:t xml:space="preserve">for </w:t>
      </w:r>
      <w:r w:rsidR="00DA4017" w:rsidRPr="00251411">
        <w:rPr>
          <w:rFonts w:ascii="Times New Roman" w:hAnsi="Times New Roman" w:cs="Times New Roman"/>
          <w:b/>
          <w:sz w:val="24"/>
          <w:szCs w:val="24"/>
          <w:lang w:val="en-US"/>
        </w:rPr>
        <w:t xml:space="preserve">estimating arthropod species richness and abundance </w:t>
      </w:r>
      <w:r w:rsidR="00FC428F" w:rsidRPr="00251411">
        <w:rPr>
          <w:rFonts w:ascii="Times New Roman" w:hAnsi="Times New Roman" w:cs="Times New Roman"/>
          <w:b/>
          <w:sz w:val="24"/>
          <w:szCs w:val="24"/>
          <w:lang w:val="en-US"/>
        </w:rPr>
        <w:t xml:space="preserve">by next generation sequencing </w:t>
      </w:r>
      <w:bookmarkStart w:id="0" w:name="_GoBack"/>
      <w:bookmarkEnd w:id="0"/>
    </w:p>
    <w:p w14:paraId="768B20A5" w14:textId="3C5F6BB3" w:rsidR="001F1600" w:rsidRPr="00251411" w:rsidRDefault="00552BF2"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Henrik Krehenwinkel</w:t>
      </w:r>
      <w:r w:rsidR="008F62E9" w:rsidRPr="00251411">
        <w:rPr>
          <w:rFonts w:ascii="Times New Roman" w:hAnsi="Times New Roman" w:cs="Times New Roman"/>
          <w:sz w:val="24"/>
          <w:szCs w:val="24"/>
          <w:vertAlign w:val="superscript"/>
          <w:lang w:val="en-US"/>
        </w:rPr>
        <w:t>1 2 *</w:t>
      </w:r>
      <w:r w:rsidRPr="00251411">
        <w:rPr>
          <w:rFonts w:ascii="Times New Roman" w:hAnsi="Times New Roman" w:cs="Times New Roman"/>
          <w:sz w:val="24"/>
          <w:szCs w:val="24"/>
          <w:lang w:val="en-US"/>
        </w:rPr>
        <w:t xml:space="preserve">, </w:t>
      </w:r>
      <w:r w:rsidR="0028798B" w:rsidRPr="00251411">
        <w:rPr>
          <w:rFonts w:ascii="Times New Roman" w:hAnsi="Times New Roman" w:cs="Times New Roman"/>
          <w:sz w:val="24"/>
          <w:szCs w:val="24"/>
          <w:lang w:val="en-US"/>
        </w:rPr>
        <w:t>Madeline Wolf</w:t>
      </w:r>
      <w:r w:rsidR="008F62E9" w:rsidRPr="00251411">
        <w:rPr>
          <w:rFonts w:ascii="Times New Roman" w:hAnsi="Times New Roman" w:cs="Times New Roman"/>
          <w:sz w:val="24"/>
          <w:szCs w:val="24"/>
          <w:vertAlign w:val="superscript"/>
          <w:lang w:val="en-US"/>
        </w:rPr>
        <w:t>1</w:t>
      </w:r>
      <w:r w:rsidR="0028798B" w:rsidRPr="00251411">
        <w:rPr>
          <w:rFonts w:ascii="Times New Roman" w:hAnsi="Times New Roman" w:cs="Times New Roman"/>
          <w:sz w:val="24"/>
          <w:szCs w:val="24"/>
          <w:lang w:val="en-US"/>
        </w:rPr>
        <w:t xml:space="preserve">, </w:t>
      </w:r>
      <w:r w:rsidR="006419A8" w:rsidRPr="00251411">
        <w:rPr>
          <w:rFonts w:ascii="Times New Roman" w:hAnsi="Times New Roman" w:cs="Times New Roman"/>
          <w:sz w:val="24"/>
          <w:szCs w:val="24"/>
          <w:lang w:val="en-US"/>
        </w:rPr>
        <w:t xml:space="preserve">Andrew </w:t>
      </w:r>
      <w:r w:rsidR="004C02A1" w:rsidRPr="00251411">
        <w:rPr>
          <w:rFonts w:ascii="Times New Roman" w:hAnsi="Times New Roman" w:cs="Times New Roman"/>
          <w:sz w:val="24"/>
          <w:szCs w:val="24"/>
          <w:lang w:val="en-US"/>
        </w:rPr>
        <w:t xml:space="preserve">J. </w:t>
      </w:r>
      <w:r w:rsidR="006419A8" w:rsidRPr="00251411">
        <w:rPr>
          <w:rFonts w:ascii="Times New Roman" w:hAnsi="Times New Roman" w:cs="Times New Roman"/>
          <w:sz w:val="24"/>
          <w:szCs w:val="24"/>
          <w:lang w:val="en-US"/>
        </w:rPr>
        <w:t>Rominger</w:t>
      </w:r>
      <w:r w:rsidR="006419A8" w:rsidRPr="00251411">
        <w:rPr>
          <w:rFonts w:ascii="Times New Roman" w:hAnsi="Times New Roman" w:cs="Times New Roman"/>
          <w:sz w:val="24"/>
          <w:szCs w:val="24"/>
          <w:vertAlign w:val="superscript"/>
          <w:lang w:val="en-US"/>
        </w:rPr>
        <w:t>1</w:t>
      </w:r>
      <w:r w:rsidR="006419A8" w:rsidRPr="00251411">
        <w:rPr>
          <w:rFonts w:ascii="Times New Roman" w:hAnsi="Times New Roman" w:cs="Times New Roman"/>
          <w:sz w:val="24"/>
          <w:szCs w:val="24"/>
          <w:lang w:val="en-US"/>
        </w:rPr>
        <w:t xml:space="preserve">, </w:t>
      </w:r>
      <w:proofErr w:type="spellStart"/>
      <w:r w:rsidRPr="00251411">
        <w:rPr>
          <w:rFonts w:ascii="Times New Roman" w:hAnsi="Times New Roman" w:cs="Times New Roman"/>
          <w:sz w:val="24"/>
          <w:szCs w:val="24"/>
          <w:lang w:val="en-US"/>
        </w:rPr>
        <w:t>Jingfei</w:t>
      </w:r>
      <w:proofErr w:type="spellEnd"/>
      <w:r w:rsidRPr="00251411">
        <w:rPr>
          <w:rFonts w:ascii="Times New Roman" w:hAnsi="Times New Roman" w:cs="Times New Roman"/>
          <w:sz w:val="24"/>
          <w:szCs w:val="24"/>
          <w:lang w:val="en-US"/>
        </w:rPr>
        <w:t xml:space="preserve"> Zhang</w:t>
      </w:r>
      <w:r w:rsidR="008F62E9" w:rsidRPr="00251411">
        <w:rPr>
          <w:rFonts w:ascii="Times New Roman" w:hAnsi="Times New Roman" w:cs="Times New Roman"/>
          <w:sz w:val="24"/>
          <w:szCs w:val="24"/>
          <w:vertAlign w:val="superscript"/>
          <w:lang w:val="en-US"/>
        </w:rPr>
        <w:t>1</w:t>
      </w:r>
      <w:r w:rsidRPr="00251411">
        <w:rPr>
          <w:rFonts w:ascii="Times New Roman" w:hAnsi="Times New Roman" w:cs="Times New Roman"/>
          <w:sz w:val="24"/>
          <w:szCs w:val="24"/>
          <w:lang w:val="en-US"/>
        </w:rPr>
        <w:t>, Brian</w:t>
      </w:r>
      <w:r w:rsidR="0028798B" w:rsidRPr="00251411">
        <w:rPr>
          <w:rFonts w:ascii="Times New Roman" w:hAnsi="Times New Roman" w:cs="Times New Roman"/>
          <w:sz w:val="24"/>
          <w:szCs w:val="24"/>
          <w:lang w:val="en-US"/>
        </w:rPr>
        <w:t xml:space="preserve"> </w:t>
      </w:r>
      <w:r w:rsidR="00B514EE" w:rsidRPr="00251411">
        <w:rPr>
          <w:rFonts w:ascii="Times New Roman" w:hAnsi="Times New Roman" w:cs="Times New Roman"/>
          <w:sz w:val="24"/>
          <w:szCs w:val="24"/>
          <w:lang w:val="en-US"/>
        </w:rPr>
        <w:t>Simison</w:t>
      </w:r>
      <w:r w:rsidR="008F62E9" w:rsidRPr="00251411">
        <w:rPr>
          <w:rFonts w:ascii="Times New Roman" w:hAnsi="Times New Roman" w:cs="Times New Roman"/>
          <w:sz w:val="24"/>
          <w:szCs w:val="24"/>
          <w:vertAlign w:val="superscript"/>
          <w:lang w:val="en-US"/>
        </w:rPr>
        <w:t>2</w:t>
      </w:r>
      <w:r w:rsidR="00B514EE" w:rsidRPr="00251411">
        <w:rPr>
          <w:rFonts w:ascii="Times New Roman" w:hAnsi="Times New Roman" w:cs="Times New Roman"/>
          <w:sz w:val="24"/>
          <w:szCs w:val="24"/>
          <w:lang w:val="en-US"/>
        </w:rPr>
        <w:t>,</w:t>
      </w:r>
      <w:r w:rsidRPr="00251411">
        <w:rPr>
          <w:rFonts w:ascii="Times New Roman" w:hAnsi="Times New Roman" w:cs="Times New Roman"/>
          <w:sz w:val="24"/>
          <w:szCs w:val="24"/>
          <w:lang w:val="en-US"/>
        </w:rPr>
        <w:t xml:space="preserve"> Anna</w:t>
      </w:r>
      <w:r w:rsidR="0028798B" w:rsidRPr="00251411">
        <w:rPr>
          <w:rFonts w:ascii="Times New Roman" w:hAnsi="Times New Roman" w:cs="Times New Roman"/>
          <w:sz w:val="24"/>
          <w:szCs w:val="24"/>
          <w:lang w:val="en-US"/>
        </w:rPr>
        <w:t xml:space="preserve"> Sellas</w:t>
      </w:r>
      <w:r w:rsidR="008F62E9" w:rsidRPr="00251411">
        <w:rPr>
          <w:rFonts w:ascii="Times New Roman" w:hAnsi="Times New Roman" w:cs="Times New Roman"/>
          <w:sz w:val="24"/>
          <w:szCs w:val="24"/>
          <w:vertAlign w:val="superscript"/>
          <w:lang w:val="en-US"/>
        </w:rPr>
        <w:t>2</w:t>
      </w:r>
      <w:r w:rsidRPr="00251411">
        <w:rPr>
          <w:rFonts w:ascii="Times New Roman" w:hAnsi="Times New Roman" w:cs="Times New Roman"/>
          <w:sz w:val="24"/>
          <w:szCs w:val="24"/>
          <w:lang w:val="en-US"/>
        </w:rPr>
        <w:t>, Ro</w:t>
      </w:r>
      <w:r w:rsidR="0028798B" w:rsidRPr="00251411">
        <w:rPr>
          <w:rFonts w:ascii="Times New Roman" w:hAnsi="Times New Roman" w:cs="Times New Roman"/>
          <w:sz w:val="24"/>
          <w:szCs w:val="24"/>
          <w:lang w:val="en-US"/>
        </w:rPr>
        <w:t>semary Gillespie</w:t>
      </w:r>
      <w:r w:rsidR="008F62E9" w:rsidRPr="00251411">
        <w:rPr>
          <w:rFonts w:ascii="Times New Roman" w:hAnsi="Times New Roman" w:cs="Times New Roman"/>
          <w:sz w:val="24"/>
          <w:szCs w:val="24"/>
          <w:vertAlign w:val="superscript"/>
          <w:lang w:val="en-US"/>
        </w:rPr>
        <w:t>1</w:t>
      </w:r>
    </w:p>
    <w:p w14:paraId="52705220" w14:textId="77777777" w:rsidR="008F62E9" w:rsidRPr="00251411" w:rsidRDefault="008F62E9"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Department of Environmental Sciences, Policy and Management</w:t>
      </w:r>
    </w:p>
    <w:p w14:paraId="3A0B7CF4" w14:textId="77777777" w:rsidR="008F62E9" w:rsidRPr="00251411" w:rsidRDefault="0028798B"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U</w:t>
      </w:r>
      <w:r w:rsidR="008F62E9" w:rsidRPr="00251411">
        <w:rPr>
          <w:rFonts w:ascii="Times New Roman" w:hAnsi="Times New Roman" w:cs="Times New Roman"/>
          <w:sz w:val="24"/>
          <w:szCs w:val="24"/>
          <w:lang w:val="en-US"/>
        </w:rPr>
        <w:t>niversity of California</w:t>
      </w:r>
      <w:r w:rsidRPr="00251411">
        <w:rPr>
          <w:rFonts w:ascii="Times New Roman" w:hAnsi="Times New Roman" w:cs="Times New Roman"/>
          <w:sz w:val="24"/>
          <w:szCs w:val="24"/>
          <w:lang w:val="en-US"/>
        </w:rPr>
        <w:t xml:space="preserve"> Berkeley</w:t>
      </w:r>
    </w:p>
    <w:p w14:paraId="65C5629F" w14:textId="77777777" w:rsidR="0028798B" w:rsidRPr="00251411" w:rsidRDefault="008F62E9" w:rsidP="00251411">
      <w:pPr>
        <w:spacing w:line="480" w:lineRule="auto"/>
        <w:jc w:val="both"/>
        <w:rPr>
          <w:rFonts w:ascii="Times New Roman" w:hAnsi="Times New Roman" w:cs="Times New Roman"/>
          <w:sz w:val="24"/>
          <w:szCs w:val="24"/>
          <w:lang w:val="en-US"/>
        </w:rPr>
      </w:pPr>
      <w:proofErr w:type="spellStart"/>
      <w:r w:rsidRPr="00251411">
        <w:rPr>
          <w:rFonts w:ascii="Times New Roman" w:hAnsi="Times New Roman" w:cs="Times New Roman"/>
          <w:sz w:val="24"/>
          <w:szCs w:val="24"/>
          <w:lang w:val="en-US"/>
        </w:rPr>
        <w:t>Mulford</w:t>
      </w:r>
      <w:proofErr w:type="spellEnd"/>
      <w:r w:rsidRPr="00251411">
        <w:rPr>
          <w:rFonts w:ascii="Times New Roman" w:hAnsi="Times New Roman" w:cs="Times New Roman"/>
          <w:sz w:val="24"/>
          <w:szCs w:val="24"/>
          <w:lang w:val="en-US"/>
        </w:rPr>
        <w:t xml:space="preserve"> Hall, Berkeley, California, USA</w:t>
      </w:r>
    </w:p>
    <w:p w14:paraId="606560A0" w14:textId="77777777" w:rsidR="008F62E9" w:rsidRPr="00251411" w:rsidRDefault="008F62E9"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Center for Computational Genomics</w:t>
      </w:r>
    </w:p>
    <w:p w14:paraId="2C38C56D" w14:textId="77777777" w:rsidR="0028798B" w:rsidRPr="00251411" w:rsidRDefault="008F62E9"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California Academy of Sciences</w:t>
      </w:r>
    </w:p>
    <w:p w14:paraId="18FA9E46" w14:textId="77777777" w:rsidR="008F62E9" w:rsidRPr="00251411" w:rsidRDefault="008F62E9"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Music Concourse Drive, San Francisco, California, USA</w:t>
      </w:r>
    </w:p>
    <w:p w14:paraId="61969555" w14:textId="77777777" w:rsidR="008F62E9" w:rsidRPr="00251411" w:rsidRDefault="008F62E9" w:rsidP="00251411">
      <w:pPr>
        <w:spacing w:line="480" w:lineRule="auto"/>
        <w:jc w:val="both"/>
        <w:rPr>
          <w:rFonts w:ascii="Times New Roman" w:hAnsi="Times New Roman" w:cs="Times New Roman"/>
          <w:sz w:val="24"/>
          <w:szCs w:val="24"/>
          <w:lang w:val="en-US"/>
        </w:rPr>
      </w:pPr>
    </w:p>
    <w:p w14:paraId="68EBB6AB" w14:textId="77777777" w:rsidR="0028798B" w:rsidRPr="00251411" w:rsidRDefault="00FE4633" w:rsidP="00251411">
      <w:pPr>
        <w:spacing w:line="480" w:lineRule="auto"/>
        <w:jc w:val="both"/>
        <w:rPr>
          <w:rFonts w:ascii="Times New Roman" w:hAnsi="Times New Roman" w:cs="Times New Roman"/>
          <w:sz w:val="24"/>
          <w:szCs w:val="24"/>
          <w:lang w:val="en-US"/>
        </w:rPr>
      </w:pPr>
      <w:hyperlink r:id="rId5" w:history="1">
        <w:r w:rsidR="00E94114" w:rsidRPr="00251411">
          <w:rPr>
            <w:rStyle w:val="Hyperlink"/>
            <w:rFonts w:ascii="Times New Roman" w:hAnsi="Times New Roman" w:cs="Times New Roman"/>
            <w:sz w:val="24"/>
            <w:szCs w:val="24"/>
            <w:lang w:val="en-US"/>
          </w:rPr>
          <w:t>Krehenwinkel@berkeley.edu</w:t>
        </w:r>
      </w:hyperlink>
    </w:p>
    <w:p w14:paraId="35CBA154" w14:textId="77777777" w:rsidR="00E94114" w:rsidRPr="00251411" w:rsidRDefault="00E94114"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+1-510-646-3409</w:t>
      </w:r>
    </w:p>
    <w:p w14:paraId="5FF8D9DF" w14:textId="77777777" w:rsidR="0079395A" w:rsidRPr="00251411" w:rsidRDefault="0079395A" w:rsidP="00251411">
      <w:pPr>
        <w:spacing w:line="480" w:lineRule="auto"/>
        <w:jc w:val="both"/>
        <w:rPr>
          <w:rFonts w:ascii="Times New Roman" w:hAnsi="Times New Roman" w:cs="Times New Roman"/>
          <w:b/>
          <w:sz w:val="24"/>
          <w:szCs w:val="24"/>
          <w:lang w:val="en-US"/>
        </w:rPr>
      </w:pPr>
      <w:r w:rsidRPr="00251411">
        <w:rPr>
          <w:rFonts w:ascii="Times New Roman" w:hAnsi="Times New Roman" w:cs="Times New Roman"/>
          <w:b/>
          <w:sz w:val="24"/>
          <w:szCs w:val="24"/>
          <w:lang w:val="en-US"/>
        </w:rPr>
        <w:t>Abstract</w:t>
      </w:r>
    </w:p>
    <w:p w14:paraId="68CB2F5A" w14:textId="678F8D15" w:rsidR="00CA29F5" w:rsidRPr="00251411" w:rsidRDefault="006409BC"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1. </w:t>
      </w:r>
      <w:r w:rsidR="00C4449E" w:rsidRPr="00251411">
        <w:rPr>
          <w:rFonts w:ascii="Times New Roman" w:hAnsi="Times New Roman" w:cs="Times New Roman"/>
          <w:sz w:val="24"/>
          <w:szCs w:val="24"/>
          <w:lang w:val="en-US"/>
        </w:rPr>
        <w:t xml:space="preserve">Next generation sequencing based metabarcoding studies promise </w:t>
      </w:r>
      <w:r w:rsidR="00A203C3" w:rsidRPr="00251411">
        <w:rPr>
          <w:rFonts w:ascii="Times New Roman" w:hAnsi="Times New Roman" w:cs="Times New Roman"/>
          <w:sz w:val="24"/>
          <w:szCs w:val="24"/>
          <w:lang w:val="en-US"/>
        </w:rPr>
        <w:t>the rapid and cost efficient analysis of species compositions in whole ecosystem</w:t>
      </w:r>
      <w:r w:rsidR="00C4449E" w:rsidRPr="00251411">
        <w:rPr>
          <w:rFonts w:ascii="Times New Roman" w:hAnsi="Times New Roman" w:cs="Times New Roman"/>
          <w:sz w:val="24"/>
          <w:szCs w:val="24"/>
          <w:lang w:val="en-US"/>
        </w:rPr>
        <w:t>.</w:t>
      </w:r>
      <w:r w:rsidR="00A203C3" w:rsidRPr="00251411">
        <w:rPr>
          <w:rFonts w:ascii="Times New Roman" w:hAnsi="Times New Roman" w:cs="Times New Roman"/>
          <w:sz w:val="24"/>
          <w:szCs w:val="24"/>
          <w:lang w:val="en-US"/>
        </w:rPr>
        <w:t xml:space="preserve"> </w:t>
      </w:r>
      <w:r w:rsidR="00246C79" w:rsidRPr="00251411">
        <w:rPr>
          <w:rFonts w:ascii="Times New Roman" w:hAnsi="Times New Roman" w:cs="Times New Roman"/>
          <w:sz w:val="24"/>
          <w:szCs w:val="24"/>
          <w:lang w:val="en-US"/>
        </w:rPr>
        <w:t>But</w:t>
      </w:r>
      <w:r w:rsidR="001A787C" w:rsidRPr="00251411">
        <w:rPr>
          <w:rFonts w:ascii="Times New Roman" w:hAnsi="Times New Roman" w:cs="Times New Roman"/>
          <w:sz w:val="24"/>
          <w:szCs w:val="24"/>
          <w:lang w:val="en-US"/>
        </w:rPr>
        <w:t xml:space="preserve"> it is still disputed, if </w:t>
      </w:r>
      <w:r w:rsidR="007572A9" w:rsidRPr="00251411">
        <w:rPr>
          <w:rFonts w:ascii="Times New Roman" w:hAnsi="Times New Roman" w:cs="Times New Roman"/>
          <w:sz w:val="24"/>
          <w:szCs w:val="24"/>
          <w:lang w:val="en-US"/>
        </w:rPr>
        <w:t xml:space="preserve">species </w:t>
      </w:r>
      <w:r w:rsidR="00246C79" w:rsidRPr="00251411">
        <w:rPr>
          <w:rFonts w:ascii="Times New Roman" w:hAnsi="Times New Roman" w:cs="Times New Roman"/>
          <w:sz w:val="24"/>
          <w:szCs w:val="24"/>
          <w:lang w:val="en-US"/>
        </w:rPr>
        <w:t>abundances can be derived from</w:t>
      </w:r>
      <w:r w:rsidR="001A787C" w:rsidRPr="00251411">
        <w:rPr>
          <w:rFonts w:ascii="Times New Roman" w:hAnsi="Times New Roman" w:cs="Times New Roman"/>
          <w:sz w:val="24"/>
          <w:szCs w:val="24"/>
          <w:lang w:val="en-US"/>
        </w:rPr>
        <w:t xml:space="preserve"> metabarcoding data. </w:t>
      </w:r>
      <w:r w:rsidR="00AF5F17" w:rsidRPr="00251411">
        <w:rPr>
          <w:rFonts w:ascii="Times New Roman" w:hAnsi="Times New Roman" w:cs="Times New Roman"/>
          <w:sz w:val="24"/>
          <w:szCs w:val="24"/>
          <w:lang w:val="en-US"/>
        </w:rPr>
        <w:t>A</w:t>
      </w:r>
      <w:r w:rsidR="00FB33DC" w:rsidRPr="00251411">
        <w:rPr>
          <w:rFonts w:ascii="Times New Roman" w:hAnsi="Times New Roman" w:cs="Times New Roman"/>
          <w:sz w:val="24"/>
          <w:szCs w:val="24"/>
          <w:lang w:val="en-US"/>
        </w:rPr>
        <w:t xml:space="preserve">mplicon based approaches </w:t>
      </w:r>
      <w:r w:rsidR="00AF5F17" w:rsidRPr="00251411">
        <w:rPr>
          <w:rFonts w:ascii="Times New Roman" w:hAnsi="Times New Roman" w:cs="Times New Roman"/>
          <w:sz w:val="24"/>
          <w:szCs w:val="24"/>
          <w:lang w:val="en-US"/>
        </w:rPr>
        <w:t xml:space="preserve">using the standard barcode marker Cytochrome Oxidase subunit 1 (COI) </w:t>
      </w:r>
      <w:r w:rsidR="00FB33DC" w:rsidRPr="00251411">
        <w:rPr>
          <w:rFonts w:ascii="Times New Roman" w:hAnsi="Times New Roman" w:cs="Times New Roman"/>
          <w:sz w:val="24"/>
          <w:szCs w:val="24"/>
          <w:lang w:val="en-US"/>
        </w:rPr>
        <w:t>are believed to suffer from pronou</w:t>
      </w:r>
      <w:r w:rsidR="00246C79" w:rsidRPr="00251411">
        <w:rPr>
          <w:rFonts w:ascii="Times New Roman" w:hAnsi="Times New Roman" w:cs="Times New Roman"/>
          <w:sz w:val="24"/>
          <w:szCs w:val="24"/>
          <w:lang w:val="en-US"/>
        </w:rPr>
        <w:t>nced PCR priming bias</w:t>
      </w:r>
      <w:r w:rsidR="00FB33DC" w:rsidRPr="00251411">
        <w:rPr>
          <w:rFonts w:ascii="Times New Roman" w:hAnsi="Times New Roman" w:cs="Times New Roman"/>
          <w:sz w:val="24"/>
          <w:szCs w:val="24"/>
          <w:lang w:val="en-US"/>
        </w:rPr>
        <w:t>.</w:t>
      </w:r>
      <w:r w:rsidR="00AF5F17" w:rsidRPr="00251411">
        <w:rPr>
          <w:rFonts w:ascii="Times New Roman" w:hAnsi="Times New Roman" w:cs="Times New Roman"/>
          <w:sz w:val="24"/>
          <w:szCs w:val="24"/>
          <w:lang w:val="en-US"/>
        </w:rPr>
        <w:t xml:space="preserve"> </w:t>
      </w:r>
      <w:r w:rsidR="004C5156" w:rsidRPr="00251411">
        <w:rPr>
          <w:rFonts w:ascii="Times New Roman" w:hAnsi="Times New Roman" w:cs="Times New Roman"/>
          <w:sz w:val="24"/>
          <w:szCs w:val="24"/>
          <w:lang w:val="en-US"/>
        </w:rPr>
        <w:t xml:space="preserve">Novel barcode markers or </w:t>
      </w:r>
      <w:r w:rsidR="007572A9" w:rsidRPr="00251411">
        <w:rPr>
          <w:rFonts w:ascii="Times New Roman" w:hAnsi="Times New Roman" w:cs="Times New Roman"/>
          <w:sz w:val="24"/>
          <w:szCs w:val="24"/>
          <w:lang w:val="en-US"/>
        </w:rPr>
        <w:t xml:space="preserve">PCR free approaches, have been suggested to mitigate </w:t>
      </w:r>
      <w:r w:rsidR="00CA29F5" w:rsidRPr="00251411">
        <w:rPr>
          <w:rFonts w:ascii="Times New Roman" w:hAnsi="Times New Roman" w:cs="Times New Roman"/>
          <w:sz w:val="24"/>
          <w:szCs w:val="24"/>
          <w:lang w:val="en-US"/>
        </w:rPr>
        <w:t>these problems</w:t>
      </w:r>
      <w:r w:rsidR="004C5156" w:rsidRPr="00251411">
        <w:rPr>
          <w:rFonts w:ascii="Times New Roman" w:hAnsi="Times New Roman" w:cs="Times New Roman"/>
          <w:sz w:val="24"/>
          <w:szCs w:val="24"/>
          <w:lang w:val="en-US"/>
        </w:rPr>
        <w:t>. B</w:t>
      </w:r>
      <w:r w:rsidR="00CA29F5" w:rsidRPr="00251411">
        <w:rPr>
          <w:rFonts w:ascii="Times New Roman" w:hAnsi="Times New Roman" w:cs="Times New Roman"/>
          <w:sz w:val="24"/>
          <w:szCs w:val="24"/>
          <w:lang w:val="en-US"/>
        </w:rPr>
        <w:t xml:space="preserve">ut </w:t>
      </w:r>
      <w:r w:rsidR="004C5156" w:rsidRPr="00251411">
        <w:rPr>
          <w:rFonts w:ascii="Times New Roman" w:hAnsi="Times New Roman" w:cs="Times New Roman"/>
          <w:sz w:val="24"/>
          <w:szCs w:val="24"/>
          <w:lang w:val="en-US"/>
        </w:rPr>
        <w:t xml:space="preserve">the latter </w:t>
      </w:r>
      <w:r w:rsidR="00CA29F5" w:rsidRPr="00251411">
        <w:rPr>
          <w:rFonts w:ascii="Times New Roman" w:hAnsi="Times New Roman" w:cs="Times New Roman"/>
          <w:sz w:val="24"/>
          <w:szCs w:val="24"/>
          <w:lang w:val="en-US"/>
        </w:rPr>
        <w:t>come</w:t>
      </w:r>
      <w:r w:rsidR="004C5156" w:rsidRPr="00251411">
        <w:rPr>
          <w:rFonts w:ascii="Times New Roman" w:hAnsi="Times New Roman" w:cs="Times New Roman"/>
          <w:sz w:val="24"/>
          <w:szCs w:val="24"/>
          <w:lang w:val="en-US"/>
        </w:rPr>
        <w:t>s</w:t>
      </w:r>
      <w:r w:rsidR="00CA29F5" w:rsidRPr="00251411">
        <w:rPr>
          <w:rFonts w:ascii="Times New Roman" w:hAnsi="Times New Roman" w:cs="Times New Roman"/>
          <w:sz w:val="24"/>
          <w:szCs w:val="24"/>
          <w:lang w:val="en-US"/>
        </w:rPr>
        <w:t xml:space="preserve"> with a considerable increase of workload and cost. </w:t>
      </w:r>
    </w:p>
    <w:p w14:paraId="55E48CC0" w14:textId="534E9483" w:rsidR="00AF5F17" w:rsidRPr="00251411" w:rsidRDefault="006409BC"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lastRenderedPageBreak/>
        <w:t xml:space="preserve">2. </w:t>
      </w:r>
      <w:r w:rsidR="00AF5F17" w:rsidRPr="00251411">
        <w:rPr>
          <w:rFonts w:ascii="Times New Roman" w:hAnsi="Times New Roman" w:cs="Times New Roman"/>
          <w:sz w:val="24"/>
          <w:szCs w:val="24"/>
          <w:lang w:val="en-US"/>
        </w:rPr>
        <w:t xml:space="preserve">Here, we test 8 different nuclear and mitochondrial </w:t>
      </w:r>
      <w:r w:rsidR="006311EC" w:rsidRPr="00251411">
        <w:rPr>
          <w:rFonts w:ascii="Times New Roman" w:hAnsi="Times New Roman" w:cs="Times New Roman"/>
          <w:sz w:val="24"/>
          <w:szCs w:val="24"/>
          <w:lang w:val="en-US"/>
        </w:rPr>
        <w:t xml:space="preserve">PCR </w:t>
      </w:r>
      <w:r w:rsidR="00AF5F17" w:rsidRPr="00251411">
        <w:rPr>
          <w:rFonts w:ascii="Times New Roman" w:hAnsi="Times New Roman" w:cs="Times New Roman"/>
          <w:sz w:val="24"/>
          <w:szCs w:val="24"/>
          <w:lang w:val="en-US"/>
        </w:rPr>
        <w:t>markers for their potential to recover species richness and abundance in mock communities of 4</w:t>
      </w:r>
      <w:r w:rsidRPr="00251411">
        <w:rPr>
          <w:rFonts w:ascii="Times New Roman" w:hAnsi="Times New Roman" w:cs="Times New Roman"/>
          <w:sz w:val="24"/>
          <w:szCs w:val="24"/>
          <w:lang w:val="en-US"/>
        </w:rPr>
        <w:t xml:space="preserve">4 </w:t>
      </w:r>
      <w:r w:rsidR="00AF5F17" w:rsidRPr="00251411">
        <w:rPr>
          <w:rFonts w:ascii="Times New Roman" w:hAnsi="Times New Roman" w:cs="Times New Roman"/>
          <w:sz w:val="24"/>
          <w:szCs w:val="24"/>
          <w:lang w:val="en-US"/>
        </w:rPr>
        <w:t>arthropod taxa</w:t>
      </w:r>
      <w:r w:rsidRPr="00251411">
        <w:rPr>
          <w:rFonts w:ascii="Times New Roman" w:hAnsi="Times New Roman" w:cs="Times New Roman"/>
          <w:sz w:val="24"/>
          <w:szCs w:val="24"/>
          <w:lang w:val="en-US"/>
        </w:rPr>
        <w:t xml:space="preserve"> from 14 orders</w:t>
      </w:r>
      <w:r w:rsidR="00AF5F17" w:rsidRPr="00251411">
        <w:rPr>
          <w:rFonts w:ascii="Times New Roman" w:hAnsi="Times New Roman" w:cs="Times New Roman"/>
          <w:sz w:val="24"/>
          <w:szCs w:val="24"/>
          <w:lang w:val="en-US"/>
        </w:rPr>
        <w:t>.</w:t>
      </w:r>
      <w:r w:rsidR="00C63EDF" w:rsidRPr="00251411">
        <w:rPr>
          <w:rFonts w:ascii="Times New Roman" w:hAnsi="Times New Roman" w:cs="Times New Roman"/>
          <w:sz w:val="24"/>
          <w:szCs w:val="24"/>
          <w:lang w:val="en-US"/>
        </w:rPr>
        <w:t xml:space="preserve"> We aim to develop taxon specific correction factors to </w:t>
      </w:r>
      <w:r w:rsidR="00204B91" w:rsidRPr="00251411">
        <w:rPr>
          <w:rFonts w:ascii="Times New Roman" w:hAnsi="Times New Roman" w:cs="Times New Roman"/>
          <w:sz w:val="24"/>
          <w:szCs w:val="24"/>
          <w:lang w:val="en-US"/>
        </w:rPr>
        <w:t xml:space="preserve">mitigate PCR bias </w:t>
      </w:r>
      <w:r w:rsidR="00246C79" w:rsidRPr="00251411">
        <w:rPr>
          <w:rFonts w:ascii="Times New Roman" w:hAnsi="Times New Roman" w:cs="Times New Roman"/>
          <w:sz w:val="24"/>
          <w:szCs w:val="24"/>
          <w:lang w:val="en-US"/>
        </w:rPr>
        <w:t xml:space="preserve">and </w:t>
      </w:r>
      <w:r w:rsidR="00C63EDF" w:rsidRPr="00251411">
        <w:rPr>
          <w:rFonts w:ascii="Times New Roman" w:hAnsi="Times New Roman" w:cs="Times New Roman"/>
          <w:sz w:val="24"/>
          <w:szCs w:val="24"/>
          <w:lang w:val="en-US"/>
        </w:rPr>
        <w:t xml:space="preserve">derive accurate abundance estimates. </w:t>
      </w:r>
      <w:r w:rsidR="00AF5F17" w:rsidRPr="00251411">
        <w:rPr>
          <w:rFonts w:ascii="Times New Roman" w:hAnsi="Times New Roman" w:cs="Times New Roman"/>
          <w:sz w:val="24"/>
          <w:szCs w:val="24"/>
          <w:lang w:val="en-US"/>
        </w:rPr>
        <w:t xml:space="preserve">We </w:t>
      </w:r>
      <w:r w:rsidR="00246C79" w:rsidRPr="00251411">
        <w:rPr>
          <w:rFonts w:ascii="Times New Roman" w:hAnsi="Times New Roman" w:cs="Times New Roman"/>
          <w:sz w:val="24"/>
          <w:szCs w:val="24"/>
          <w:lang w:val="en-US"/>
        </w:rPr>
        <w:t>also test</w:t>
      </w:r>
      <w:r w:rsidRPr="00251411">
        <w:rPr>
          <w:rFonts w:ascii="Times New Roman" w:hAnsi="Times New Roman" w:cs="Times New Roman"/>
          <w:sz w:val="24"/>
          <w:szCs w:val="24"/>
          <w:lang w:val="en-US"/>
        </w:rPr>
        <w:t xml:space="preserve"> the possibility of </w:t>
      </w:r>
      <w:r w:rsidR="00246C79" w:rsidRPr="00251411">
        <w:rPr>
          <w:rFonts w:ascii="Times New Roman" w:hAnsi="Times New Roman" w:cs="Times New Roman"/>
          <w:sz w:val="24"/>
          <w:szCs w:val="24"/>
          <w:lang w:val="en-US"/>
        </w:rPr>
        <w:t>mitigating</w:t>
      </w:r>
      <w:r w:rsidRPr="00251411">
        <w:rPr>
          <w:rFonts w:ascii="Times New Roman" w:hAnsi="Times New Roman" w:cs="Times New Roman"/>
          <w:sz w:val="24"/>
          <w:szCs w:val="24"/>
          <w:lang w:val="en-US"/>
        </w:rPr>
        <w:t xml:space="preserve"> priming bias by reducing PCR cycle number</w:t>
      </w:r>
      <w:r w:rsidR="0045005B" w:rsidRPr="00251411">
        <w:rPr>
          <w:rFonts w:ascii="Times New Roman" w:hAnsi="Times New Roman" w:cs="Times New Roman"/>
          <w:sz w:val="24"/>
          <w:szCs w:val="24"/>
          <w:lang w:val="en-US"/>
        </w:rPr>
        <w:t xml:space="preserve"> and increasing the ratio of template DNA to primer</w:t>
      </w:r>
      <w:r w:rsidRPr="00251411">
        <w:rPr>
          <w:rFonts w:ascii="Times New Roman" w:hAnsi="Times New Roman" w:cs="Times New Roman"/>
          <w:sz w:val="24"/>
          <w:szCs w:val="24"/>
          <w:lang w:val="en-US"/>
        </w:rPr>
        <w:t>.</w:t>
      </w:r>
      <w:r w:rsidR="00C63EDF" w:rsidRPr="00251411">
        <w:rPr>
          <w:rFonts w:ascii="Times New Roman" w:hAnsi="Times New Roman" w:cs="Times New Roman"/>
          <w:sz w:val="24"/>
          <w:szCs w:val="24"/>
          <w:lang w:val="en-US"/>
        </w:rPr>
        <w:t xml:space="preserve"> </w:t>
      </w:r>
    </w:p>
    <w:p w14:paraId="3BF881A9" w14:textId="5A2FF7FB" w:rsidR="00300268" w:rsidRPr="00251411" w:rsidRDefault="006409BC"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3.</w:t>
      </w:r>
      <w:r w:rsidR="000A7EF2" w:rsidRPr="00251411">
        <w:rPr>
          <w:rFonts w:ascii="Times New Roman" w:hAnsi="Times New Roman" w:cs="Times New Roman"/>
          <w:sz w:val="24"/>
          <w:szCs w:val="24"/>
          <w:lang w:val="en-US"/>
        </w:rPr>
        <w:t xml:space="preserve"> </w:t>
      </w:r>
      <w:r w:rsidRPr="00251411">
        <w:rPr>
          <w:rFonts w:ascii="Times New Roman" w:hAnsi="Times New Roman" w:cs="Times New Roman"/>
          <w:sz w:val="24"/>
          <w:szCs w:val="24"/>
          <w:lang w:val="en-US"/>
        </w:rPr>
        <w:t xml:space="preserve">Our results show that </w:t>
      </w:r>
      <w:r w:rsidR="00300268" w:rsidRPr="00251411">
        <w:rPr>
          <w:rFonts w:ascii="Times New Roman" w:hAnsi="Times New Roman" w:cs="Times New Roman"/>
          <w:sz w:val="24"/>
          <w:szCs w:val="24"/>
          <w:lang w:val="en-US"/>
        </w:rPr>
        <w:t>amplicon</w:t>
      </w:r>
      <w:r w:rsidR="000A7EF2" w:rsidRPr="00251411">
        <w:rPr>
          <w:rFonts w:ascii="Times New Roman" w:hAnsi="Times New Roman" w:cs="Times New Roman"/>
          <w:sz w:val="24"/>
          <w:szCs w:val="24"/>
          <w:lang w:val="en-US"/>
        </w:rPr>
        <w:t xml:space="preserve"> based approaches can be used to accurately predict species richness and relative abundance in community samples. PCR bias is shown to be highly taxon specific and can </w:t>
      </w:r>
      <w:r w:rsidR="00246C79" w:rsidRPr="00251411">
        <w:rPr>
          <w:rFonts w:ascii="Times New Roman" w:hAnsi="Times New Roman" w:cs="Times New Roman"/>
          <w:sz w:val="24"/>
          <w:szCs w:val="24"/>
          <w:lang w:val="en-US"/>
        </w:rPr>
        <w:t>be avoided</w:t>
      </w:r>
      <w:r w:rsidR="000A7EF2" w:rsidRPr="00251411">
        <w:rPr>
          <w:rFonts w:ascii="Times New Roman" w:hAnsi="Times New Roman" w:cs="Times New Roman"/>
          <w:sz w:val="24"/>
          <w:szCs w:val="24"/>
          <w:lang w:val="en-US"/>
        </w:rPr>
        <w:t xml:space="preserve"> by employing appropriate correction factors</w:t>
      </w:r>
      <w:r w:rsidR="0045005B" w:rsidRPr="00251411">
        <w:rPr>
          <w:rFonts w:ascii="Times New Roman" w:hAnsi="Times New Roman" w:cs="Times New Roman"/>
          <w:sz w:val="24"/>
          <w:szCs w:val="24"/>
          <w:lang w:val="en-US"/>
        </w:rPr>
        <w:t xml:space="preserve"> and increasing the ratio of template DNA to primer</w:t>
      </w:r>
      <w:r w:rsidR="000A7EF2" w:rsidRPr="00251411">
        <w:rPr>
          <w:rFonts w:ascii="Times New Roman" w:hAnsi="Times New Roman" w:cs="Times New Roman"/>
          <w:sz w:val="24"/>
          <w:szCs w:val="24"/>
          <w:lang w:val="en-US"/>
        </w:rPr>
        <w:t xml:space="preserve">. </w:t>
      </w:r>
      <w:r w:rsidR="009770CE" w:rsidRPr="00251411">
        <w:rPr>
          <w:rFonts w:ascii="Times New Roman" w:hAnsi="Times New Roman" w:cs="Times New Roman"/>
          <w:sz w:val="24"/>
          <w:szCs w:val="24"/>
          <w:lang w:val="en-US"/>
        </w:rPr>
        <w:t xml:space="preserve">A reduction of PCR cycles does </w:t>
      </w:r>
      <w:r w:rsidR="00120C98" w:rsidRPr="00251411">
        <w:rPr>
          <w:rFonts w:ascii="Times New Roman" w:hAnsi="Times New Roman" w:cs="Times New Roman"/>
          <w:sz w:val="24"/>
          <w:szCs w:val="24"/>
          <w:lang w:val="en-US"/>
        </w:rPr>
        <w:t xml:space="preserve">not improve </w:t>
      </w:r>
      <w:r w:rsidR="00B845C6" w:rsidRPr="00251411">
        <w:rPr>
          <w:rFonts w:ascii="Times New Roman" w:hAnsi="Times New Roman" w:cs="Times New Roman"/>
          <w:sz w:val="24"/>
          <w:szCs w:val="24"/>
          <w:lang w:val="en-US"/>
        </w:rPr>
        <w:t xml:space="preserve">the accuracy of </w:t>
      </w:r>
      <w:r w:rsidR="00120C98" w:rsidRPr="00251411">
        <w:rPr>
          <w:rFonts w:ascii="Times New Roman" w:hAnsi="Times New Roman" w:cs="Times New Roman"/>
          <w:sz w:val="24"/>
          <w:szCs w:val="24"/>
          <w:lang w:val="en-US"/>
        </w:rPr>
        <w:t xml:space="preserve">abundance estimates, suggesting that copy number variation rather than priming bias drive abundance differences. </w:t>
      </w:r>
      <w:r w:rsidR="00133741" w:rsidRPr="00251411">
        <w:rPr>
          <w:rFonts w:ascii="Times New Roman" w:hAnsi="Times New Roman" w:cs="Times New Roman"/>
          <w:sz w:val="24"/>
          <w:szCs w:val="24"/>
          <w:lang w:val="en-US"/>
        </w:rPr>
        <w:t xml:space="preserve">For most arthropod </w:t>
      </w:r>
      <w:r w:rsidR="00187D46" w:rsidRPr="00251411">
        <w:rPr>
          <w:rFonts w:ascii="Times New Roman" w:hAnsi="Times New Roman" w:cs="Times New Roman"/>
          <w:sz w:val="24"/>
          <w:szCs w:val="24"/>
          <w:lang w:val="en-US"/>
        </w:rPr>
        <w:t>taxa</w:t>
      </w:r>
      <w:r w:rsidR="00133741" w:rsidRPr="00251411">
        <w:rPr>
          <w:rFonts w:ascii="Times New Roman" w:hAnsi="Times New Roman" w:cs="Times New Roman"/>
          <w:sz w:val="24"/>
          <w:szCs w:val="24"/>
          <w:lang w:val="en-US"/>
        </w:rPr>
        <w:t>, d</w:t>
      </w:r>
      <w:r w:rsidR="00300268" w:rsidRPr="00251411">
        <w:rPr>
          <w:rFonts w:ascii="Times New Roman" w:hAnsi="Times New Roman" w:cs="Times New Roman"/>
          <w:sz w:val="24"/>
          <w:szCs w:val="24"/>
          <w:lang w:val="en-US"/>
        </w:rPr>
        <w:t xml:space="preserve">egenerate COI primers provide the best taxonomic resolution and species </w:t>
      </w:r>
      <w:r w:rsidR="00187D46" w:rsidRPr="00251411">
        <w:rPr>
          <w:rFonts w:ascii="Times New Roman" w:hAnsi="Times New Roman" w:cs="Times New Roman"/>
          <w:sz w:val="24"/>
          <w:szCs w:val="24"/>
          <w:lang w:val="en-US"/>
        </w:rPr>
        <w:t>recovery</w:t>
      </w:r>
      <w:r w:rsidR="003F7AE1" w:rsidRPr="00251411">
        <w:rPr>
          <w:rFonts w:ascii="Times New Roman" w:hAnsi="Times New Roman" w:cs="Times New Roman"/>
          <w:sz w:val="24"/>
          <w:szCs w:val="24"/>
          <w:lang w:val="en-US"/>
        </w:rPr>
        <w:t>, reappraising COI as useful barcoding marker</w:t>
      </w:r>
      <w:r w:rsidR="00187D46" w:rsidRPr="00251411">
        <w:rPr>
          <w:rFonts w:ascii="Times New Roman" w:hAnsi="Times New Roman" w:cs="Times New Roman"/>
          <w:sz w:val="24"/>
          <w:szCs w:val="24"/>
          <w:lang w:val="en-US"/>
        </w:rPr>
        <w:t>.</w:t>
      </w:r>
      <w:r w:rsidR="00300268" w:rsidRPr="00251411">
        <w:rPr>
          <w:rFonts w:ascii="Times New Roman" w:hAnsi="Times New Roman" w:cs="Times New Roman"/>
          <w:sz w:val="24"/>
          <w:szCs w:val="24"/>
          <w:lang w:val="en-US"/>
        </w:rPr>
        <w:t xml:space="preserve"> </w:t>
      </w:r>
    </w:p>
    <w:p w14:paraId="4792F70D" w14:textId="77777777" w:rsidR="001A787C" w:rsidRPr="00251411" w:rsidRDefault="006409BC"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4.</w:t>
      </w:r>
      <w:r w:rsidRPr="00251411">
        <w:rPr>
          <w:rFonts w:ascii="Times New Roman" w:hAnsi="Times New Roman" w:cs="Times New Roman"/>
          <w:b/>
          <w:sz w:val="24"/>
          <w:szCs w:val="24"/>
          <w:lang w:val="en-US"/>
        </w:rPr>
        <w:t xml:space="preserve"> </w:t>
      </w:r>
      <w:r w:rsidR="002B2CC5" w:rsidRPr="00251411">
        <w:rPr>
          <w:rFonts w:ascii="Times New Roman" w:hAnsi="Times New Roman" w:cs="Times New Roman"/>
          <w:sz w:val="24"/>
          <w:szCs w:val="24"/>
          <w:lang w:val="en-US"/>
        </w:rPr>
        <w:t xml:space="preserve">Our results </w:t>
      </w:r>
      <w:r w:rsidR="001A787C" w:rsidRPr="00251411">
        <w:rPr>
          <w:rFonts w:ascii="Times New Roman" w:hAnsi="Times New Roman" w:cs="Times New Roman"/>
          <w:sz w:val="24"/>
          <w:szCs w:val="24"/>
          <w:lang w:val="en-US"/>
        </w:rPr>
        <w:t>provide first steps towards</w:t>
      </w:r>
      <w:r w:rsidR="00133741" w:rsidRPr="00251411">
        <w:rPr>
          <w:rFonts w:ascii="Times New Roman" w:hAnsi="Times New Roman" w:cs="Times New Roman"/>
          <w:sz w:val="24"/>
          <w:szCs w:val="24"/>
          <w:lang w:val="en-US"/>
        </w:rPr>
        <w:t xml:space="preserve"> recover</w:t>
      </w:r>
      <w:r w:rsidR="001A787C" w:rsidRPr="00251411">
        <w:rPr>
          <w:rFonts w:ascii="Times New Roman" w:hAnsi="Times New Roman" w:cs="Times New Roman"/>
          <w:sz w:val="24"/>
          <w:szCs w:val="24"/>
          <w:lang w:val="en-US"/>
        </w:rPr>
        <w:t>ing</w:t>
      </w:r>
      <w:r w:rsidR="00133741" w:rsidRPr="00251411">
        <w:rPr>
          <w:rFonts w:ascii="Times New Roman" w:hAnsi="Times New Roman" w:cs="Times New Roman"/>
          <w:sz w:val="24"/>
          <w:szCs w:val="24"/>
          <w:lang w:val="en-US"/>
        </w:rPr>
        <w:t xml:space="preserve"> species abundance in mixed arthropod communities</w:t>
      </w:r>
      <w:r w:rsidR="001A787C" w:rsidRPr="00251411">
        <w:rPr>
          <w:rFonts w:ascii="Times New Roman" w:hAnsi="Times New Roman" w:cs="Times New Roman"/>
          <w:sz w:val="24"/>
          <w:szCs w:val="24"/>
          <w:lang w:val="en-US"/>
        </w:rPr>
        <w:t xml:space="preserve"> using amplicon sequencing</w:t>
      </w:r>
      <w:r w:rsidR="00DB03FF" w:rsidRPr="00251411">
        <w:rPr>
          <w:rFonts w:ascii="Times New Roman" w:hAnsi="Times New Roman" w:cs="Times New Roman"/>
          <w:sz w:val="24"/>
          <w:szCs w:val="24"/>
          <w:lang w:val="en-US"/>
        </w:rPr>
        <w:t>.</w:t>
      </w:r>
      <w:r w:rsidR="002B2CC5" w:rsidRPr="00251411">
        <w:rPr>
          <w:rFonts w:ascii="Times New Roman" w:hAnsi="Times New Roman" w:cs="Times New Roman"/>
          <w:sz w:val="24"/>
          <w:szCs w:val="24"/>
          <w:lang w:val="en-US"/>
        </w:rPr>
        <w:t xml:space="preserve"> </w:t>
      </w:r>
      <w:r w:rsidR="001A787C" w:rsidRPr="00251411">
        <w:rPr>
          <w:rFonts w:ascii="Times New Roman" w:hAnsi="Times New Roman" w:cs="Times New Roman"/>
          <w:sz w:val="24"/>
          <w:szCs w:val="24"/>
          <w:lang w:val="en-US"/>
        </w:rPr>
        <w:t>A</w:t>
      </w:r>
      <w:r w:rsidR="00DB03FF" w:rsidRPr="00251411">
        <w:rPr>
          <w:rFonts w:ascii="Times New Roman" w:hAnsi="Times New Roman" w:cs="Times New Roman"/>
          <w:sz w:val="24"/>
          <w:szCs w:val="24"/>
          <w:lang w:val="en-US"/>
        </w:rPr>
        <w:t xml:space="preserve"> good</w:t>
      </w:r>
      <w:r w:rsidR="002B2CC5" w:rsidRPr="00251411">
        <w:rPr>
          <w:rFonts w:ascii="Times New Roman" w:hAnsi="Times New Roman" w:cs="Times New Roman"/>
          <w:sz w:val="24"/>
          <w:szCs w:val="24"/>
          <w:lang w:val="en-US"/>
        </w:rPr>
        <w:t xml:space="preserve"> understanding of the taxonomic </w:t>
      </w:r>
      <w:r w:rsidR="00DB03FF" w:rsidRPr="00251411">
        <w:rPr>
          <w:rFonts w:ascii="Times New Roman" w:hAnsi="Times New Roman" w:cs="Times New Roman"/>
          <w:sz w:val="24"/>
          <w:szCs w:val="24"/>
          <w:lang w:val="en-US"/>
        </w:rPr>
        <w:t xml:space="preserve">composition of </w:t>
      </w:r>
      <w:r w:rsidR="00204B91" w:rsidRPr="00251411">
        <w:rPr>
          <w:rFonts w:ascii="Times New Roman" w:hAnsi="Times New Roman" w:cs="Times New Roman"/>
          <w:sz w:val="24"/>
          <w:szCs w:val="24"/>
          <w:lang w:val="en-US"/>
        </w:rPr>
        <w:t>a</w:t>
      </w:r>
      <w:r w:rsidR="00DB03FF" w:rsidRPr="00251411">
        <w:rPr>
          <w:rFonts w:ascii="Times New Roman" w:hAnsi="Times New Roman" w:cs="Times New Roman"/>
          <w:sz w:val="24"/>
          <w:szCs w:val="24"/>
          <w:lang w:val="en-US"/>
        </w:rPr>
        <w:t xml:space="preserve"> </w:t>
      </w:r>
      <w:r w:rsidR="002B2CC5" w:rsidRPr="00251411">
        <w:rPr>
          <w:rFonts w:ascii="Times New Roman" w:hAnsi="Times New Roman" w:cs="Times New Roman"/>
          <w:sz w:val="24"/>
          <w:szCs w:val="24"/>
          <w:lang w:val="en-US"/>
        </w:rPr>
        <w:t>community</w:t>
      </w:r>
      <w:r w:rsidR="001A787C" w:rsidRPr="00251411">
        <w:rPr>
          <w:rFonts w:ascii="Times New Roman" w:hAnsi="Times New Roman" w:cs="Times New Roman"/>
          <w:sz w:val="24"/>
          <w:szCs w:val="24"/>
          <w:lang w:val="en-US"/>
        </w:rPr>
        <w:t xml:space="preserve"> provided, </w:t>
      </w:r>
      <w:r w:rsidR="00204B91" w:rsidRPr="00251411">
        <w:rPr>
          <w:rFonts w:ascii="Times New Roman" w:hAnsi="Times New Roman" w:cs="Times New Roman"/>
          <w:sz w:val="24"/>
          <w:szCs w:val="24"/>
          <w:lang w:val="en-US"/>
        </w:rPr>
        <w:t>amplicon s</w:t>
      </w:r>
      <w:r w:rsidR="003F7AE1" w:rsidRPr="00251411">
        <w:rPr>
          <w:rFonts w:ascii="Times New Roman" w:hAnsi="Times New Roman" w:cs="Times New Roman"/>
          <w:sz w:val="24"/>
          <w:szCs w:val="24"/>
          <w:lang w:val="en-US"/>
        </w:rPr>
        <w:t xml:space="preserve">equencing might be a cost efficient, simple and reliable approach for large scale analyses of species richness and </w:t>
      </w:r>
      <w:r w:rsidR="00A72373" w:rsidRPr="00251411">
        <w:rPr>
          <w:rFonts w:ascii="Times New Roman" w:hAnsi="Times New Roman" w:cs="Times New Roman"/>
          <w:sz w:val="24"/>
          <w:szCs w:val="24"/>
          <w:lang w:val="en-US"/>
        </w:rPr>
        <w:t>abundance.</w:t>
      </w:r>
      <w:r w:rsidR="003F7AE1" w:rsidRPr="00251411">
        <w:rPr>
          <w:rFonts w:ascii="Times New Roman" w:hAnsi="Times New Roman" w:cs="Times New Roman"/>
          <w:sz w:val="24"/>
          <w:szCs w:val="24"/>
          <w:lang w:val="en-US"/>
        </w:rPr>
        <w:t xml:space="preserve"> </w:t>
      </w:r>
    </w:p>
    <w:p w14:paraId="6C1C9293" w14:textId="77777777" w:rsidR="00074D7E" w:rsidRPr="00251411" w:rsidRDefault="00074D7E" w:rsidP="00251411">
      <w:pPr>
        <w:spacing w:line="480" w:lineRule="auto"/>
        <w:jc w:val="both"/>
        <w:rPr>
          <w:rFonts w:ascii="Times New Roman" w:hAnsi="Times New Roman" w:cs="Times New Roman"/>
          <w:b/>
          <w:sz w:val="24"/>
          <w:szCs w:val="24"/>
          <w:lang w:val="en-US"/>
        </w:rPr>
      </w:pPr>
      <w:r w:rsidRPr="00251411">
        <w:rPr>
          <w:rFonts w:ascii="Times New Roman" w:hAnsi="Times New Roman" w:cs="Times New Roman"/>
          <w:b/>
          <w:sz w:val="24"/>
          <w:szCs w:val="24"/>
          <w:lang w:val="en-US"/>
        </w:rPr>
        <w:t>Introduction</w:t>
      </w:r>
    </w:p>
    <w:p w14:paraId="1F2FFDFA" w14:textId="0D6160F3" w:rsidR="00212CB5" w:rsidRPr="00251411" w:rsidRDefault="00C7525C"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Next generation sequencing technology has ushered in a revolution in evolutionary biology and ecology. This revolution has not passed by taxonomy and spurred various new studies in the field of molecular barcoding.</w:t>
      </w:r>
      <w:r w:rsidR="00311C38" w:rsidRPr="00251411">
        <w:rPr>
          <w:rFonts w:ascii="Times New Roman" w:hAnsi="Times New Roman" w:cs="Times New Roman"/>
          <w:sz w:val="24"/>
          <w:szCs w:val="24"/>
          <w:lang w:val="en-US"/>
        </w:rPr>
        <w:t xml:space="preserve"> N</w:t>
      </w:r>
      <w:r w:rsidR="00FB5188" w:rsidRPr="00251411">
        <w:rPr>
          <w:rFonts w:ascii="Times New Roman" w:hAnsi="Times New Roman" w:cs="Times New Roman"/>
          <w:sz w:val="24"/>
          <w:szCs w:val="24"/>
          <w:lang w:val="en-US"/>
        </w:rPr>
        <w:t xml:space="preserve">ext generation sequencing based barcoding comes with </w:t>
      </w:r>
      <w:r w:rsidR="004E1788" w:rsidRPr="00251411">
        <w:rPr>
          <w:rFonts w:ascii="Times New Roman" w:hAnsi="Times New Roman" w:cs="Times New Roman"/>
          <w:sz w:val="24"/>
          <w:szCs w:val="24"/>
          <w:lang w:val="en-US"/>
        </w:rPr>
        <w:t>little</w:t>
      </w:r>
      <w:r w:rsidR="00FB5188" w:rsidRPr="00251411">
        <w:rPr>
          <w:rFonts w:ascii="Times New Roman" w:hAnsi="Times New Roman" w:cs="Times New Roman"/>
          <w:sz w:val="24"/>
          <w:szCs w:val="24"/>
          <w:lang w:val="en-US"/>
        </w:rPr>
        <w:t xml:space="preserve"> work load, is cost efficient </w:t>
      </w:r>
      <w:r w:rsidR="004E1788" w:rsidRPr="00251411">
        <w:rPr>
          <w:rFonts w:ascii="Times New Roman" w:hAnsi="Times New Roman" w:cs="Times New Roman"/>
          <w:sz w:val="24"/>
          <w:szCs w:val="24"/>
          <w:lang w:val="en-US"/>
        </w:rPr>
        <w:t>and</w:t>
      </w:r>
      <w:r w:rsidR="00FB5188" w:rsidRPr="00251411">
        <w:rPr>
          <w:rFonts w:ascii="Times New Roman" w:hAnsi="Times New Roman" w:cs="Times New Roman"/>
          <w:sz w:val="24"/>
          <w:szCs w:val="24"/>
          <w:lang w:val="en-US"/>
        </w:rPr>
        <w:t xml:space="preserve"> requires comparably little taxonomic expertise.</w:t>
      </w:r>
      <w:r w:rsidR="00311C38" w:rsidRPr="00251411">
        <w:rPr>
          <w:rFonts w:ascii="Times New Roman" w:hAnsi="Times New Roman" w:cs="Times New Roman"/>
          <w:sz w:val="24"/>
          <w:szCs w:val="24"/>
          <w:lang w:val="en-US"/>
        </w:rPr>
        <w:t xml:space="preserve"> The resulting</w:t>
      </w:r>
      <w:r w:rsidR="00FB5188" w:rsidRPr="00251411">
        <w:rPr>
          <w:rFonts w:ascii="Times New Roman" w:hAnsi="Times New Roman" w:cs="Times New Roman"/>
          <w:sz w:val="24"/>
          <w:szCs w:val="24"/>
          <w:lang w:val="en-US"/>
        </w:rPr>
        <w:t xml:space="preserve"> leap in throughput now allows large scale barcoding studies in whole ecosystems</w:t>
      </w:r>
      <w:r w:rsidR="00482979" w:rsidRPr="00251411">
        <w:rPr>
          <w:rFonts w:ascii="Times New Roman" w:hAnsi="Times New Roman" w:cs="Times New Roman"/>
          <w:sz w:val="24"/>
          <w:szCs w:val="24"/>
          <w:lang w:val="en-US"/>
        </w:rPr>
        <w:t xml:space="preserve"> (</w:t>
      </w:r>
      <w:proofErr w:type="spellStart"/>
      <w:r w:rsidR="00BE52A2" w:rsidRPr="00251411">
        <w:rPr>
          <w:rFonts w:ascii="Times New Roman" w:hAnsi="Times New Roman" w:cs="Times New Roman"/>
          <w:sz w:val="24"/>
          <w:szCs w:val="24"/>
          <w:lang w:val="en-US"/>
        </w:rPr>
        <w:t>Taberlet</w:t>
      </w:r>
      <w:proofErr w:type="spellEnd"/>
      <w:r w:rsidR="00BE52A2" w:rsidRPr="00251411">
        <w:rPr>
          <w:rFonts w:ascii="Times New Roman" w:hAnsi="Times New Roman" w:cs="Times New Roman"/>
          <w:sz w:val="24"/>
          <w:szCs w:val="24"/>
          <w:lang w:val="en-US"/>
        </w:rPr>
        <w:t xml:space="preserve"> et al. 2012; </w:t>
      </w:r>
      <w:proofErr w:type="spellStart"/>
      <w:r w:rsidR="00C203F2" w:rsidRPr="00251411">
        <w:rPr>
          <w:rFonts w:ascii="Times New Roman" w:hAnsi="Times New Roman" w:cs="Times New Roman"/>
          <w:sz w:val="24"/>
          <w:szCs w:val="24"/>
          <w:lang w:val="en-US"/>
        </w:rPr>
        <w:t>Leray</w:t>
      </w:r>
      <w:proofErr w:type="spellEnd"/>
      <w:r w:rsidR="00C203F2" w:rsidRPr="00251411">
        <w:rPr>
          <w:rFonts w:ascii="Times New Roman" w:hAnsi="Times New Roman" w:cs="Times New Roman"/>
          <w:sz w:val="24"/>
          <w:szCs w:val="24"/>
          <w:lang w:val="en-US"/>
        </w:rPr>
        <w:t xml:space="preserve"> &amp; Knowlton 2015; Gibson et al. 2014</w:t>
      </w:r>
      <w:r w:rsidR="00494A21" w:rsidRPr="00251411">
        <w:rPr>
          <w:rFonts w:ascii="Times New Roman" w:hAnsi="Times New Roman" w:cs="Times New Roman"/>
          <w:sz w:val="24"/>
          <w:szCs w:val="24"/>
          <w:lang w:val="en-US"/>
        </w:rPr>
        <w:t>; Ji et al. 2013</w:t>
      </w:r>
      <w:r w:rsidR="00482979" w:rsidRPr="00251411">
        <w:rPr>
          <w:rFonts w:ascii="Times New Roman" w:hAnsi="Times New Roman" w:cs="Times New Roman"/>
          <w:sz w:val="24"/>
          <w:szCs w:val="24"/>
          <w:lang w:val="en-US"/>
        </w:rPr>
        <w:t>)</w:t>
      </w:r>
      <w:r w:rsidR="00A119B0" w:rsidRPr="00251411">
        <w:rPr>
          <w:rFonts w:ascii="Times New Roman" w:hAnsi="Times New Roman" w:cs="Times New Roman"/>
          <w:sz w:val="24"/>
          <w:szCs w:val="24"/>
          <w:lang w:val="en-US"/>
        </w:rPr>
        <w:t xml:space="preserve">. The recovery of </w:t>
      </w:r>
      <w:r w:rsidR="00D32C41" w:rsidRPr="00251411">
        <w:rPr>
          <w:rFonts w:ascii="Times New Roman" w:hAnsi="Times New Roman" w:cs="Times New Roman"/>
          <w:sz w:val="24"/>
          <w:szCs w:val="24"/>
          <w:lang w:val="en-US"/>
        </w:rPr>
        <w:t xml:space="preserve">food web structure, </w:t>
      </w:r>
      <w:r w:rsidR="00FB5188" w:rsidRPr="00251411">
        <w:rPr>
          <w:rFonts w:ascii="Times New Roman" w:hAnsi="Times New Roman" w:cs="Times New Roman"/>
          <w:sz w:val="24"/>
          <w:szCs w:val="24"/>
          <w:lang w:val="en-US"/>
        </w:rPr>
        <w:t>cryptic species, identif</w:t>
      </w:r>
      <w:r w:rsidR="00A119B0" w:rsidRPr="00251411">
        <w:rPr>
          <w:rFonts w:ascii="Times New Roman" w:hAnsi="Times New Roman" w:cs="Times New Roman"/>
          <w:sz w:val="24"/>
          <w:szCs w:val="24"/>
          <w:lang w:val="en-US"/>
        </w:rPr>
        <w:t>ication of</w:t>
      </w:r>
      <w:r w:rsidR="00FB5188" w:rsidRPr="00251411">
        <w:rPr>
          <w:rFonts w:ascii="Times New Roman" w:hAnsi="Times New Roman" w:cs="Times New Roman"/>
          <w:sz w:val="24"/>
          <w:szCs w:val="24"/>
          <w:lang w:val="en-US"/>
        </w:rPr>
        <w:t xml:space="preserve"> juveniles and hidden </w:t>
      </w:r>
      <w:r w:rsidR="00FB5188" w:rsidRPr="00251411">
        <w:rPr>
          <w:rFonts w:ascii="Times New Roman" w:hAnsi="Times New Roman" w:cs="Times New Roman"/>
          <w:sz w:val="24"/>
          <w:szCs w:val="24"/>
          <w:lang w:val="en-US"/>
        </w:rPr>
        <w:lastRenderedPageBreak/>
        <w:t>diversity, e.g. internal parasitoids</w:t>
      </w:r>
      <w:r w:rsidR="00A119B0" w:rsidRPr="00251411">
        <w:rPr>
          <w:rFonts w:ascii="Times New Roman" w:hAnsi="Times New Roman" w:cs="Times New Roman"/>
          <w:sz w:val="24"/>
          <w:szCs w:val="24"/>
          <w:lang w:val="en-US"/>
        </w:rPr>
        <w:t xml:space="preserve"> and </w:t>
      </w:r>
      <w:r w:rsidR="005B27C2" w:rsidRPr="00251411">
        <w:rPr>
          <w:rFonts w:ascii="Times New Roman" w:hAnsi="Times New Roman" w:cs="Times New Roman"/>
          <w:sz w:val="24"/>
          <w:szCs w:val="24"/>
          <w:lang w:val="en-US"/>
        </w:rPr>
        <w:t>species ri</w:t>
      </w:r>
      <w:r w:rsidR="00B845C6" w:rsidRPr="00251411">
        <w:rPr>
          <w:rFonts w:ascii="Times New Roman" w:hAnsi="Times New Roman" w:cs="Times New Roman"/>
          <w:sz w:val="24"/>
          <w:szCs w:val="24"/>
          <w:lang w:val="en-US"/>
        </w:rPr>
        <w:t xml:space="preserve">chness in bulk samples promise </w:t>
      </w:r>
      <w:r w:rsidR="005B27C2" w:rsidRPr="00251411">
        <w:rPr>
          <w:rFonts w:ascii="Times New Roman" w:hAnsi="Times New Roman" w:cs="Times New Roman"/>
          <w:sz w:val="24"/>
          <w:szCs w:val="24"/>
          <w:lang w:val="en-US"/>
        </w:rPr>
        <w:t>unprecedented new insights into ecosystem function and assembly</w:t>
      </w:r>
      <w:r w:rsidR="00482979" w:rsidRPr="00251411">
        <w:rPr>
          <w:rFonts w:ascii="Times New Roman" w:hAnsi="Times New Roman" w:cs="Times New Roman"/>
          <w:sz w:val="24"/>
          <w:szCs w:val="24"/>
          <w:lang w:val="en-US"/>
        </w:rPr>
        <w:t xml:space="preserve"> (</w:t>
      </w:r>
      <w:proofErr w:type="spellStart"/>
      <w:r w:rsidR="00311C38" w:rsidRPr="00251411">
        <w:rPr>
          <w:rFonts w:ascii="Times New Roman" w:hAnsi="Times New Roman" w:cs="Times New Roman"/>
          <w:sz w:val="24"/>
          <w:szCs w:val="24"/>
          <w:lang w:val="en-US"/>
        </w:rPr>
        <w:t>Shokralla</w:t>
      </w:r>
      <w:proofErr w:type="spellEnd"/>
      <w:r w:rsidR="00311C38" w:rsidRPr="00251411">
        <w:rPr>
          <w:rFonts w:ascii="Times New Roman" w:hAnsi="Times New Roman" w:cs="Times New Roman"/>
          <w:sz w:val="24"/>
          <w:szCs w:val="24"/>
          <w:lang w:val="en-US"/>
        </w:rPr>
        <w:t xml:space="preserve"> et al. 2015; </w:t>
      </w:r>
      <w:proofErr w:type="spellStart"/>
      <w:r w:rsidR="002542E7" w:rsidRPr="00251411">
        <w:rPr>
          <w:rFonts w:ascii="Times New Roman" w:hAnsi="Times New Roman" w:cs="Times New Roman"/>
          <w:sz w:val="24"/>
          <w:szCs w:val="24"/>
          <w:lang w:val="en-US"/>
        </w:rPr>
        <w:t>Shokralla</w:t>
      </w:r>
      <w:proofErr w:type="spellEnd"/>
      <w:r w:rsidR="002542E7" w:rsidRPr="00251411">
        <w:rPr>
          <w:rFonts w:ascii="Times New Roman" w:hAnsi="Times New Roman" w:cs="Times New Roman"/>
          <w:sz w:val="24"/>
          <w:szCs w:val="24"/>
          <w:lang w:val="en-US"/>
        </w:rPr>
        <w:t xml:space="preserve"> et al. 2012; </w:t>
      </w:r>
      <w:r w:rsidR="00A119B0" w:rsidRPr="00251411">
        <w:rPr>
          <w:rFonts w:ascii="Times New Roman" w:hAnsi="Times New Roman" w:cs="Times New Roman"/>
          <w:sz w:val="24"/>
          <w:szCs w:val="24"/>
          <w:lang w:val="en-US"/>
        </w:rPr>
        <w:t>Kress et al. 2015</w:t>
      </w:r>
      <w:r w:rsidR="00D32C41" w:rsidRPr="00251411">
        <w:rPr>
          <w:rFonts w:ascii="Times New Roman" w:hAnsi="Times New Roman" w:cs="Times New Roman"/>
          <w:sz w:val="24"/>
          <w:szCs w:val="24"/>
          <w:lang w:val="en-US"/>
        </w:rPr>
        <w:t xml:space="preserve">; </w:t>
      </w:r>
      <w:proofErr w:type="spellStart"/>
      <w:r w:rsidR="00D32C41" w:rsidRPr="00251411">
        <w:rPr>
          <w:rFonts w:ascii="Times New Roman" w:hAnsi="Times New Roman" w:cs="Times New Roman"/>
          <w:sz w:val="24"/>
          <w:szCs w:val="24"/>
          <w:lang w:val="en-US"/>
        </w:rPr>
        <w:t>Kartzinel</w:t>
      </w:r>
      <w:proofErr w:type="spellEnd"/>
      <w:r w:rsidR="00D32C41" w:rsidRPr="00251411">
        <w:rPr>
          <w:rFonts w:ascii="Times New Roman" w:hAnsi="Times New Roman" w:cs="Times New Roman"/>
          <w:sz w:val="24"/>
          <w:szCs w:val="24"/>
          <w:lang w:val="en-US"/>
        </w:rPr>
        <w:t xml:space="preserve"> et al. 2015</w:t>
      </w:r>
      <w:r w:rsidR="00482979" w:rsidRPr="00251411">
        <w:rPr>
          <w:rFonts w:ascii="Times New Roman" w:hAnsi="Times New Roman" w:cs="Times New Roman"/>
          <w:sz w:val="24"/>
          <w:szCs w:val="24"/>
          <w:lang w:val="en-US"/>
        </w:rPr>
        <w:t>)</w:t>
      </w:r>
      <w:r w:rsidR="005B27C2" w:rsidRPr="00251411">
        <w:rPr>
          <w:rFonts w:ascii="Times New Roman" w:hAnsi="Times New Roman" w:cs="Times New Roman"/>
          <w:sz w:val="24"/>
          <w:szCs w:val="24"/>
          <w:lang w:val="en-US"/>
        </w:rPr>
        <w:t xml:space="preserve">. </w:t>
      </w:r>
      <w:r w:rsidR="00F62E94" w:rsidRPr="00251411">
        <w:rPr>
          <w:rFonts w:ascii="Times New Roman" w:hAnsi="Times New Roman" w:cs="Times New Roman"/>
          <w:sz w:val="24"/>
          <w:szCs w:val="24"/>
          <w:lang w:val="en-US"/>
        </w:rPr>
        <w:t>A critical, but not yet sufficiently understood application of such metabarcoding approaches is the potential estimation of species</w:t>
      </w:r>
      <w:r w:rsidR="002C1263" w:rsidRPr="00251411">
        <w:rPr>
          <w:rFonts w:ascii="Times New Roman" w:hAnsi="Times New Roman" w:cs="Times New Roman"/>
          <w:sz w:val="24"/>
          <w:szCs w:val="24"/>
          <w:lang w:val="en-US"/>
        </w:rPr>
        <w:t xml:space="preserve"> abundances from mixed samples </w:t>
      </w:r>
      <w:r w:rsidR="00482979" w:rsidRPr="00251411">
        <w:rPr>
          <w:rFonts w:ascii="Times New Roman" w:hAnsi="Times New Roman" w:cs="Times New Roman"/>
          <w:sz w:val="24"/>
          <w:szCs w:val="24"/>
          <w:lang w:val="en-US"/>
        </w:rPr>
        <w:t>(</w:t>
      </w:r>
      <w:proofErr w:type="spellStart"/>
      <w:r w:rsidR="00C203F2" w:rsidRPr="00251411">
        <w:rPr>
          <w:rFonts w:ascii="Times New Roman" w:hAnsi="Times New Roman" w:cs="Times New Roman"/>
          <w:sz w:val="24"/>
          <w:szCs w:val="24"/>
          <w:lang w:val="en-US"/>
        </w:rPr>
        <w:t>Elbrecht</w:t>
      </w:r>
      <w:proofErr w:type="spellEnd"/>
      <w:r w:rsidR="00C203F2" w:rsidRPr="00251411">
        <w:rPr>
          <w:rFonts w:ascii="Times New Roman" w:hAnsi="Times New Roman" w:cs="Times New Roman"/>
          <w:sz w:val="24"/>
          <w:szCs w:val="24"/>
          <w:lang w:val="en-US"/>
        </w:rPr>
        <w:t xml:space="preserve"> &amp; </w:t>
      </w:r>
      <w:proofErr w:type="spellStart"/>
      <w:r w:rsidR="00C203F2" w:rsidRPr="00251411">
        <w:rPr>
          <w:rFonts w:ascii="Times New Roman" w:hAnsi="Times New Roman" w:cs="Times New Roman"/>
          <w:sz w:val="24"/>
          <w:szCs w:val="24"/>
          <w:lang w:val="en-US"/>
        </w:rPr>
        <w:t>Leese</w:t>
      </w:r>
      <w:proofErr w:type="spellEnd"/>
      <w:r w:rsidR="00C203F2" w:rsidRPr="00251411">
        <w:rPr>
          <w:rFonts w:ascii="Times New Roman" w:hAnsi="Times New Roman" w:cs="Times New Roman"/>
          <w:sz w:val="24"/>
          <w:szCs w:val="24"/>
          <w:lang w:val="en-US"/>
        </w:rPr>
        <w:t>, 2015</w:t>
      </w:r>
      <w:r w:rsidR="00482979" w:rsidRPr="00251411">
        <w:rPr>
          <w:rFonts w:ascii="Times New Roman" w:hAnsi="Times New Roman" w:cs="Times New Roman"/>
          <w:sz w:val="24"/>
          <w:szCs w:val="24"/>
          <w:lang w:val="en-US"/>
        </w:rPr>
        <w:t>)</w:t>
      </w:r>
      <w:r w:rsidR="00FB5188" w:rsidRPr="00251411">
        <w:rPr>
          <w:rFonts w:ascii="Times New Roman" w:hAnsi="Times New Roman" w:cs="Times New Roman"/>
          <w:sz w:val="24"/>
          <w:szCs w:val="24"/>
          <w:lang w:val="en-US"/>
        </w:rPr>
        <w:t xml:space="preserve">. The commonly used </w:t>
      </w:r>
      <w:r w:rsidR="00A930E5" w:rsidRPr="00251411">
        <w:rPr>
          <w:rFonts w:ascii="Times New Roman" w:hAnsi="Times New Roman" w:cs="Times New Roman"/>
          <w:sz w:val="24"/>
          <w:szCs w:val="24"/>
          <w:lang w:val="en-US"/>
        </w:rPr>
        <w:t>PCR based approaches suffer from pronounced bias</w:t>
      </w:r>
      <w:r w:rsidR="00212CB5" w:rsidRPr="00251411">
        <w:rPr>
          <w:rFonts w:ascii="Times New Roman" w:hAnsi="Times New Roman" w:cs="Times New Roman"/>
          <w:sz w:val="24"/>
          <w:szCs w:val="24"/>
          <w:lang w:val="en-US"/>
        </w:rPr>
        <w:t>. Sequence divergence in priming sites or copy number varia</w:t>
      </w:r>
      <w:r w:rsidR="00B40AA3" w:rsidRPr="00251411">
        <w:rPr>
          <w:rFonts w:ascii="Times New Roman" w:hAnsi="Times New Roman" w:cs="Times New Roman"/>
          <w:sz w:val="24"/>
          <w:szCs w:val="24"/>
          <w:lang w:val="en-US"/>
        </w:rPr>
        <w:t>tion of the target</w:t>
      </w:r>
      <w:r w:rsidR="004E1788" w:rsidRPr="00251411">
        <w:rPr>
          <w:rFonts w:ascii="Times New Roman" w:hAnsi="Times New Roman" w:cs="Times New Roman"/>
          <w:sz w:val="24"/>
          <w:szCs w:val="24"/>
          <w:lang w:val="en-US"/>
        </w:rPr>
        <w:t xml:space="preserve"> genes can</w:t>
      </w:r>
      <w:r w:rsidR="00212CB5" w:rsidRPr="00251411">
        <w:rPr>
          <w:rFonts w:ascii="Times New Roman" w:hAnsi="Times New Roman" w:cs="Times New Roman"/>
          <w:sz w:val="24"/>
          <w:szCs w:val="24"/>
          <w:lang w:val="en-US"/>
        </w:rPr>
        <w:t xml:space="preserve"> lead</w:t>
      </w:r>
      <w:r w:rsidR="00A930E5" w:rsidRPr="00251411">
        <w:rPr>
          <w:rFonts w:ascii="Times New Roman" w:hAnsi="Times New Roman" w:cs="Times New Roman"/>
          <w:sz w:val="24"/>
          <w:szCs w:val="24"/>
          <w:lang w:val="en-US"/>
        </w:rPr>
        <w:t xml:space="preserve"> to </w:t>
      </w:r>
      <w:r w:rsidR="00FB5188" w:rsidRPr="00251411">
        <w:rPr>
          <w:rFonts w:ascii="Times New Roman" w:hAnsi="Times New Roman" w:cs="Times New Roman"/>
          <w:sz w:val="24"/>
          <w:szCs w:val="24"/>
          <w:lang w:val="en-US"/>
        </w:rPr>
        <w:t>flawed abundance estimates</w:t>
      </w:r>
      <w:r w:rsidR="00482979" w:rsidRPr="00251411">
        <w:rPr>
          <w:rFonts w:ascii="Times New Roman" w:hAnsi="Times New Roman" w:cs="Times New Roman"/>
          <w:sz w:val="24"/>
          <w:szCs w:val="24"/>
          <w:lang w:val="en-US"/>
        </w:rPr>
        <w:t xml:space="preserve"> (</w:t>
      </w:r>
      <w:r w:rsidR="00680980" w:rsidRPr="00251411">
        <w:rPr>
          <w:rFonts w:ascii="Times New Roman" w:hAnsi="Times New Roman" w:cs="Times New Roman"/>
          <w:sz w:val="24"/>
          <w:szCs w:val="24"/>
          <w:lang w:val="en-US"/>
        </w:rPr>
        <w:t xml:space="preserve">Clarke et al. 2014; </w:t>
      </w:r>
      <w:proofErr w:type="spellStart"/>
      <w:r w:rsidR="00C203F2" w:rsidRPr="00251411">
        <w:rPr>
          <w:rFonts w:ascii="Times New Roman" w:hAnsi="Times New Roman" w:cs="Times New Roman"/>
          <w:sz w:val="24"/>
          <w:szCs w:val="24"/>
          <w:lang w:val="en-US"/>
        </w:rPr>
        <w:t>Deagle</w:t>
      </w:r>
      <w:proofErr w:type="spellEnd"/>
      <w:r w:rsidR="00C203F2" w:rsidRPr="00251411">
        <w:rPr>
          <w:rFonts w:ascii="Times New Roman" w:hAnsi="Times New Roman" w:cs="Times New Roman"/>
          <w:sz w:val="24"/>
          <w:szCs w:val="24"/>
          <w:lang w:val="en-US"/>
        </w:rPr>
        <w:t xml:space="preserve"> et al. 2014</w:t>
      </w:r>
      <w:r w:rsidR="00482979" w:rsidRPr="00251411">
        <w:rPr>
          <w:rFonts w:ascii="Times New Roman" w:hAnsi="Times New Roman" w:cs="Times New Roman"/>
          <w:sz w:val="24"/>
          <w:szCs w:val="24"/>
          <w:lang w:val="en-US"/>
        </w:rPr>
        <w:t>)</w:t>
      </w:r>
      <w:r w:rsidR="00FB5188" w:rsidRPr="00251411">
        <w:rPr>
          <w:rFonts w:ascii="Times New Roman" w:hAnsi="Times New Roman" w:cs="Times New Roman"/>
          <w:sz w:val="24"/>
          <w:szCs w:val="24"/>
          <w:lang w:val="en-US"/>
        </w:rPr>
        <w:t xml:space="preserve">. </w:t>
      </w:r>
      <w:r w:rsidR="003F7270" w:rsidRPr="00251411">
        <w:rPr>
          <w:rFonts w:ascii="Times New Roman" w:hAnsi="Times New Roman" w:cs="Times New Roman"/>
          <w:sz w:val="24"/>
          <w:szCs w:val="24"/>
          <w:lang w:val="en-US"/>
        </w:rPr>
        <w:t>A short stretch of the mitochondrial COI gene is commonly used as barcoding marker in animals</w:t>
      </w:r>
      <w:r w:rsidR="00482979" w:rsidRPr="00251411">
        <w:rPr>
          <w:rFonts w:ascii="Times New Roman" w:hAnsi="Times New Roman" w:cs="Times New Roman"/>
          <w:sz w:val="24"/>
          <w:szCs w:val="24"/>
          <w:lang w:val="en-US"/>
        </w:rPr>
        <w:t xml:space="preserve"> (</w:t>
      </w:r>
      <w:r w:rsidR="00C203F2" w:rsidRPr="00251411">
        <w:rPr>
          <w:rFonts w:ascii="Times New Roman" w:hAnsi="Times New Roman" w:cs="Times New Roman"/>
          <w:sz w:val="24"/>
          <w:szCs w:val="24"/>
          <w:lang w:val="en-US"/>
        </w:rPr>
        <w:t xml:space="preserve">Hebert et al. 2003 &amp; 2004; </w:t>
      </w:r>
      <w:proofErr w:type="spellStart"/>
      <w:r w:rsidR="00C203F2" w:rsidRPr="00251411">
        <w:rPr>
          <w:rFonts w:ascii="Times New Roman" w:hAnsi="Times New Roman" w:cs="Times New Roman"/>
          <w:sz w:val="24"/>
          <w:szCs w:val="24"/>
          <w:lang w:val="en-US"/>
        </w:rPr>
        <w:t>Folmer</w:t>
      </w:r>
      <w:proofErr w:type="spellEnd"/>
      <w:r w:rsidR="00C203F2" w:rsidRPr="00251411">
        <w:rPr>
          <w:rFonts w:ascii="Times New Roman" w:hAnsi="Times New Roman" w:cs="Times New Roman"/>
          <w:sz w:val="24"/>
          <w:szCs w:val="24"/>
          <w:lang w:val="en-US"/>
        </w:rPr>
        <w:t xml:space="preserve"> et al. 1994</w:t>
      </w:r>
      <w:r w:rsidR="00482979" w:rsidRPr="00251411">
        <w:rPr>
          <w:rFonts w:ascii="Times New Roman" w:hAnsi="Times New Roman" w:cs="Times New Roman"/>
          <w:sz w:val="24"/>
          <w:szCs w:val="24"/>
          <w:lang w:val="en-US"/>
        </w:rPr>
        <w:t>)</w:t>
      </w:r>
      <w:r w:rsidR="003F7270" w:rsidRPr="00251411">
        <w:rPr>
          <w:rFonts w:ascii="Times New Roman" w:hAnsi="Times New Roman" w:cs="Times New Roman"/>
          <w:sz w:val="24"/>
          <w:szCs w:val="24"/>
          <w:lang w:val="en-US"/>
        </w:rPr>
        <w:t xml:space="preserve">. While the high variability of </w:t>
      </w:r>
      <w:r w:rsidR="000E1F06" w:rsidRPr="00251411">
        <w:rPr>
          <w:rFonts w:ascii="Times New Roman" w:hAnsi="Times New Roman" w:cs="Times New Roman"/>
          <w:sz w:val="24"/>
          <w:szCs w:val="24"/>
          <w:lang w:val="en-US"/>
        </w:rPr>
        <w:t>COI</w:t>
      </w:r>
      <w:r w:rsidR="003F7270" w:rsidRPr="00251411">
        <w:rPr>
          <w:rFonts w:ascii="Times New Roman" w:hAnsi="Times New Roman" w:cs="Times New Roman"/>
          <w:sz w:val="24"/>
          <w:szCs w:val="24"/>
          <w:lang w:val="en-US"/>
        </w:rPr>
        <w:t xml:space="preserve"> makes it an ideal choice to identify species or even intraspecific variation, this variation will also amplify priming bias. Hence other markers, with more conserved priming sites have been suggested as potential substitute for COI, and might be more suitable for quantitative community analysis</w:t>
      </w:r>
      <w:r w:rsidR="00482979" w:rsidRPr="00251411">
        <w:rPr>
          <w:rFonts w:ascii="Times New Roman" w:hAnsi="Times New Roman" w:cs="Times New Roman"/>
          <w:sz w:val="24"/>
          <w:szCs w:val="24"/>
          <w:lang w:val="en-US"/>
        </w:rPr>
        <w:t xml:space="preserve"> (</w:t>
      </w:r>
      <w:r w:rsidR="004301BB" w:rsidRPr="00251411">
        <w:rPr>
          <w:rFonts w:ascii="Times New Roman" w:hAnsi="Times New Roman" w:cs="Times New Roman"/>
          <w:sz w:val="24"/>
          <w:szCs w:val="24"/>
          <w:lang w:val="en-US"/>
        </w:rPr>
        <w:t xml:space="preserve">Drummond et al. 2015; </w:t>
      </w:r>
      <w:r w:rsidR="00680980" w:rsidRPr="00251411">
        <w:rPr>
          <w:rFonts w:ascii="Times New Roman" w:hAnsi="Times New Roman" w:cs="Times New Roman"/>
          <w:sz w:val="24"/>
          <w:szCs w:val="24"/>
          <w:lang w:val="en-US"/>
        </w:rPr>
        <w:t xml:space="preserve">Clarke et al. 2014; </w:t>
      </w:r>
      <w:proofErr w:type="spellStart"/>
      <w:r w:rsidR="00C203F2" w:rsidRPr="00251411">
        <w:rPr>
          <w:rFonts w:ascii="Times New Roman" w:hAnsi="Times New Roman" w:cs="Times New Roman"/>
          <w:sz w:val="24"/>
          <w:szCs w:val="24"/>
          <w:lang w:val="en-US"/>
        </w:rPr>
        <w:t>Deagle</w:t>
      </w:r>
      <w:proofErr w:type="spellEnd"/>
      <w:r w:rsidR="00C203F2" w:rsidRPr="00251411">
        <w:rPr>
          <w:rFonts w:ascii="Times New Roman" w:hAnsi="Times New Roman" w:cs="Times New Roman"/>
          <w:sz w:val="24"/>
          <w:szCs w:val="24"/>
          <w:lang w:val="en-US"/>
        </w:rPr>
        <w:t xml:space="preserve"> et al. 2014</w:t>
      </w:r>
      <w:r w:rsidR="00ED2490" w:rsidRPr="00251411">
        <w:rPr>
          <w:rFonts w:ascii="Times New Roman" w:hAnsi="Times New Roman" w:cs="Times New Roman"/>
          <w:sz w:val="24"/>
          <w:szCs w:val="24"/>
          <w:lang w:val="en-US"/>
        </w:rPr>
        <w:t xml:space="preserve">; </w:t>
      </w:r>
      <w:proofErr w:type="spellStart"/>
      <w:r w:rsidR="00ED2490" w:rsidRPr="00251411">
        <w:rPr>
          <w:rFonts w:ascii="Times New Roman" w:hAnsi="Times New Roman" w:cs="Times New Roman"/>
          <w:sz w:val="24"/>
          <w:szCs w:val="24"/>
          <w:lang w:val="en-US"/>
        </w:rPr>
        <w:t>Elbrecht</w:t>
      </w:r>
      <w:proofErr w:type="spellEnd"/>
      <w:r w:rsidR="00ED2490" w:rsidRPr="00251411">
        <w:rPr>
          <w:rFonts w:ascii="Times New Roman" w:hAnsi="Times New Roman" w:cs="Times New Roman"/>
          <w:sz w:val="24"/>
          <w:szCs w:val="24"/>
          <w:lang w:val="en-US"/>
        </w:rPr>
        <w:t xml:space="preserve"> et al. 2016</w:t>
      </w:r>
      <w:r w:rsidR="00482979" w:rsidRPr="00251411">
        <w:rPr>
          <w:rFonts w:ascii="Times New Roman" w:hAnsi="Times New Roman" w:cs="Times New Roman"/>
          <w:sz w:val="24"/>
          <w:szCs w:val="24"/>
          <w:lang w:val="en-US"/>
        </w:rPr>
        <w:t>)</w:t>
      </w:r>
      <w:r w:rsidR="003F7270" w:rsidRPr="00251411">
        <w:rPr>
          <w:rFonts w:ascii="Times New Roman" w:hAnsi="Times New Roman" w:cs="Times New Roman"/>
          <w:sz w:val="24"/>
          <w:szCs w:val="24"/>
          <w:lang w:val="en-US"/>
        </w:rPr>
        <w:t xml:space="preserve">. Such novel markers however, are </w:t>
      </w:r>
      <w:r w:rsidR="004E1788" w:rsidRPr="00251411">
        <w:rPr>
          <w:rFonts w:ascii="Times New Roman" w:hAnsi="Times New Roman" w:cs="Times New Roman"/>
          <w:sz w:val="24"/>
          <w:szCs w:val="24"/>
          <w:lang w:val="en-US"/>
        </w:rPr>
        <w:t xml:space="preserve">usually </w:t>
      </w:r>
      <w:r w:rsidR="003F7270" w:rsidRPr="00251411">
        <w:rPr>
          <w:rFonts w:ascii="Times New Roman" w:hAnsi="Times New Roman" w:cs="Times New Roman"/>
          <w:sz w:val="24"/>
          <w:szCs w:val="24"/>
          <w:lang w:val="en-US"/>
        </w:rPr>
        <w:t xml:space="preserve">less variable </w:t>
      </w:r>
      <w:r w:rsidR="00A35918" w:rsidRPr="00251411">
        <w:rPr>
          <w:rFonts w:ascii="Times New Roman" w:hAnsi="Times New Roman" w:cs="Times New Roman"/>
          <w:sz w:val="24"/>
          <w:szCs w:val="24"/>
          <w:lang w:val="en-US"/>
        </w:rPr>
        <w:t xml:space="preserve">(Tang et al. 2012) </w:t>
      </w:r>
      <w:r w:rsidR="003F7270" w:rsidRPr="00251411">
        <w:rPr>
          <w:rFonts w:ascii="Times New Roman" w:hAnsi="Times New Roman" w:cs="Times New Roman"/>
          <w:sz w:val="24"/>
          <w:szCs w:val="24"/>
          <w:lang w:val="en-US"/>
        </w:rPr>
        <w:t>and have much less well developed reference databases to identify sequences</w:t>
      </w:r>
      <w:r w:rsidR="00482979" w:rsidRPr="00251411">
        <w:rPr>
          <w:rFonts w:ascii="Times New Roman" w:hAnsi="Times New Roman" w:cs="Times New Roman"/>
          <w:sz w:val="24"/>
          <w:szCs w:val="24"/>
          <w:lang w:val="en-US"/>
        </w:rPr>
        <w:t xml:space="preserve"> (</w:t>
      </w:r>
      <w:proofErr w:type="spellStart"/>
      <w:r w:rsidR="00C203F2" w:rsidRPr="00251411">
        <w:rPr>
          <w:rFonts w:ascii="Times New Roman" w:hAnsi="Times New Roman" w:cs="Times New Roman"/>
          <w:sz w:val="24"/>
          <w:szCs w:val="24"/>
          <w:lang w:val="en-US"/>
        </w:rPr>
        <w:t>Ratnasingham</w:t>
      </w:r>
      <w:proofErr w:type="spellEnd"/>
      <w:r w:rsidR="00C203F2" w:rsidRPr="00251411">
        <w:rPr>
          <w:rFonts w:ascii="Times New Roman" w:hAnsi="Times New Roman" w:cs="Times New Roman"/>
          <w:sz w:val="24"/>
          <w:szCs w:val="24"/>
          <w:lang w:val="en-US"/>
        </w:rPr>
        <w:t xml:space="preserve"> &amp; Hebert, 2007</w:t>
      </w:r>
      <w:r w:rsidR="00482979" w:rsidRPr="00251411">
        <w:rPr>
          <w:rFonts w:ascii="Times New Roman" w:hAnsi="Times New Roman" w:cs="Times New Roman"/>
          <w:sz w:val="24"/>
          <w:szCs w:val="24"/>
          <w:lang w:val="en-US"/>
        </w:rPr>
        <w:t>)</w:t>
      </w:r>
      <w:r w:rsidR="003F7270" w:rsidRPr="00251411">
        <w:rPr>
          <w:rFonts w:ascii="Times New Roman" w:hAnsi="Times New Roman" w:cs="Times New Roman"/>
          <w:sz w:val="24"/>
          <w:szCs w:val="24"/>
          <w:lang w:val="en-US"/>
        </w:rPr>
        <w:t xml:space="preserve">. Another solution is found by using degenerate </w:t>
      </w:r>
      <w:r w:rsidR="000E1F06" w:rsidRPr="00251411">
        <w:rPr>
          <w:rFonts w:ascii="Times New Roman" w:hAnsi="Times New Roman" w:cs="Times New Roman"/>
          <w:sz w:val="24"/>
          <w:szCs w:val="24"/>
          <w:lang w:val="en-US"/>
        </w:rPr>
        <w:t>COI</w:t>
      </w:r>
      <w:r w:rsidR="003F7270" w:rsidRPr="00251411">
        <w:rPr>
          <w:rFonts w:ascii="Times New Roman" w:hAnsi="Times New Roman" w:cs="Times New Roman"/>
          <w:sz w:val="24"/>
          <w:szCs w:val="24"/>
          <w:lang w:val="en-US"/>
        </w:rPr>
        <w:t xml:space="preserve"> primers, which </w:t>
      </w:r>
      <w:r w:rsidR="00677641" w:rsidRPr="00251411">
        <w:rPr>
          <w:rFonts w:ascii="Times New Roman" w:hAnsi="Times New Roman" w:cs="Times New Roman"/>
          <w:sz w:val="24"/>
          <w:szCs w:val="24"/>
          <w:lang w:val="en-US"/>
        </w:rPr>
        <w:t xml:space="preserve">mitigate PCR bias and </w:t>
      </w:r>
      <w:r w:rsidR="003F7270" w:rsidRPr="00251411">
        <w:rPr>
          <w:rFonts w:ascii="Times New Roman" w:hAnsi="Times New Roman" w:cs="Times New Roman"/>
          <w:sz w:val="24"/>
          <w:szCs w:val="24"/>
          <w:lang w:val="en-US"/>
        </w:rPr>
        <w:t>allow for a</w:t>
      </w:r>
      <w:r w:rsidR="00677641" w:rsidRPr="00251411">
        <w:rPr>
          <w:rFonts w:ascii="Times New Roman" w:hAnsi="Times New Roman" w:cs="Times New Roman"/>
          <w:sz w:val="24"/>
          <w:szCs w:val="24"/>
          <w:lang w:val="en-US"/>
        </w:rPr>
        <w:t>n amplification of</w:t>
      </w:r>
      <w:r w:rsidR="003F7270" w:rsidRPr="00251411">
        <w:rPr>
          <w:rFonts w:ascii="Times New Roman" w:hAnsi="Times New Roman" w:cs="Times New Roman"/>
          <w:sz w:val="24"/>
          <w:szCs w:val="24"/>
          <w:lang w:val="en-US"/>
        </w:rPr>
        <w:t xml:space="preserve"> </w:t>
      </w:r>
      <w:r w:rsidR="00677641" w:rsidRPr="00251411">
        <w:rPr>
          <w:rFonts w:ascii="Times New Roman" w:hAnsi="Times New Roman" w:cs="Times New Roman"/>
          <w:sz w:val="24"/>
          <w:szCs w:val="24"/>
          <w:lang w:val="en-US"/>
        </w:rPr>
        <w:t xml:space="preserve">a broader taxonomic </w:t>
      </w:r>
      <w:r w:rsidR="00F62E94" w:rsidRPr="00251411">
        <w:rPr>
          <w:rFonts w:ascii="Times New Roman" w:hAnsi="Times New Roman" w:cs="Times New Roman"/>
          <w:sz w:val="24"/>
          <w:szCs w:val="24"/>
          <w:lang w:val="en-US"/>
        </w:rPr>
        <w:t>range</w:t>
      </w:r>
      <w:r w:rsidR="00482979" w:rsidRPr="00251411">
        <w:rPr>
          <w:rFonts w:ascii="Times New Roman" w:hAnsi="Times New Roman" w:cs="Times New Roman"/>
          <w:sz w:val="24"/>
          <w:szCs w:val="24"/>
          <w:lang w:val="en-US"/>
        </w:rPr>
        <w:t xml:space="preserve"> (</w:t>
      </w:r>
      <w:r w:rsidR="00C203F2" w:rsidRPr="00251411">
        <w:rPr>
          <w:rFonts w:ascii="Times New Roman" w:hAnsi="Times New Roman" w:cs="Times New Roman"/>
          <w:sz w:val="24"/>
          <w:szCs w:val="24"/>
          <w:lang w:val="en-US"/>
        </w:rPr>
        <w:t>Yu et al, 2012</w:t>
      </w:r>
      <w:r w:rsidR="00482979" w:rsidRPr="00251411">
        <w:rPr>
          <w:rFonts w:ascii="Times New Roman" w:hAnsi="Times New Roman" w:cs="Times New Roman"/>
          <w:sz w:val="24"/>
          <w:szCs w:val="24"/>
          <w:lang w:val="en-US"/>
        </w:rPr>
        <w:t>)</w:t>
      </w:r>
      <w:r w:rsidR="00F62E94" w:rsidRPr="00251411">
        <w:rPr>
          <w:rFonts w:ascii="Times New Roman" w:hAnsi="Times New Roman" w:cs="Times New Roman"/>
          <w:sz w:val="24"/>
          <w:szCs w:val="24"/>
          <w:lang w:val="en-US"/>
        </w:rPr>
        <w:t>.</w:t>
      </w:r>
      <w:r w:rsidR="00677641" w:rsidRPr="00251411">
        <w:rPr>
          <w:rFonts w:ascii="Times New Roman" w:hAnsi="Times New Roman" w:cs="Times New Roman"/>
          <w:sz w:val="24"/>
          <w:szCs w:val="24"/>
          <w:lang w:val="en-US"/>
        </w:rPr>
        <w:t xml:space="preserve"> </w:t>
      </w:r>
      <w:r w:rsidR="004E1788" w:rsidRPr="00251411">
        <w:rPr>
          <w:rFonts w:ascii="Times New Roman" w:hAnsi="Times New Roman" w:cs="Times New Roman"/>
          <w:sz w:val="24"/>
          <w:szCs w:val="24"/>
          <w:lang w:val="en-US"/>
        </w:rPr>
        <w:t>And finally</w:t>
      </w:r>
      <w:r w:rsidR="00677641" w:rsidRPr="00251411">
        <w:rPr>
          <w:rFonts w:ascii="Times New Roman" w:hAnsi="Times New Roman" w:cs="Times New Roman"/>
          <w:sz w:val="24"/>
          <w:szCs w:val="24"/>
          <w:lang w:val="en-US"/>
        </w:rPr>
        <w:t>,</w:t>
      </w:r>
      <w:r w:rsidR="003F7270" w:rsidRPr="00251411">
        <w:rPr>
          <w:rFonts w:ascii="Times New Roman" w:hAnsi="Times New Roman" w:cs="Times New Roman"/>
          <w:sz w:val="24"/>
          <w:szCs w:val="24"/>
          <w:lang w:val="en-US"/>
        </w:rPr>
        <w:t xml:space="preserve"> </w:t>
      </w:r>
      <w:r w:rsidR="00AE482F" w:rsidRPr="00251411">
        <w:rPr>
          <w:rFonts w:ascii="Times New Roman" w:hAnsi="Times New Roman" w:cs="Times New Roman"/>
          <w:sz w:val="24"/>
          <w:szCs w:val="24"/>
          <w:lang w:val="en-US"/>
        </w:rPr>
        <w:t>PCR free approaches</w:t>
      </w:r>
      <w:r w:rsidR="003F7270" w:rsidRPr="00251411">
        <w:rPr>
          <w:rFonts w:ascii="Times New Roman" w:hAnsi="Times New Roman" w:cs="Times New Roman"/>
          <w:sz w:val="24"/>
          <w:szCs w:val="24"/>
          <w:lang w:val="en-US"/>
        </w:rPr>
        <w:t xml:space="preserve"> </w:t>
      </w:r>
      <w:r w:rsidR="008336CC" w:rsidRPr="00251411">
        <w:rPr>
          <w:rFonts w:ascii="Times New Roman" w:hAnsi="Times New Roman" w:cs="Times New Roman"/>
          <w:sz w:val="24"/>
          <w:szCs w:val="24"/>
          <w:lang w:val="en-US"/>
        </w:rPr>
        <w:t xml:space="preserve">have been suggested. The direct sequencing of genomic DNA and analysis, the recovered barcode sequences, </w:t>
      </w:r>
      <w:r w:rsidR="00FB5188" w:rsidRPr="00251411">
        <w:rPr>
          <w:rFonts w:ascii="Times New Roman" w:hAnsi="Times New Roman" w:cs="Times New Roman"/>
          <w:sz w:val="24"/>
          <w:szCs w:val="24"/>
          <w:lang w:val="en-US"/>
        </w:rPr>
        <w:t>provide accurate predictions of abundance in communities</w:t>
      </w:r>
      <w:r w:rsidR="00482979" w:rsidRPr="00251411">
        <w:rPr>
          <w:rFonts w:ascii="Times New Roman" w:hAnsi="Times New Roman" w:cs="Times New Roman"/>
          <w:sz w:val="24"/>
          <w:szCs w:val="24"/>
          <w:lang w:val="en-US"/>
        </w:rPr>
        <w:t xml:space="preserve"> (</w:t>
      </w:r>
      <w:r w:rsidR="006E73B8" w:rsidRPr="00251411">
        <w:rPr>
          <w:rFonts w:ascii="Times New Roman" w:hAnsi="Times New Roman" w:cs="Times New Roman"/>
          <w:sz w:val="24"/>
          <w:szCs w:val="24"/>
          <w:lang w:val="en-US"/>
        </w:rPr>
        <w:t xml:space="preserve">Crampton-Platt et al. 2016; </w:t>
      </w:r>
      <w:r w:rsidR="004301BB" w:rsidRPr="00251411">
        <w:rPr>
          <w:rFonts w:ascii="Times New Roman" w:hAnsi="Times New Roman" w:cs="Times New Roman"/>
          <w:sz w:val="24"/>
          <w:szCs w:val="24"/>
          <w:lang w:val="en-US"/>
        </w:rPr>
        <w:t xml:space="preserve">Gomez-Rodriguez et al. 2015; </w:t>
      </w:r>
      <w:r w:rsidR="006E73B8" w:rsidRPr="00251411">
        <w:rPr>
          <w:rFonts w:ascii="Times New Roman" w:hAnsi="Times New Roman" w:cs="Times New Roman"/>
          <w:sz w:val="24"/>
          <w:szCs w:val="24"/>
          <w:lang w:val="en-US"/>
        </w:rPr>
        <w:t>Zhou et al. 2013</w:t>
      </w:r>
      <w:r w:rsidR="00482979" w:rsidRPr="00251411">
        <w:rPr>
          <w:rFonts w:ascii="Times New Roman" w:hAnsi="Times New Roman" w:cs="Times New Roman"/>
          <w:sz w:val="24"/>
          <w:szCs w:val="24"/>
          <w:lang w:val="en-US"/>
        </w:rPr>
        <w:t>)</w:t>
      </w:r>
      <w:r w:rsidR="00FB5188" w:rsidRPr="00251411">
        <w:rPr>
          <w:rFonts w:ascii="Times New Roman" w:hAnsi="Times New Roman" w:cs="Times New Roman"/>
          <w:sz w:val="24"/>
          <w:szCs w:val="24"/>
          <w:lang w:val="en-US"/>
        </w:rPr>
        <w:t xml:space="preserve">. However, </w:t>
      </w:r>
      <w:r w:rsidR="000E1F06" w:rsidRPr="00251411">
        <w:rPr>
          <w:rFonts w:ascii="Times New Roman" w:hAnsi="Times New Roman" w:cs="Times New Roman"/>
          <w:sz w:val="24"/>
          <w:szCs w:val="24"/>
          <w:lang w:val="en-US"/>
        </w:rPr>
        <w:t>PCR</w:t>
      </w:r>
      <w:r w:rsidR="00FB5188" w:rsidRPr="00251411">
        <w:rPr>
          <w:rFonts w:ascii="Times New Roman" w:hAnsi="Times New Roman" w:cs="Times New Roman"/>
          <w:sz w:val="24"/>
          <w:szCs w:val="24"/>
          <w:lang w:val="en-US"/>
        </w:rPr>
        <w:t xml:space="preserve"> free methods come with a considerable increase in workload and processing cost, e.g. for enrichment and library preparation.</w:t>
      </w:r>
      <w:r w:rsidR="00212CB5" w:rsidRPr="00251411">
        <w:rPr>
          <w:rFonts w:ascii="Times New Roman" w:hAnsi="Times New Roman" w:cs="Times New Roman"/>
          <w:sz w:val="24"/>
          <w:szCs w:val="24"/>
          <w:lang w:val="en-US"/>
        </w:rPr>
        <w:t xml:space="preserve"> </w:t>
      </w:r>
      <w:r w:rsidR="008336CC" w:rsidRPr="00251411">
        <w:rPr>
          <w:rFonts w:ascii="Times New Roman" w:hAnsi="Times New Roman" w:cs="Times New Roman"/>
          <w:sz w:val="24"/>
          <w:szCs w:val="24"/>
          <w:lang w:val="en-US"/>
        </w:rPr>
        <w:t xml:space="preserve">And while they mitigate priming bias, they </w:t>
      </w:r>
      <w:r w:rsidR="00212CB5" w:rsidRPr="00251411">
        <w:rPr>
          <w:rFonts w:ascii="Times New Roman" w:hAnsi="Times New Roman" w:cs="Times New Roman"/>
          <w:sz w:val="24"/>
          <w:szCs w:val="24"/>
          <w:lang w:val="en-US"/>
        </w:rPr>
        <w:t>will also be sensitive to copy number variation</w:t>
      </w:r>
      <w:r w:rsidR="00AE482F" w:rsidRPr="00251411">
        <w:rPr>
          <w:rFonts w:ascii="Times New Roman" w:hAnsi="Times New Roman" w:cs="Times New Roman"/>
          <w:sz w:val="24"/>
          <w:szCs w:val="24"/>
          <w:lang w:val="en-US"/>
        </w:rPr>
        <w:t xml:space="preserve"> of the target locus</w:t>
      </w:r>
      <w:r w:rsidR="00212CB5" w:rsidRPr="00251411">
        <w:rPr>
          <w:rFonts w:ascii="Times New Roman" w:hAnsi="Times New Roman" w:cs="Times New Roman"/>
          <w:sz w:val="24"/>
          <w:szCs w:val="24"/>
          <w:lang w:val="en-US"/>
        </w:rPr>
        <w:t xml:space="preserve">. </w:t>
      </w:r>
    </w:p>
    <w:p w14:paraId="0F2F1AF1" w14:textId="4F5B6349" w:rsidR="00202312" w:rsidRPr="00251411" w:rsidRDefault="00F62E94"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Even though PCR bias is a problem in quantitative community analyses, PCR </w:t>
      </w:r>
      <w:r w:rsidR="006B52FE" w:rsidRPr="00251411">
        <w:rPr>
          <w:rFonts w:ascii="Times New Roman" w:hAnsi="Times New Roman" w:cs="Times New Roman"/>
          <w:sz w:val="24"/>
          <w:szCs w:val="24"/>
          <w:lang w:val="en-US"/>
        </w:rPr>
        <w:t>has proven as highly predictable</w:t>
      </w:r>
      <w:r w:rsidRPr="00251411">
        <w:rPr>
          <w:rFonts w:ascii="Times New Roman" w:hAnsi="Times New Roman" w:cs="Times New Roman"/>
          <w:sz w:val="24"/>
          <w:szCs w:val="24"/>
          <w:lang w:val="en-US"/>
        </w:rPr>
        <w:t xml:space="preserve"> </w:t>
      </w:r>
      <w:r w:rsidR="006B52FE" w:rsidRPr="00251411">
        <w:rPr>
          <w:rFonts w:ascii="Times New Roman" w:hAnsi="Times New Roman" w:cs="Times New Roman"/>
          <w:sz w:val="24"/>
          <w:szCs w:val="24"/>
          <w:lang w:val="en-US"/>
        </w:rPr>
        <w:t>and accurate</w:t>
      </w:r>
      <w:r w:rsidR="009F42E1" w:rsidRPr="00251411">
        <w:rPr>
          <w:rFonts w:ascii="Times New Roman" w:hAnsi="Times New Roman" w:cs="Times New Roman"/>
          <w:sz w:val="24"/>
          <w:szCs w:val="24"/>
          <w:lang w:val="en-US"/>
        </w:rPr>
        <w:t>, as</w:t>
      </w:r>
      <w:r w:rsidRPr="00251411">
        <w:rPr>
          <w:rFonts w:ascii="Times New Roman" w:hAnsi="Times New Roman" w:cs="Times New Roman"/>
          <w:sz w:val="24"/>
          <w:szCs w:val="24"/>
          <w:lang w:val="en-US"/>
        </w:rPr>
        <w:t xml:space="preserve"> evident by applications like quantitative PCR</w:t>
      </w:r>
      <w:r w:rsidR="002E5AA0" w:rsidRPr="00251411">
        <w:rPr>
          <w:rFonts w:ascii="Times New Roman" w:hAnsi="Times New Roman" w:cs="Times New Roman"/>
          <w:sz w:val="24"/>
          <w:szCs w:val="24"/>
          <w:lang w:val="en-US"/>
        </w:rPr>
        <w:t xml:space="preserve"> (</w:t>
      </w:r>
      <w:proofErr w:type="spellStart"/>
      <w:r w:rsidR="00C203F2" w:rsidRPr="00251411">
        <w:rPr>
          <w:rFonts w:ascii="Times New Roman" w:hAnsi="Times New Roman" w:cs="Times New Roman"/>
          <w:sz w:val="24"/>
          <w:szCs w:val="24"/>
          <w:lang w:val="en-US"/>
        </w:rPr>
        <w:t>Heid</w:t>
      </w:r>
      <w:proofErr w:type="spellEnd"/>
      <w:r w:rsidR="00C203F2" w:rsidRPr="00251411">
        <w:rPr>
          <w:rFonts w:ascii="Times New Roman" w:hAnsi="Times New Roman" w:cs="Times New Roman"/>
          <w:sz w:val="24"/>
          <w:szCs w:val="24"/>
          <w:lang w:val="en-US"/>
        </w:rPr>
        <w:t xml:space="preserve"> et al. 1996</w:t>
      </w:r>
      <w:r w:rsidR="002E5AA0" w:rsidRPr="00251411">
        <w:rPr>
          <w:rFonts w:ascii="Times New Roman" w:hAnsi="Times New Roman" w:cs="Times New Roman"/>
          <w:sz w:val="24"/>
          <w:szCs w:val="24"/>
          <w:lang w:val="en-US"/>
        </w:rPr>
        <w:t>)</w:t>
      </w:r>
      <w:r w:rsidR="009F42E1" w:rsidRPr="00251411">
        <w:rPr>
          <w:rFonts w:ascii="Times New Roman" w:hAnsi="Times New Roman" w:cs="Times New Roman"/>
          <w:sz w:val="24"/>
          <w:szCs w:val="24"/>
          <w:lang w:val="en-US"/>
        </w:rPr>
        <w:t>.</w:t>
      </w:r>
      <w:r w:rsidRPr="00251411">
        <w:rPr>
          <w:rFonts w:ascii="Times New Roman" w:hAnsi="Times New Roman" w:cs="Times New Roman"/>
          <w:sz w:val="24"/>
          <w:szCs w:val="24"/>
          <w:lang w:val="en-US"/>
        </w:rPr>
        <w:t xml:space="preserve"> </w:t>
      </w:r>
      <w:r w:rsidR="001224B9" w:rsidRPr="00251411">
        <w:rPr>
          <w:rFonts w:ascii="Times New Roman" w:hAnsi="Times New Roman" w:cs="Times New Roman"/>
          <w:sz w:val="24"/>
          <w:szCs w:val="24"/>
          <w:lang w:val="en-US"/>
        </w:rPr>
        <w:t>Assuming that th</w:t>
      </w:r>
      <w:r w:rsidR="009F42E1" w:rsidRPr="00251411">
        <w:rPr>
          <w:rFonts w:ascii="Times New Roman" w:hAnsi="Times New Roman" w:cs="Times New Roman"/>
          <w:sz w:val="24"/>
          <w:szCs w:val="24"/>
          <w:lang w:val="en-US"/>
        </w:rPr>
        <w:t>e PCR for a taxon in a community sample is not affect</w:t>
      </w:r>
      <w:r w:rsidR="001224B9" w:rsidRPr="00251411">
        <w:rPr>
          <w:rFonts w:ascii="Times New Roman" w:hAnsi="Times New Roman" w:cs="Times New Roman"/>
          <w:sz w:val="24"/>
          <w:szCs w:val="24"/>
          <w:lang w:val="en-US"/>
        </w:rPr>
        <w:t xml:space="preserve">ed by other </w:t>
      </w:r>
      <w:r w:rsidR="009F42E1" w:rsidRPr="00251411">
        <w:rPr>
          <w:rFonts w:ascii="Times New Roman" w:hAnsi="Times New Roman" w:cs="Times New Roman"/>
          <w:sz w:val="24"/>
          <w:szCs w:val="24"/>
          <w:lang w:val="en-US"/>
        </w:rPr>
        <w:lastRenderedPageBreak/>
        <w:t xml:space="preserve">taxa in the extraction, the proportion of input DNA should be tightly correlated to the proportion of </w:t>
      </w:r>
      <w:r w:rsidR="00202312" w:rsidRPr="00251411">
        <w:rPr>
          <w:rFonts w:ascii="Times New Roman" w:hAnsi="Times New Roman" w:cs="Times New Roman"/>
          <w:sz w:val="24"/>
          <w:szCs w:val="24"/>
          <w:lang w:val="en-US"/>
        </w:rPr>
        <w:t>recovered reads for that taxon. PCR</w:t>
      </w:r>
      <w:r w:rsidR="00045744" w:rsidRPr="00251411">
        <w:rPr>
          <w:rFonts w:ascii="Times New Roman" w:hAnsi="Times New Roman" w:cs="Times New Roman"/>
          <w:sz w:val="24"/>
          <w:szCs w:val="24"/>
          <w:lang w:val="en-US"/>
        </w:rPr>
        <w:t xml:space="preserve"> priming bias</w:t>
      </w:r>
      <w:r w:rsidR="00202312" w:rsidRPr="00251411">
        <w:rPr>
          <w:rFonts w:ascii="Times New Roman" w:hAnsi="Times New Roman" w:cs="Times New Roman"/>
          <w:sz w:val="24"/>
          <w:szCs w:val="24"/>
          <w:lang w:val="en-US"/>
        </w:rPr>
        <w:t xml:space="preserve"> </w:t>
      </w:r>
      <w:r w:rsidR="00045744" w:rsidRPr="00251411">
        <w:rPr>
          <w:rFonts w:ascii="Times New Roman" w:hAnsi="Times New Roman" w:cs="Times New Roman"/>
          <w:sz w:val="24"/>
          <w:szCs w:val="24"/>
          <w:lang w:val="en-US"/>
        </w:rPr>
        <w:t xml:space="preserve">or copy number variation </w:t>
      </w:r>
      <w:r w:rsidR="00202312" w:rsidRPr="00251411">
        <w:rPr>
          <w:rFonts w:ascii="Times New Roman" w:hAnsi="Times New Roman" w:cs="Times New Roman"/>
          <w:sz w:val="24"/>
          <w:szCs w:val="24"/>
          <w:lang w:val="en-US"/>
        </w:rPr>
        <w:t xml:space="preserve">should merely affect the slope of </w:t>
      </w:r>
      <w:r w:rsidR="00723719" w:rsidRPr="00251411">
        <w:rPr>
          <w:rFonts w:ascii="Times New Roman" w:hAnsi="Times New Roman" w:cs="Times New Roman"/>
          <w:sz w:val="24"/>
          <w:szCs w:val="24"/>
          <w:lang w:val="en-US"/>
        </w:rPr>
        <w:t>correlation</w:t>
      </w:r>
      <w:r w:rsidR="00202312" w:rsidRPr="00251411">
        <w:rPr>
          <w:rFonts w:ascii="Times New Roman" w:hAnsi="Times New Roman" w:cs="Times New Roman"/>
          <w:sz w:val="24"/>
          <w:szCs w:val="24"/>
          <w:lang w:val="en-US"/>
        </w:rPr>
        <w:t>. If</w:t>
      </w:r>
      <w:r w:rsidRPr="00251411">
        <w:rPr>
          <w:rFonts w:ascii="Times New Roman" w:hAnsi="Times New Roman" w:cs="Times New Roman"/>
          <w:sz w:val="24"/>
          <w:szCs w:val="24"/>
          <w:lang w:val="en-US"/>
        </w:rPr>
        <w:t xml:space="preserve"> </w:t>
      </w:r>
      <w:r w:rsidR="00202312" w:rsidRPr="00251411">
        <w:rPr>
          <w:rFonts w:ascii="Times New Roman" w:hAnsi="Times New Roman" w:cs="Times New Roman"/>
          <w:sz w:val="24"/>
          <w:szCs w:val="24"/>
          <w:lang w:val="en-US"/>
        </w:rPr>
        <w:t>this slope for taxa in a community is</w:t>
      </w:r>
      <w:r w:rsidRPr="00251411">
        <w:rPr>
          <w:rFonts w:ascii="Times New Roman" w:hAnsi="Times New Roman" w:cs="Times New Roman"/>
          <w:sz w:val="24"/>
          <w:szCs w:val="24"/>
          <w:lang w:val="en-US"/>
        </w:rPr>
        <w:t xml:space="preserve"> known, it </w:t>
      </w:r>
      <w:r w:rsidR="00723719" w:rsidRPr="00251411">
        <w:rPr>
          <w:rFonts w:ascii="Times New Roman" w:hAnsi="Times New Roman" w:cs="Times New Roman"/>
          <w:sz w:val="24"/>
          <w:szCs w:val="24"/>
          <w:lang w:val="en-US"/>
        </w:rPr>
        <w:t>might</w:t>
      </w:r>
      <w:r w:rsidRPr="00251411">
        <w:rPr>
          <w:rFonts w:ascii="Times New Roman" w:hAnsi="Times New Roman" w:cs="Times New Roman"/>
          <w:sz w:val="24"/>
          <w:szCs w:val="24"/>
          <w:lang w:val="en-US"/>
        </w:rPr>
        <w:t xml:space="preserve"> be possible to accurately predict the </w:t>
      </w:r>
      <w:r w:rsidR="00202312" w:rsidRPr="00251411">
        <w:rPr>
          <w:rFonts w:ascii="Times New Roman" w:hAnsi="Times New Roman" w:cs="Times New Roman"/>
          <w:sz w:val="24"/>
          <w:szCs w:val="24"/>
          <w:lang w:val="en-US"/>
        </w:rPr>
        <w:t>relative abundance of species by using correction factors</w:t>
      </w:r>
      <w:r w:rsidR="00CA6914" w:rsidRPr="00251411">
        <w:rPr>
          <w:rFonts w:ascii="Times New Roman" w:hAnsi="Times New Roman" w:cs="Times New Roman"/>
          <w:sz w:val="24"/>
          <w:szCs w:val="24"/>
          <w:lang w:val="en-US"/>
        </w:rPr>
        <w:t xml:space="preserve"> (Thomas et al. 2015</w:t>
      </w:r>
      <w:r w:rsidR="00723719" w:rsidRPr="00251411">
        <w:rPr>
          <w:rFonts w:ascii="Times New Roman" w:hAnsi="Times New Roman" w:cs="Times New Roman"/>
          <w:sz w:val="24"/>
          <w:szCs w:val="24"/>
          <w:lang w:val="en-US"/>
        </w:rPr>
        <w:t xml:space="preserve">; </w:t>
      </w:r>
      <w:proofErr w:type="spellStart"/>
      <w:r w:rsidR="00723719" w:rsidRPr="00251411">
        <w:rPr>
          <w:rFonts w:ascii="Times New Roman" w:hAnsi="Times New Roman" w:cs="Times New Roman"/>
          <w:sz w:val="24"/>
          <w:szCs w:val="24"/>
          <w:lang w:val="en-US"/>
        </w:rPr>
        <w:t>Angly</w:t>
      </w:r>
      <w:proofErr w:type="spellEnd"/>
      <w:r w:rsidR="00723719" w:rsidRPr="00251411">
        <w:rPr>
          <w:rFonts w:ascii="Times New Roman" w:hAnsi="Times New Roman" w:cs="Times New Roman"/>
          <w:sz w:val="24"/>
          <w:szCs w:val="24"/>
          <w:lang w:val="en-US"/>
        </w:rPr>
        <w:t xml:space="preserve"> et al. 2014</w:t>
      </w:r>
      <w:r w:rsidR="00723719" w:rsidRPr="00251411">
        <w:rPr>
          <w:lang w:val="en-US"/>
        </w:rPr>
        <w:t xml:space="preserve">). </w:t>
      </w:r>
      <w:r w:rsidR="00DD0F90" w:rsidRPr="00251411">
        <w:rPr>
          <w:lang w:val="en-US"/>
        </w:rPr>
        <w:t xml:space="preserve">As </w:t>
      </w:r>
      <w:r w:rsidR="00E578CC" w:rsidRPr="00251411">
        <w:rPr>
          <w:rFonts w:ascii="Times New Roman" w:hAnsi="Times New Roman" w:cs="Times New Roman"/>
          <w:sz w:val="24"/>
          <w:szCs w:val="24"/>
          <w:lang w:val="en-US"/>
        </w:rPr>
        <w:t>PCR</w:t>
      </w:r>
      <w:r w:rsidR="0037042A" w:rsidRPr="00251411">
        <w:rPr>
          <w:rFonts w:ascii="Times New Roman" w:hAnsi="Times New Roman" w:cs="Times New Roman"/>
          <w:sz w:val="24"/>
          <w:szCs w:val="24"/>
          <w:lang w:val="en-US"/>
        </w:rPr>
        <w:t xml:space="preserve"> bias is </w:t>
      </w:r>
      <w:r w:rsidR="00DD0F90" w:rsidRPr="00251411">
        <w:rPr>
          <w:rFonts w:ascii="Times New Roman" w:hAnsi="Times New Roman" w:cs="Times New Roman"/>
          <w:sz w:val="24"/>
          <w:szCs w:val="24"/>
          <w:lang w:val="en-US"/>
        </w:rPr>
        <w:t>induced by sequence divergence,</w:t>
      </w:r>
      <w:r w:rsidR="00E578CC" w:rsidRPr="00251411">
        <w:rPr>
          <w:rFonts w:ascii="Times New Roman" w:hAnsi="Times New Roman" w:cs="Times New Roman"/>
          <w:sz w:val="24"/>
          <w:szCs w:val="24"/>
          <w:lang w:val="en-US"/>
        </w:rPr>
        <w:t xml:space="preserve"> </w:t>
      </w:r>
      <w:r w:rsidR="0037042A" w:rsidRPr="00251411">
        <w:rPr>
          <w:rFonts w:ascii="Times New Roman" w:hAnsi="Times New Roman" w:cs="Times New Roman"/>
          <w:sz w:val="24"/>
          <w:szCs w:val="24"/>
          <w:lang w:val="en-US"/>
        </w:rPr>
        <w:t>it should also be similar in c</w:t>
      </w:r>
      <w:r w:rsidR="00202312" w:rsidRPr="00251411">
        <w:rPr>
          <w:rFonts w:ascii="Times New Roman" w:hAnsi="Times New Roman" w:cs="Times New Roman"/>
          <w:sz w:val="24"/>
          <w:szCs w:val="24"/>
          <w:lang w:val="en-US"/>
        </w:rPr>
        <w:t>loser rela</w:t>
      </w:r>
      <w:r w:rsidR="0037042A" w:rsidRPr="00251411">
        <w:rPr>
          <w:rFonts w:ascii="Times New Roman" w:hAnsi="Times New Roman" w:cs="Times New Roman"/>
          <w:sz w:val="24"/>
          <w:szCs w:val="24"/>
          <w:lang w:val="en-US"/>
        </w:rPr>
        <w:t>ted taxonomic groups</w:t>
      </w:r>
      <w:r w:rsidR="00723719" w:rsidRPr="00251411">
        <w:rPr>
          <w:rFonts w:ascii="Times New Roman" w:hAnsi="Times New Roman" w:cs="Times New Roman"/>
          <w:sz w:val="24"/>
          <w:szCs w:val="24"/>
          <w:lang w:val="en-US"/>
        </w:rPr>
        <w:t>, as has been shown in bacteria (</w:t>
      </w:r>
      <w:proofErr w:type="spellStart"/>
      <w:r w:rsidR="00723719" w:rsidRPr="00251411">
        <w:rPr>
          <w:rFonts w:ascii="Times New Roman" w:hAnsi="Times New Roman" w:cs="Times New Roman"/>
          <w:sz w:val="24"/>
          <w:szCs w:val="24"/>
          <w:lang w:val="en-US"/>
        </w:rPr>
        <w:t>Angly</w:t>
      </w:r>
      <w:proofErr w:type="spellEnd"/>
      <w:r w:rsidR="00723719" w:rsidRPr="00251411">
        <w:rPr>
          <w:rFonts w:ascii="Times New Roman" w:hAnsi="Times New Roman" w:cs="Times New Roman"/>
          <w:sz w:val="24"/>
          <w:szCs w:val="24"/>
          <w:lang w:val="en-US"/>
        </w:rPr>
        <w:t xml:space="preserve"> et al. 2014</w:t>
      </w:r>
      <w:r w:rsidR="00E578CC" w:rsidRPr="00251411">
        <w:rPr>
          <w:rFonts w:ascii="Times New Roman" w:hAnsi="Times New Roman" w:cs="Times New Roman"/>
          <w:sz w:val="24"/>
          <w:szCs w:val="24"/>
          <w:lang w:val="en-US"/>
        </w:rPr>
        <w:t xml:space="preserve">; </w:t>
      </w:r>
      <w:proofErr w:type="spellStart"/>
      <w:r w:rsidR="00E578CC" w:rsidRPr="00251411">
        <w:rPr>
          <w:rFonts w:ascii="Times New Roman" w:hAnsi="Times New Roman" w:cs="Times New Roman"/>
          <w:sz w:val="24"/>
          <w:szCs w:val="24"/>
          <w:lang w:val="en-US"/>
        </w:rPr>
        <w:t>Kembel</w:t>
      </w:r>
      <w:proofErr w:type="spellEnd"/>
      <w:r w:rsidR="00E578CC" w:rsidRPr="00251411">
        <w:rPr>
          <w:rFonts w:ascii="Times New Roman" w:hAnsi="Times New Roman" w:cs="Times New Roman"/>
          <w:sz w:val="24"/>
          <w:szCs w:val="24"/>
          <w:lang w:val="en-US"/>
        </w:rPr>
        <w:t xml:space="preserve"> et al. 2012</w:t>
      </w:r>
      <w:r w:rsidR="00723719" w:rsidRPr="00251411">
        <w:rPr>
          <w:rFonts w:ascii="Times New Roman" w:hAnsi="Times New Roman" w:cs="Times New Roman"/>
          <w:sz w:val="24"/>
          <w:szCs w:val="24"/>
          <w:lang w:val="en-US"/>
        </w:rPr>
        <w:t>)</w:t>
      </w:r>
      <w:r w:rsidR="0037042A" w:rsidRPr="00251411">
        <w:rPr>
          <w:rFonts w:ascii="Times New Roman" w:hAnsi="Times New Roman" w:cs="Times New Roman"/>
          <w:sz w:val="24"/>
          <w:szCs w:val="24"/>
          <w:lang w:val="en-US"/>
        </w:rPr>
        <w:t>.</w:t>
      </w:r>
      <w:r w:rsidR="00202312" w:rsidRPr="00251411">
        <w:rPr>
          <w:rFonts w:ascii="Times New Roman" w:hAnsi="Times New Roman" w:cs="Times New Roman"/>
          <w:sz w:val="24"/>
          <w:szCs w:val="24"/>
          <w:lang w:val="en-US"/>
        </w:rPr>
        <w:t xml:space="preserve"> Hence, </w:t>
      </w:r>
      <w:r w:rsidR="002856A9" w:rsidRPr="00251411">
        <w:rPr>
          <w:rFonts w:ascii="Times New Roman" w:hAnsi="Times New Roman" w:cs="Times New Roman"/>
          <w:sz w:val="24"/>
          <w:szCs w:val="24"/>
          <w:lang w:val="en-US"/>
        </w:rPr>
        <w:t xml:space="preserve">the </w:t>
      </w:r>
      <w:r w:rsidR="00DD0F90" w:rsidRPr="00251411">
        <w:rPr>
          <w:rFonts w:ascii="Times New Roman" w:hAnsi="Times New Roman" w:cs="Times New Roman"/>
          <w:sz w:val="24"/>
          <w:szCs w:val="24"/>
          <w:lang w:val="en-US"/>
        </w:rPr>
        <w:t>similar</w:t>
      </w:r>
      <w:r w:rsidR="008740D8" w:rsidRPr="00251411">
        <w:rPr>
          <w:rFonts w:ascii="Times New Roman" w:hAnsi="Times New Roman" w:cs="Times New Roman"/>
          <w:sz w:val="24"/>
          <w:szCs w:val="24"/>
          <w:lang w:val="en-US"/>
        </w:rPr>
        <w:t xml:space="preserve"> </w:t>
      </w:r>
      <w:r w:rsidR="00202312" w:rsidRPr="00251411">
        <w:rPr>
          <w:rFonts w:ascii="Times New Roman" w:hAnsi="Times New Roman" w:cs="Times New Roman"/>
          <w:sz w:val="24"/>
          <w:szCs w:val="24"/>
          <w:lang w:val="en-US"/>
        </w:rPr>
        <w:t>c</w:t>
      </w:r>
      <w:r w:rsidR="002856A9" w:rsidRPr="00251411">
        <w:rPr>
          <w:rFonts w:ascii="Times New Roman" w:hAnsi="Times New Roman" w:cs="Times New Roman"/>
          <w:sz w:val="24"/>
          <w:szCs w:val="24"/>
          <w:lang w:val="en-US"/>
        </w:rPr>
        <w:t>orrection factor</w:t>
      </w:r>
      <w:r w:rsidR="00DD0F90" w:rsidRPr="00251411">
        <w:rPr>
          <w:rFonts w:ascii="Times New Roman" w:hAnsi="Times New Roman" w:cs="Times New Roman"/>
          <w:sz w:val="24"/>
          <w:szCs w:val="24"/>
          <w:lang w:val="en-US"/>
        </w:rPr>
        <w:t>s</w:t>
      </w:r>
      <w:r w:rsidR="00202312" w:rsidRPr="00251411">
        <w:rPr>
          <w:rFonts w:ascii="Times New Roman" w:hAnsi="Times New Roman" w:cs="Times New Roman"/>
          <w:sz w:val="24"/>
          <w:szCs w:val="24"/>
          <w:lang w:val="en-US"/>
        </w:rPr>
        <w:t xml:space="preserve"> could possibly be derived for many related taxa.  </w:t>
      </w:r>
    </w:p>
    <w:p w14:paraId="1D294F18" w14:textId="77777777" w:rsidR="0052077F" w:rsidRPr="00251411" w:rsidRDefault="00F60505"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As PCR exponentially amplifies </w:t>
      </w:r>
      <w:r w:rsidR="00081934" w:rsidRPr="00251411">
        <w:rPr>
          <w:rFonts w:ascii="Times New Roman" w:hAnsi="Times New Roman" w:cs="Times New Roman"/>
          <w:sz w:val="24"/>
          <w:szCs w:val="24"/>
          <w:lang w:val="en-US"/>
        </w:rPr>
        <w:t>DNA templates, p</w:t>
      </w:r>
      <w:r w:rsidR="008740D8" w:rsidRPr="00251411">
        <w:rPr>
          <w:rFonts w:ascii="Times New Roman" w:hAnsi="Times New Roman" w:cs="Times New Roman"/>
          <w:sz w:val="24"/>
          <w:szCs w:val="24"/>
          <w:lang w:val="en-US"/>
        </w:rPr>
        <w:t>riming bias should significantly increase with the number of PCR cycles</w:t>
      </w:r>
      <w:r w:rsidR="0052077F" w:rsidRPr="00251411">
        <w:rPr>
          <w:rFonts w:ascii="Times New Roman" w:hAnsi="Times New Roman" w:cs="Times New Roman"/>
          <w:sz w:val="24"/>
          <w:szCs w:val="24"/>
          <w:lang w:val="en-US"/>
        </w:rPr>
        <w:t xml:space="preserve">. A low number of </w:t>
      </w:r>
      <w:r w:rsidR="0093064D" w:rsidRPr="00251411">
        <w:rPr>
          <w:rFonts w:ascii="Times New Roman" w:hAnsi="Times New Roman" w:cs="Times New Roman"/>
          <w:sz w:val="24"/>
          <w:szCs w:val="24"/>
          <w:lang w:val="en-US"/>
        </w:rPr>
        <w:t>PCR cycles should thus mitigate problems with bias and allow for a more accurate correlation of input DN</w:t>
      </w:r>
      <w:r w:rsidR="0052077F" w:rsidRPr="00251411">
        <w:rPr>
          <w:rFonts w:ascii="Times New Roman" w:hAnsi="Times New Roman" w:cs="Times New Roman"/>
          <w:sz w:val="24"/>
          <w:szCs w:val="24"/>
          <w:lang w:val="en-US"/>
        </w:rPr>
        <w:t>A and recovered reads for taxa. Illumina amplicon libraries can be produced with two PCR cycles (</w:t>
      </w:r>
      <w:r w:rsidR="002E5AA0" w:rsidRPr="00251411">
        <w:rPr>
          <w:rFonts w:ascii="Times New Roman" w:hAnsi="Times New Roman" w:cs="Times New Roman"/>
          <w:sz w:val="24"/>
          <w:szCs w:val="24"/>
          <w:lang w:val="en-US"/>
        </w:rPr>
        <w:t xml:space="preserve">e.g. </w:t>
      </w:r>
      <w:r w:rsidR="0052077F" w:rsidRPr="00251411">
        <w:rPr>
          <w:rFonts w:ascii="Times New Roman" w:hAnsi="Times New Roman" w:cs="Times New Roman"/>
          <w:sz w:val="24"/>
          <w:szCs w:val="24"/>
          <w:lang w:val="en-US"/>
        </w:rPr>
        <w:t xml:space="preserve">Lange et al. 2014), where the initial cycle amplifies the target sequence with sequence specific primers. This PCR introduces 5’-prime tails for a subsequent </w:t>
      </w:r>
      <w:r w:rsidR="00E04EDD" w:rsidRPr="00251411">
        <w:rPr>
          <w:rFonts w:ascii="Times New Roman" w:hAnsi="Times New Roman" w:cs="Times New Roman"/>
          <w:sz w:val="24"/>
          <w:szCs w:val="24"/>
          <w:lang w:val="en-US"/>
        </w:rPr>
        <w:t>reaction, in which indexes and Illumina adapter sequences are incorporated. Priming bias should only play a ro</w:t>
      </w:r>
      <w:r w:rsidR="00E94C84" w:rsidRPr="00251411">
        <w:rPr>
          <w:rFonts w:ascii="Times New Roman" w:hAnsi="Times New Roman" w:cs="Times New Roman"/>
          <w:sz w:val="24"/>
          <w:szCs w:val="24"/>
          <w:lang w:val="en-US"/>
        </w:rPr>
        <w:t>le in the first</w:t>
      </w:r>
      <w:r w:rsidR="00E04EDD" w:rsidRPr="00251411">
        <w:rPr>
          <w:rFonts w:ascii="Times New Roman" w:hAnsi="Times New Roman" w:cs="Times New Roman"/>
          <w:sz w:val="24"/>
          <w:szCs w:val="24"/>
          <w:lang w:val="en-US"/>
        </w:rPr>
        <w:t xml:space="preserve"> PCR cycle, while the second </w:t>
      </w:r>
      <w:r w:rsidR="00B03ADA" w:rsidRPr="00251411">
        <w:rPr>
          <w:rFonts w:ascii="Times New Roman" w:hAnsi="Times New Roman" w:cs="Times New Roman"/>
          <w:sz w:val="24"/>
          <w:szCs w:val="24"/>
          <w:lang w:val="en-US"/>
        </w:rPr>
        <w:t>one should have</w:t>
      </w:r>
      <w:r w:rsidR="00E04EDD" w:rsidRPr="00251411">
        <w:rPr>
          <w:rFonts w:ascii="Times New Roman" w:hAnsi="Times New Roman" w:cs="Times New Roman"/>
          <w:sz w:val="24"/>
          <w:szCs w:val="24"/>
          <w:lang w:val="en-US"/>
        </w:rPr>
        <w:t xml:space="preserve"> perfect primer template matches for all specimens. A reduct</w:t>
      </w:r>
      <w:r w:rsidR="00B03ADA" w:rsidRPr="00251411">
        <w:rPr>
          <w:rFonts w:ascii="Times New Roman" w:hAnsi="Times New Roman" w:cs="Times New Roman"/>
          <w:sz w:val="24"/>
          <w:szCs w:val="24"/>
          <w:lang w:val="en-US"/>
        </w:rPr>
        <w:t>ion of the first round cycles c</w:t>
      </w:r>
      <w:r w:rsidR="00E04EDD" w:rsidRPr="00251411">
        <w:rPr>
          <w:rFonts w:ascii="Times New Roman" w:hAnsi="Times New Roman" w:cs="Times New Roman"/>
          <w:sz w:val="24"/>
          <w:szCs w:val="24"/>
          <w:lang w:val="en-US"/>
        </w:rPr>
        <w:t>ould thus mitig</w:t>
      </w:r>
      <w:r w:rsidR="00045744" w:rsidRPr="00251411">
        <w:rPr>
          <w:rFonts w:ascii="Times New Roman" w:hAnsi="Times New Roman" w:cs="Times New Roman"/>
          <w:sz w:val="24"/>
          <w:szCs w:val="24"/>
          <w:lang w:val="en-US"/>
        </w:rPr>
        <w:t xml:space="preserve">ate the effect of priming bias. Copy number variation instead should be unaffected by cycle number and pose a constant problem to the study of abundance. </w:t>
      </w:r>
    </w:p>
    <w:p w14:paraId="54CC0064" w14:textId="77777777" w:rsidR="0052077F" w:rsidRPr="00251411" w:rsidRDefault="0093064D"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Considering this</w:t>
      </w:r>
      <w:r w:rsidR="0052077F" w:rsidRPr="00251411">
        <w:rPr>
          <w:rFonts w:ascii="Times New Roman" w:hAnsi="Times New Roman" w:cs="Times New Roman"/>
          <w:sz w:val="24"/>
          <w:szCs w:val="24"/>
          <w:lang w:val="en-US"/>
        </w:rPr>
        <w:t xml:space="preserve"> background</w:t>
      </w:r>
      <w:r w:rsidRPr="00251411">
        <w:rPr>
          <w:rFonts w:ascii="Times New Roman" w:hAnsi="Times New Roman" w:cs="Times New Roman"/>
          <w:sz w:val="24"/>
          <w:szCs w:val="24"/>
          <w:lang w:val="en-US"/>
        </w:rPr>
        <w:t>, we hypothesize that</w:t>
      </w:r>
      <w:r w:rsidR="0037042A" w:rsidRPr="00251411">
        <w:rPr>
          <w:rFonts w:ascii="Times New Roman" w:hAnsi="Times New Roman" w:cs="Times New Roman"/>
          <w:sz w:val="24"/>
          <w:szCs w:val="24"/>
          <w:lang w:val="en-US"/>
        </w:rPr>
        <w:t xml:space="preserve"> </w:t>
      </w:r>
      <w:r w:rsidR="002E5AA0" w:rsidRPr="00251411">
        <w:rPr>
          <w:rFonts w:ascii="Times New Roman" w:hAnsi="Times New Roman" w:cs="Times New Roman"/>
          <w:sz w:val="24"/>
          <w:szCs w:val="24"/>
          <w:lang w:val="en-US"/>
        </w:rPr>
        <w:t>t</w:t>
      </w:r>
      <w:r w:rsidR="0052077F" w:rsidRPr="00251411">
        <w:rPr>
          <w:rFonts w:ascii="Times New Roman" w:hAnsi="Times New Roman" w:cs="Times New Roman"/>
          <w:sz w:val="24"/>
          <w:szCs w:val="24"/>
          <w:lang w:val="en-US"/>
        </w:rPr>
        <w:t xml:space="preserve">he </w:t>
      </w:r>
      <w:r w:rsidR="0037042A" w:rsidRPr="00251411">
        <w:rPr>
          <w:rFonts w:ascii="Times New Roman" w:hAnsi="Times New Roman" w:cs="Times New Roman"/>
          <w:sz w:val="24"/>
          <w:szCs w:val="24"/>
          <w:lang w:val="en-US"/>
        </w:rPr>
        <w:t xml:space="preserve">relative abundance of taxa can be accurately predicted from metabarcoding samples </w:t>
      </w:r>
      <w:r w:rsidR="00202312" w:rsidRPr="00251411">
        <w:rPr>
          <w:rFonts w:ascii="Times New Roman" w:hAnsi="Times New Roman" w:cs="Times New Roman"/>
          <w:sz w:val="24"/>
          <w:szCs w:val="24"/>
          <w:lang w:val="en-US"/>
        </w:rPr>
        <w:t xml:space="preserve">by </w:t>
      </w:r>
      <w:r w:rsidR="0052077F" w:rsidRPr="00251411">
        <w:rPr>
          <w:rFonts w:ascii="Times New Roman" w:hAnsi="Times New Roman" w:cs="Times New Roman"/>
          <w:sz w:val="24"/>
          <w:szCs w:val="24"/>
          <w:lang w:val="en-US"/>
        </w:rPr>
        <w:t>1. identifying</w:t>
      </w:r>
      <w:r w:rsidR="00202312" w:rsidRPr="00251411">
        <w:rPr>
          <w:rFonts w:ascii="Times New Roman" w:hAnsi="Times New Roman" w:cs="Times New Roman"/>
          <w:sz w:val="24"/>
          <w:szCs w:val="24"/>
          <w:lang w:val="en-US"/>
        </w:rPr>
        <w:t xml:space="preserve"> </w:t>
      </w:r>
      <w:r w:rsidR="0052077F" w:rsidRPr="00251411">
        <w:rPr>
          <w:rFonts w:ascii="Times New Roman" w:hAnsi="Times New Roman" w:cs="Times New Roman"/>
          <w:sz w:val="24"/>
          <w:szCs w:val="24"/>
          <w:lang w:val="en-US"/>
        </w:rPr>
        <w:t>the taxon specific PCR bias</w:t>
      </w:r>
      <w:r w:rsidR="00EE414A" w:rsidRPr="00251411">
        <w:rPr>
          <w:rFonts w:ascii="Times New Roman" w:hAnsi="Times New Roman" w:cs="Times New Roman"/>
          <w:sz w:val="24"/>
          <w:szCs w:val="24"/>
          <w:lang w:val="en-US"/>
        </w:rPr>
        <w:t xml:space="preserve"> and correcting for it</w:t>
      </w:r>
      <w:r w:rsidR="001A121B" w:rsidRPr="00251411">
        <w:rPr>
          <w:rFonts w:ascii="Times New Roman" w:hAnsi="Times New Roman" w:cs="Times New Roman"/>
          <w:sz w:val="24"/>
          <w:szCs w:val="24"/>
          <w:lang w:val="en-US"/>
        </w:rPr>
        <w:t xml:space="preserve">, 2. </w:t>
      </w:r>
      <w:r w:rsidR="00EE414A" w:rsidRPr="00251411">
        <w:rPr>
          <w:rFonts w:ascii="Times New Roman" w:hAnsi="Times New Roman" w:cs="Times New Roman"/>
          <w:sz w:val="24"/>
          <w:szCs w:val="24"/>
          <w:lang w:val="en-US"/>
        </w:rPr>
        <w:t>b</w:t>
      </w:r>
      <w:r w:rsidR="001A121B" w:rsidRPr="00251411">
        <w:rPr>
          <w:rFonts w:ascii="Times New Roman" w:hAnsi="Times New Roman" w:cs="Times New Roman"/>
          <w:sz w:val="24"/>
          <w:szCs w:val="24"/>
          <w:lang w:val="en-US"/>
        </w:rPr>
        <w:t>y choosing appropriate barcode markers and 3</w:t>
      </w:r>
      <w:r w:rsidR="00202312" w:rsidRPr="00251411">
        <w:rPr>
          <w:rFonts w:ascii="Times New Roman" w:hAnsi="Times New Roman" w:cs="Times New Roman"/>
          <w:sz w:val="24"/>
          <w:szCs w:val="24"/>
          <w:lang w:val="en-US"/>
        </w:rPr>
        <w:t xml:space="preserve">. </w:t>
      </w:r>
      <w:r w:rsidR="0052077F" w:rsidRPr="00251411">
        <w:rPr>
          <w:rFonts w:ascii="Times New Roman" w:hAnsi="Times New Roman" w:cs="Times New Roman"/>
          <w:sz w:val="24"/>
          <w:szCs w:val="24"/>
          <w:lang w:val="en-US"/>
        </w:rPr>
        <w:t xml:space="preserve">by reducing the PCR cycle number during library preparation. </w:t>
      </w:r>
    </w:p>
    <w:p w14:paraId="3137F0C5" w14:textId="77777777" w:rsidR="00202312" w:rsidRPr="00251411" w:rsidRDefault="0071161E"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We </w:t>
      </w:r>
      <w:r w:rsidR="0052077F" w:rsidRPr="00251411">
        <w:rPr>
          <w:rFonts w:ascii="Times New Roman" w:hAnsi="Times New Roman" w:cs="Times New Roman"/>
          <w:sz w:val="24"/>
          <w:szCs w:val="24"/>
          <w:lang w:val="en-US"/>
        </w:rPr>
        <w:t xml:space="preserve">test these hypothesis, </w:t>
      </w:r>
      <w:r w:rsidRPr="00251411">
        <w:rPr>
          <w:rFonts w:ascii="Times New Roman" w:hAnsi="Times New Roman" w:cs="Times New Roman"/>
          <w:sz w:val="24"/>
          <w:szCs w:val="24"/>
          <w:lang w:val="en-US"/>
        </w:rPr>
        <w:t xml:space="preserve">by amplifying and sequencing mock community samples with randomized DNA amounts of 44 different </w:t>
      </w:r>
      <w:r w:rsidR="00045744" w:rsidRPr="00251411">
        <w:rPr>
          <w:rFonts w:ascii="Times New Roman" w:hAnsi="Times New Roman" w:cs="Times New Roman"/>
          <w:sz w:val="24"/>
          <w:szCs w:val="24"/>
          <w:lang w:val="en-US"/>
        </w:rPr>
        <w:t xml:space="preserve">Californian and Hawaiian </w:t>
      </w:r>
      <w:r w:rsidRPr="00251411">
        <w:rPr>
          <w:rFonts w:ascii="Times New Roman" w:hAnsi="Times New Roman" w:cs="Times New Roman"/>
          <w:sz w:val="24"/>
          <w:szCs w:val="24"/>
          <w:lang w:val="en-US"/>
        </w:rPr>
        <w:t xml:space="preserve">arthropod species. We </w:t>
      </w:r>
      <w:r w:rsidRPr="00251411">
        <w:rPr>
          <w:rFonts w:ascii="Times New Roman" w:hAnsi="Times New Roman" w:cs="Times New Roman"/>
          <w:sz w:val="24"/>
          <w:szCs w:val="24"/>
          <w:lang w:val="en-US"/>
        </w:rPr>
        <w:lastRenderedPageBreak/>
        <w:t xml:space="preserve">use eight different primer combinations, amplifying four nuclear </w:t>
      </w:r>
      <w:r w:rsidR="00B03ADA" w:rsidRPr="00251411">
        <w:rPr>
          <w:rFonts w:ascii="Times New Roman" w:hAnsi="Times New Roman" w:cs="Times New Roman"/>
          <w:sz w:val="24"/>
          <w:szCs w:val="24"/>
          <w:lang w:val="en-US"/>
        </w:rPr>
        <w:t xml:space="preserve">and three mitochondrial </w:t>
      </w:r>
      <w:r w:rsidRPr="00251411">
        <w:rPr>
          <w:rFonts w:ascii="Times New Roman" w:hAnsi="Times New Roman" w:cs="Times New Roman"/>
          <w:sz w:val="24"/>
          <w:szCs w:val="24"/>
          <w:lang w:val="en-US"/>
        </w:rPr>
        <w:t xml:space="preserve">markers. </w:t>
      </w:r>
      <w:r w:rsidR="009E13DD" w:rsidRPr="00251411">
        <w:rPr>
          <w:rFonts w:ascii="Times New Roman" w:hAnsi="Times New Roman" w:cs="Times New Roman"/>
          <w:sz w:val="24"/>
          <w:szCs w:val="24"/>
          <w:lang w:val="en-US"/>
        </w:rPr>
        <w:t>In addition, we test different numbers of first ro</w:t>
      </w:r>
      <w:r w:rsidR="00B03ADA" w:rsidRPr="00251411">
        <w:rPr>
          <w:rFonts w:ascii="Times New Roman" w:hAnsi="Times New Roman" w:cs="Times New Roman"/>
          <w:sz w:val="24"/>
          <w:szCs w:val="24"/>
          <w:lang w:val="en-US"/>
        </w:rPr>
        <w:t>und PCR cycles for their</w:t>
      </w:r>
      <w:r w:rsidR="009E13DD" w:rsidRPr="00251411">
        <w:rPr>
          <w:rFonts w:ascii="Times New Roman" w:hAnsi="Times New Roman" w:cs="Times New Roman"/>
          <w:sz w:val="24"/>
          <w:szCs w:val="24"/>
          <w:lang w:val="en-US"/>
        </w:rPr>
        <w:t xml:space="preserve"> effect on abundance estimates</w:t>
      </w:r>
      <w:r w:rsidR="00FB5737" w:rsidRPr="00251411">
        <w:rPr>
          <w:rFonts w:ascii="Times New Roman" w:hAnsi="Times New Roman" w:cs="Times New Roman"/>
          <w:sz w:val="24"/>
          <w:szCs w:val="24"/>
          <w:lang w:val="en-US"/>
        </w:rPr>
        <w:t>, to distinguish the effect of priming bias vs. copy number variation on the observed abundances</w:t>
      </w:r>
      <w:r w:rsidR="009E13DD" w:rsidRPr="00251411">
        <w:rPr>
          <w:rFonts w:ascii="Times New Roman" w:hAnsi="Times New Roman" w:cs="Times New Roman"/>
          <w:sz w:val="24"/>
          <w:szCs w:val="24"/>
          <w:lang w:val="en-US"/>
        </w:rPr>
        <w:t xml:space="preserve">.  </w:t>
      </w:r>
    </w:p>
    <w:p w14:paraId="4A1C7362" w14:textId="77777777" w:rsidR="000C3636" w:rsidRPr="00251411" w:rsidRDefault="009C2EDC" w:rsidP="00251411">
      <w:pPr>
        <w:spacing w:line="480" w:lineRule="auto"/>
        <w:jc w:val="both"/>
        <w:rPr>
          <w:rFonts w:ascii="Times New Roman" w:hAnsi="Times New Roman" w:cs="Times New Roman"/>
          <w:b/>
          <w:sz w:val="24"/>
          <w:szCs w:val="24"/>
          <w:lang w:val="en-US"/>
        </w:rPr>
      </w:pPr>
      <w:r w:rsidRPr="00251411">
        <w:rPr>
          <w:rFonts w:ascii="Times New Roman" w:hAnsi="Times New Roman" w:cs="Times New Roman"/>
          <w:b/>
          <w:sz w:val="24"/>
          <w:szCs w:val="24"/>
          <w:lang w:val="en-US"/>
        </w:rPr>
        <w:t>Methods</w:t>
      </w:r>
    </w:p>
    <w:p w14:paraId="40834AD2" w14:textId="77777777" w:rsidR="001B72DA" w:rsidRPr="00251411" w:rsidRDefault="004A4442"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Random arthropod samples were collected in Hawaii and California in spring 2016 by beating vegetation. Specime</w:t>
      </w:r>
      <w:r w:rsidR="001B72DA" w:rsidRPr="00251411">
        <w:rPr>
          <w:rFonts w:ascii="Times New Roman" w:hAnsi="Times New Roman" w:cs="Times New Roman"/>
          <w:sz w:val="24"/>
          <w:szCs w:val="24"/>
          <w:lang w:val="en-US"/>
        </w:rPr>
        <w:t>ns were stored in 99 % ethanol,</w:t>
      </w:r>
      <w:r w:rsidRPr="00251411">
        <w:rPr>
          <w:rFonts w:ascii="Times New Roman" w:hAnsi="Times New Roman" w:cs="Times New Roman"/>
          <w:sz w:val="24"/>
          <w:szCs w:val="24"/>
          <w:lang w:val="en-US"/>
        </w:rPr>
        <w:t xml:space="preserve"> morphologically identified to order and then assigned to morphotypes, which likely correspond to separate species. </w:t>
      </w:r>
      <w:r w:rsidR="001B72DA" w:rsidRPr="00251411">
        <w:rPr>
          <w:rFonts w:ascii="Times New Roman" w:hAnsi="Times New Roman" w:cs="Times New Roman"/>
          <w:sz w:val="24"/>
          <w:szCs w:val="24"/>
          <w:lang w:val="en-US"/>
        </w:rPr>
        <w:t>We extracted DNA from 44 of these morphotypes, representing 19 orders (</w:t>
      </w:r>
      <w:r w:rsidR="0045005B" w:rsidRPr="00251411">
        <w:rPr>
          <w:rFonts w:ascii="Times New Roman" w:hAnsi="Times New Roman" w:cs="Times New Roman"/>
          <w:sz w:val="24"/>
          <w:szCs w:val="24"/>
          <w:lang w:val="en-US"/>
        </w:rPr>
        <w:t xml:space="preserve">of </w:t>
      </w:r>
      <w:r w:rsidR="001B72DA" w:rsidRPr="00251411">
        <w:rPr>
          <w:rFonts w:ascii="Times New Roman" w:hAnsi="Times New Roman" w:cs="Times New Roman"/>
          <w:sz w:val="24"/>
          <w:szCs w:val="24"/>
          <w:lang w:val="en-US"/>
        </w:rPr>
        <w:t xml:space="preserve">Arachnida, Crustacea, </w:t>
      </w:r>
      <w:proofErr w:type="spellStart"/>
      <w:r w:rsidR="000E1F06" w:rsidRPr="00251411">
        <w:rPr>
          <w:rFonts w:ascii="Times New Roman" w:hAnsi="Times New Roman" w:cs="Times New Roman"/>
          <w:sz w:val="24"/>
          <w:szCs w:val="24"/>
          <w:lang w:val="en-US"/>
        </w:rPr>
        <w:t>Insecta</w:t>
      </w:r>
      <w:proofErr w:type="spellEnd"/>
      <w:r w:rsidR="001B72DA" w:rsidRPr="00251411">
        <w:rPr>
          <w:rFonts w:ascii="Times New Roman" w:hAnsi="Times New Roman" w:cs="Times New Roman"/>
          <w:sz w:val="24"/>
          <w:szCs w:val="24"/>
          <w:lang w:val="en-US"/>
        </w:rPr>
        <w:t xml:space="preserve"> &amp; </w:t>
      </w:r>
      <w:proofErr w:type="spellStart"/>
      <w:r w:rsidR="001B72DA" w:rsidRPr="00251411">
        <w:rPr>
          <w:rFonts w:ascii="Times New Roman" w:hAnsi="Times New Roman" w:cs="Times New Roman"/>
          <w:sz w:val="24"/>
          <w:szCs w:val="24"/>
          <w:lang w:val="en-US"/>
        </w:rPr>
        <w:t>Myriapoda</w:t>
      </w:r>
      <w:proofErr w:type="spellEnd"/>
      <w:r w:rsidR="001B72DA" w:rsidRPr="00251411">
        <w:rPr>
          <w:rFonts w:ascii="Times New Roman" w:hAnsi="Times New Roman" w:cs="Times New Roman"/>
          <w:sz w:val="24"/>
          <w:szCs w:val="24"/>
          <w:lang w:val="en-US"/>
        </w:rPr>
        <w:t>, see supplementary Table 1 for details on taxonomy). DNA extractions were perfor</w:t>
      </w:r>
      <w:r w:rsidR="000E1F06" w:rsidRPr="00251411">
        <w:rPr>
          <w:rFonts w:ascii="Times New Roman" w:hAnsi="Times New Roman" w:cs="Times New Roman"/>
          <w:sz w:val="24"/>
          <w:szCs w:val="24"/>
          <w:lang w:val="en-US"/>
        </w:rPr>
        <w:t>med on whole bodies using the Q</w:t>
      </w:r>
      <w:r w:rsidR="001B72DA" w:rsidRPr="00251411">
        <w:rPr>
          <w:rFonts w:ascii="Times New Roman" w:hAnsi="Times New Roman" w:cs="Times New Roman"/>
          <w:sz w:val="24"/>
          <w:szCs w:val="24"/>
          <w:lang w:val="en-US"/>
        </w:rPr>
        <w:t>iagen Puregen Kit according to the manufactur</w:t>
      </w:r>
      <w:r w:rsidR="000E1F06" w:rsidRPr="00251411">
        <w:rPr>
          <w:rFonts w:ascii="Times New Roman" w:hAnsi="Times New Roman" w:cs="Times New Roman"/>
          <w:sz w:val="24"/>
          <w:szCs w:val="24"/>
          <w:lang w:val="en-US"/>
        </w:rPr>
        <w:t>er’s protocol (Q</w:t>
      </w:r>
      <w:r w:rsidR="001B72DA" w:rsidRPr="00251411">
        <w:rPr>
          <w:rFonts w:ascii="Times New Roman" w:hAnsi="Times New Roman" w:cs="Times New Roman"/>
          <w:sz w:val="24"/>
          <w:szCs w:val="24"/>
          <w:lang w:val="en-US"/>
        </w:rPr>
        <w:t xml:space="preserve">iagen, Hilden, Germany). The concentration </w:t>
      </w:r>
      <w:r w:rsidR="00F7121B" w:rsidRPr="00251411">
        <w:rPr>
          <w:rFonts w:ascii="Times New Roman" w:hAnsi="Times New Roman" w:cs="Times New Roman"/>
          <w:sz w:val="24"/>
          <w:szCs w:val="24"/>
          <w:lang w:val="en-US"/>
        </w:rPr>
        <w:t xml:space="preserve">of each extraction was </w:t>
      </w:r>
      <w:r w:rsidR="001B72DA" w:rsidRPr="00251411">
        <w:rPr>
          <w:rFonts w:ascii="Times New Roman" w:hAnsi="Times New Roman" w:cs="Times New Roman"/>
          <w:sz w:val="24"/>
          <w:szCs w:val="24"/>
          <w:lang w:val="en-US"/>
        </w:rPr>
        <w:t>d</w:t>
      </w:r>
      <w:r w:rsidR="00F7121B" w:rsidRPr="00251411">
        <w:rPr>
          <w:rFonts w:ascii="Times New Roman" w:hAnsi="Times New Roman" w:cs="Times New Roman"/>
          <w:sz w:val="24"/>
          <w:szCs w:val="24"/>
          <w:lang w:val="en-US"/>
        </w:rPr>
        <w:t>etermined</w:t>
      </w:r>
      <w:r w:rsidR="001B72DA" w:rsidRPr="00251411">
        <w:rPr>
          <w:rFonts w:ascii="Times New Roman" w:hAnsi="Times New Roman" w:cs="Times New Roman"/>
          <w:sz w:val="24"/>
          <w:szCs w:val="24"/>
          <w:lang w:val="en-US"/>
        </w:rPr>
        <w:t xml:space="preserve"> using a Qbit Fluorometer</w:t>
      </w:r>
      <w:r w:rsidR="002E5AA0" w:rsidRPr="00251411">
        <w:rPr>
          <w:rFonts w:ascii="Times New Roman" w:hAnsi="Times New Roman" w:cs="Times New Roman"/>
          <w:sz w:val="24"/>
          <w:szCs w:val="24"/>
          <w:lang w:val="en-US"/>
        </w:rPr>
        <w:t xml:space="preserve"> with the high sensitivity assay</w:t>
      </w:r>
      <w:r w:rsidR="001B72DA" w:rsidRPr="00251411">
        <w:rPr>
          <w:rFonts w:ascii="Times New Roman" w:hAnsi="Times New Roman" w:cs="Times New Roman"/>
          <w:sz w:val="24"/>
          <w:szCs w:val="24"/>
          <w:lang w:val="en-US"/>
        </w:rPr>
        <w:t xml:space="preserve"> (</w:t>
      </w:r>
      <w:proofErr w:type="spellStart"/>
      <w:r w:rsidR="002E5AA0" w:rsidRPr="00251411">
        <w:rPr>
          <w:rFonts w:ascii="Times New Roman" w:hAnsi="Times New Roman" w:cs="Times New Roman"/>
          <w:sz w:val="24"/>
          <w:szCs w:val="24"/>
          <w:lang w:val="en-US"/>
        </w:rPr>
        <w:t>Thermo</w:t>
      </w:r>
      <w:proofErr w:type="spellEnd"/>
      <w:r w:rsidR="002E5AA0" w:rsidRPr="00251411">
        <w:rPr>
          <w:rFonts w:ascii="Times New Roman" w:hAnsi="Times New Roman" w:cs="Times New Roman"/>
          <w:sz w:val="24"/>
          <w:szCs w:val="24"/>
          <w:lang w:val="en-US"/>
        </w:rPr>
        <w:t xml:space="preserve"> Scientific, Waltham, USA</w:t>
      </w:r>
      <w:r w:rsidR="001B72DA" w:rsidRPr="00251411">
        <w:rPr>
          <w:rFonts w:ascii="Times New Roman" w:hAnsi="Times New Roman" w:cs="Times New Roman"/>
          <w:sz w:val="24"/>
          <w:szCs w:val="24"/>
          <w:lang w:val="en-US"/>
        </w:rPr>
        <w:t xml:space="preserve">) and each sample subsequently diluted to </w:t>
      </w:r>
      <w:r w:rsidR="000E1F06" w:rsidRPr="00251411">
        <w:rPr>
          <w:rFonts w:ascii="Times New Roman" w:hAnsi="Times New Roman" w:cs="Times New Roman"/>
          <w:sz w:val="24"/>
          <w:szCs w:val="24"/>
          <w:lang w:val="en-US"/>
        </w:rPr>
        <w:t>a final concentration of 15 ng/µ</w:t>
      </w:r>
      <w:r w:rsidR="001B72DA" w:rsidRPr="00251411">
        <w:rPr>
          <w:rFonts w:ascii="Times New Roman" w:hAnsi="Times New Roman" w:cs="Times New Roman"/>
          <w:sz w:val="24"/>
          <w:szCs w:val="24"/>
          <w:lang w:val="en-US"/>
        </w:rPr>
        <w:t xml:space="preserve">l. </w:t>
      </w:r>
      <w:r w:rsidR="008F4023" w:rsidRPr="00251411">
        <w:rPr>
          <w:rFonts w:ascii="Times New Roman" w:hAnsi="Times New Roman" w:cs="Times New Roman"/>
          <w:sz w:val="24"/>
          <w:szCs w:val="24"/>
          <w:lang w:val="en-US"/>
        </w:rPr>
        <w:t>We then prepared 23</w:t>
      </w:r>
      <w:r w:rsidR="001B72DA" w:rsidRPr="00251411">
        <w:rPr>
          <w:rFonts w:ascii="Times New Roman" w:hAnsi="Times New Roman" w:cs="Times New Roman"/>
          <w:sz w:val="24"/>
          <w:szCs w:val="24"/>
          <w:lang w:val="en-US"/>
        </w:rPr>
        <w:t xml:space="preserve"> mock communities </w:t>
      </w:r>
      <w:r w:rsidR="00760E08" w:rsidRPr="00251411">
        <w:rPr>
          <w:rFonts w:ascii="Times New Roman" w:hAnsi="Times New Roman" w:cs="Times New Roman"/>
          <w:sz w:val="24"/>
          <w:szCs w:val="24"/>
          <w:lang w:val="en-US"/>
        </w:rPr>
        <w:t xml:space="preserve">by pooling </w:t>
      </w:r>
      <w:r w:rsidR="001B72DA" w:rsidRPr="00251411">
        <w:rPr>
          <w:rFonts w:ascii="Times New Roman" w:hAnsi="Times New Roman" w:cs="Times New Roman"/>
          <w:sz w:val="24"/>
          <w:szCs w:val="24"/>
          <w:lang w:val="en-US"/>
        </w:rPr>
        <w:t xml:space="preserve">randomized volumes of each of the 44 samples. Each pool </w:t>
      </w:r>
      <w:r w:rsidR="00760E08" w:rsidRPr="00251411">
        <w:rPr>
          <w:rFonts w:ascii="Times New Roman" w:hAnsi="Times New Roman" w:cs="Times New Roman"/>
          <w:sz w:val="24"/>
          <w:szCs w:val="24"/>
          <w:lang w:val="en-US"/>
        </w:rPr>
        <w:t xml:space="preserve">contained all samples in randomized volumes from 0.7 to 5 </w:t>
      </w:r>
      <w:r w:rsidR="000E1F06" w:rsidRPr="00251411">
        <w:rPr>
          <w:rFonts w:ascii="Times New Roman" w:hAnsi="Times New Roman" w:cs="Times New Roman"/>
          <w:sz w:val="24"/>
          <w:szCs w:val="24"/>
          <w:lang w:val="en-US"/>
        </w:rPr>
        <w:t>µl</w:t>
      </w:r>
      <w:r w:rsidR="00760E08" w:rsidRPr="00251411">
        <w:rPr>
          <w:rFonts w:ascii="Times New Roman" w:hAnsi="Times New Roman" w:cs="Times New Roman"/>
          <w:sz w:val="24"/>
          <w:szCs w:val="24"/>
          <w:lang w:val="en-US"/>
        </w:rPr>
        <w:t xml:space="preserve"> per sample and increments of 0.1 </w:t>
      </w:r>
      <w:r w:rsidR="000E1F06" w:rsidRPr="00251411">
        <w:rPr>
          <w:rFonts w:ascii="Times New Roman" w:hAnsi="Times New Roman" w:cs="Times New Roman"/>
          <w:sz w:val="24"/>
          <w:szCs w:val="24"/>
          <w:lang w:val="en-US"/>
        </w:rPr>
        <w:t>µl</w:t>
      </w:r>
      <w:r w:rsidR="00760E08" w:rsidRPr="00251411">
        <w:rPr>
          <w:rFonts w:ascii="Times New Roman" w:hAnsi="Times New Roman" w:cs="Times New Roman"/>
          <w:sz w:val="24"/>
          <w:szCs w:val="24"/>
          <w:lang w:val="en-US"/>
        </w:rPr>
        <w:t xml:space="preserve">. </w:t>
      </w:r>
    </w:p>
    <w:p w14:paraId="07DA3A6D" w14:textId="77777777" w:rsidR="008F4023" w:rsidRPr="00251411" w:rsidRDefault="00760E08"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We chose 8 different primer combinations amplifying three mitochondrial and four nuclear markers (see Table </w:t>
      </w:r>
      <w:r w:rsidR="00027853" w:rsidRPr="00251411">
        <w:rPr>
          <w:rFonts w:ascii="Times New Roman" w:hAnsi="Times New Roman" w:cs="Times New Roman"/>
          <w:sz w:val="24"/>
          <w:szCs w:val="24"/>
          <w:lang w:val="en-US"/>
        </w:rPr>
        <w:t>1</w:t>
      </w:r>
      <w:r w:rsidRPr="00251411">
        <w:rPr>
          <w:rFonts w:ascii="Times New Roman" w:hAnsi="Times New Roman" w:cs="Times New Roman"/>
          <w:sz w:val="24"/>
          <w:szCs w:val="24"/>
          <w:lang w:val="en-US"/>
        </w:rPr>
        <w:t xml:space="preserve">). All primer pairs amplified sequences shorter than 500 </w:t>
      </w:r>
      <w:r w:rsidR="00F7121B" w:rsidRPr="00251411">
        <w:rPr>
          <w:rFonts w:ascii="Times New Roman" w:hAnsi="Times New Roman" w:cs="Times New Roman"/>
          <w:sz w:val="24"/>
          <w:szCs w:val="24"/>
          <w:lang w:val="en-US"/>
        </w:rPr>
        <w:t>bp to achieve an overlap of</w:t>
      </w:r>
      <w:r w:rsidRPr="00251411">
        <w:rPr>
          <w:rFonts w:ascii="Times New Roman" w:hAnsi="Times New Roman" w:cs="Times New Roman"/>
          <w:sz w:val="24"/>
          <w:szCs w:val="24"/>
          <w:lang w:val="en-US"/>
        </w:rPr>
        <w:t xml:space="preserve"> 2 x 300 bp Illumina </w:t>
      </w:r>
      <w:r w:rsidR="000E1F06" w:rsidRPr="00251411">
        <w:rPr>
          <w:rFonts w:ascii="Times New Roman" w:hAnsi="Times New Roman" w:cs="Times New Roman"/>
          <w:sz w:val="24"/>
          <w:szCs w:val="24"/>
          <w:lang w:val="en-US"/>
        </w:rPr>
        <w:t>MiSeq</w:t>
      </w:r>
      <w:r w:rsidRPr="00251411">
        <w:rPr>
          <w:rFonts w:ascii="Times New Roman" w:hAnsi="Times New Roman" w:cs="Times New Roman"/>
          <w:sz w:val="24"/>
          <w:szCs w:val="24"/>
          <w:lang w:val="en-US"/>
        </w:rPr>
        <w:t xml:space="preserve"> reads. </w:t>
      </w:r>
      <w:r w:rsidR="000670D7" w:rsidRPr="00251411">
        <w:rPr>
          <w:rFonts w:ascii="Times New Roman" w:hAnsi="Times New Roman" w:cs="Times New Roman"/>
          <w:sz w:val="24"/>
          <w:szCs w:val="24"/>
          <w:lang w:val="en-US"/>
        </w:rPr>
        <w:t xml:space="preserve">PCRs were run in 10 </w:t>
      </w:r>
      <w:r w:rsidR="000E1F06" w:rsidRPr="00251411">
        <w:rPr>
          <w:rFonts w:ascii="Times New Roman" w:hAnsi="Times New Roman" w:cs="Times New Roman"/>
          <w:sz w:val="24"/>
          <w:szCs w:val="24"/>
          <w:lang w:val="en-US"/>
        </w:rPr>
        <w:t>µl</w:t>
      </w:r>
      <w:r w:rsidR="000670D7" w:rsidRPr="00251411">
        <w:rPr>
          <w:rFonts w:ascii="Times New Roman" w:hAnsi="Times New Roman" w:cs="Times New Roman"/>
          <w:sz w:val="24"/>
          <w:szCs w:val="24"/>
          <w:lang w:val="en-US"/>
        </w:rPr>
        <w:t xml:space="preserve"> volumes using the </w:t>
      </w:r>
      <w:r w:rsidR="000E1F06" w:rsidRPr="00251411">
        <w:rPr>
          <w:rFonts w:ascii="Times New Roman" w:hAnsi="Times New Roman" w:cs="Times New Roman"/>
          <w:sz w:val="24"/>
          <w:szCs w:val="24"/>
          <w:lang w:val="en-US"/>
        </w:rPr>
        <w:t>Qiagen</w:t>
      </w:r>
      <w:r w:rsidR="000670D7" w:rsidRPr="00251411">
        <w:rPr>
          <w:rFonts w:ascii="Times New Roman" w:hAnsi="Times New Roman" w:cs="Times New Roman"/>
          <w:sz w:val="24"/>
          <w:szCs w:val="24"/>
          <w:lang w:val="en-US"/>
        </w:rPr>
        <w:t xml:space="preserve"> Multiplex PCR kit according to</w:t>
      </w:r>
      <w:r w:rsidR="002E5AA0" w:rsidRPr="00251411">
        <w:rPr>
          <w:rFonts w:ascii="Times New Roman" w:hAnsi="Times New Roman" w:cs="Times New Roman"/>
          <w:sz w:val="24"/>
          <w:szCs w:val="24"/>
          <w:lang w:val="en-US"/>
        </w:rPr>
        <w:t xml:space="preserve"> the manufacturer’s protocols us</w:t>
      </w:r>
      <w:r w:rsidR="000670D7" w:rsidRPr="00251411">
        <w:rPr>
          <w:rFonts w:ascii="Times New Roman" w:hAnsi="Times New Roman" w:cs="Times New Roman"/>
          <w:sz w:val="24"/>
          <w:szCs w:val="24"/>
          <w:lang w:val="en-US"/>
        </w:rPr>
        <w:t xml:space="preserve">ing 1 </w:t>
      </w:r>
      <w:r w:rsidR="000E1F06" w:rsidRPr="00251411">
        <w:rPr>
          <w:rFonts w:ascii="Times New Roman" w:hAnsi="Times New Roman" w:cs="Times New Roman"/>
          <w:sz w:val="24"/>
          <w:szCs w:val="24"/>
          <w:lang w:val="en-US"/>
        </w:rPr>
        <w:t>µl</w:t>
      </w:r>
      <w:r w:rsidR="000670D7" w:rsidRPr="00251411">
        <w:rPr>
          <w:rFonts w:ascii="Times New Roman" w:hAnsi="Times New Roman" w:cs="Times New Roman"/>
          <w:sz w:val="24"/>
          <w:szCs w:val="24"/>
          <w:lang w:val="en-US"/>
        </w:rPr>
        <w:t xml:space="preserve"> of DNA and 0.5 </w:t>
      </w:r>
      <w:r w:rsidR="000E1F06" w:rsidRPr="00251411">
        <w:rPr>
          <w:rFonts w:ascii="Times New Roman" w:hAnsi="Times New Roman" w:cs="Times New Roman"/>
          <w:sz w:val="24"/>
          <w:szCs w:val="24"/>
          <w:lang w:val="en-US"/>
        </w:rPr>
        <w:t>µl</w:t>
      </w:r>
      <w:r w:rsidR="000670D7" w:rsidRPr="00251411">
        <w:rPr>
          <w:rFonts w:ascii="Times New Roman" w:hAnsi="Times New Roman" w:cs="Times New Roman"/>
          <w:sz w:val="24"/>
          <w:szCs w:val="24"/>
          <w:lang w:val="en-US"/>
        </w:rPr>
        <w:t xml:space="preserve"> of each 10 </w:t>
      </w:r>
      <w:r w:rsidR="000E1F06" w:rsidRPr="00251411">
        <w:rPr>
          <w:rFonts w:ascii="Times New Roman" w:hAnsi="Times New Roman" w:cs="Times New Roman"/>
          <w:sz w:val="24"/>
          <w:szCs w:val="24"/>
          <w:lang w:val="en-US"/>
        </w:rPr>
        <w:t>µ</w:t>
      </w:r>
      <w:r w:rsidR="000670D7" w:rsidRPr="00251411">
        <w:rPr>
          <w:rFonts w:ascii="Times New Roman" w:hAnsi="Times New Roman" w:cs="Times New Roman"/>
          <w:sz w:val="24"/>
          <w:szCs w:val="24"/>
          <w:lang w:val="en-US"/>
        </w:rPr>
        <w:t>M primer. An optimal annealing temperature of 55</w:t>
      </w:r>
      <w:r w:rsidR="002E5AA0" w:rsidRPr="00251411">
        <w:rPr>
          <w:rFonts w:ascii="Times New Roman" w:hAnsi="Times New Roman" w:cs="Times New Roman"/>
          <w:sz w:val="24"/>
          <w:szCs w:val="24"/>
          <w:lang w:val="en-US"/>
        </w:rPr>
        <w:t>º</w:t>
      </w:r>
      <w:r w:rsidR="000670D7" w:rsidRPr="00251411">
        <w:rPr>
          <w:rFonts w:ascii="Times New Roman" w:hAnsi="Times New Roman" w:cs="Times New Roman"/>
          <w:sz w:val="24"/>
          <w:szCs w:val="24"/>
          <w:lang w:val="en-US"/>
        </w:rPr>
        <w:t>C for the nuclear and 46</w:t>
      </w:r>
      <w:r w:rsidR="002E5AA0" w:rsidRPr="00251411">
        <w:rPr>
          <w:rFonts w:ascii="Times New Roman" w:hAnsi="Times New Roman" w:cs="Times New Roman"/>
          <w:sz w:val="24"/>
          <w:szCs w:val="24"/>
          <w:lang w:val="en-US"/>
        </w:rPr>
        <w:t xml:space="preserve"> ºC</w:t>
      </w:r>
      <w:r w:rsidR="000670D7" w:rsidRPr="00251411">
        <w:rPr>
          <w:rFonts w:ascii="Times New Roman" w:hAnsi="Times New Roman" w:cs="Times New Roman"/>
          <w:sz w:val="24"/>
          <w:szCs w:val="24"/>
          <w:lang w:val="en-US"/>
        </w:rPr>
        <w:t xml:space="preserve"> for the mitochondrial markers was identified by</w:t>
      </w:r>
      <w:r w:rsidR="008F4023" w:rsidRPr="00251411">
        <w:rPr>
          <w:rFonts w:ascii="Times New Roman" w:hAnsi="Times New Roman" w:cs="Times New Roman"/>
          <w:sz w:val="24"/>
          <w:szCs w:val="24"/>
          <w:lang w:val="en-US"/>
        </w:rPr>
        <w:t xml:space="preserve"> gradient PCRs. We amplified</w:t>
      </w:r>
      <w:r w:rsidR="000670D7" w:rsidRPr="00251411">
        <w:rPr>
          <w:rFonts w:ascii="Times New Roman" w:hAnsi="Times New Roman" w:cs="Times New Roman"/>
          <w:sz w:val="24"/>
          <w:szCs w:val="24"/>
          <w:lang w:val="en-US"/>
        </w:rPr>
        <w:t xml:space="preserve"> 16 </w:t>
      </w:r>
      <w:r w:rsidR="008F4023" w:rsidRPr="00251411">
        <w:rPr>
          <w:rFonts w:ascii="Times New Roman" w:hAnsi="Times New Roman" w:cs="Times New Roman"/>
          <w:sz w:val="24"/>
          <w:szCs w:val="24"/>
          <w:lang w:val="en-US"/>
        </w:rPr>
        <w:t xml:space="preserve">of the </w:t>
      </w:r>
      <w:r w:rsidR="000670D7" w:rsidRPr="00251411">
        <w:rPr>
          <w:rFonts w:ascii="Times New Roman" w:hAnsi="Times New Roman" w:cs="Times New Roman"/>
          <w:sz w:val="24"/>
          <w:szCs w:val="24"/>
          <w:lang w:val="en-US"/>
        </w:rPr>
        <w:t xml:space="preserve">mock communities, as well as all separate specimens for each of the 8 markers. A first round PCR was run with 32 cycles using tailed primers. On these tails, a second indexing PCR was </w:t>
      </w:r>
      <w:r w:rsidR="000670D7" w:rsidRPr="00251411">
        <w:rPr>
          <w:rFonts w:ascii="Times New Roman" w:hAnsi="Times New Roman" w:cs="Times New Roman"/>
          <w:sz w:val="24"/>
          <w:szCs w:val="24"/>
          <w:lang w:val="en-US"/>
        </w:rPr>
        <w:lastRenderedPageBreak/>
        <w:t xml:space="preserve">performed with </w:t>
      </w:r>
      <w:r w:rsidR="00C35A71" w:rsidRPr="00251411">
        <w:rPr>
          <w:rFonts w:ascii="Times New Roman" w:hAnsi="Times New Roman" w:cs="Times New Roman"/>
          <w:sz w:val="24"/>
          <w:szCs w:val="24"/>
          <w:lang w:val="en-US"/>
        </w:rPr>
        <w:t>6</w:t>
      </w:r>
      <w:r w:rsidR="000670D7" w:rsidRPr="00251411">
        <w:rPr>
          <w:rFonts w:ascii="Times New Roman" w:hAnsi="Times New Roman" w:cs="Times New Roman"/>
          <w:sz w:val="24"/>
          <w:szCs w:val="24"/>
          <w:lang w:val="en-US"/>
        </w:rPr>
        <w:t xml:space="preserve"> cycles, to introduce Illumina TruSeq adapters and dual indexes for each separate specimen. The basic PCR layout followed that described in Lange et al (201</w:t>
      </w:r>
      <w:r w:rsidR="000D4466" w:rsidRPr="00251411">
        <w:rPr>
          <w:rFonts w:ascii="Times New Roman" w:hAnsi="Times New Roman" w:cs="Times New Roman"/>
          <w:sz w:val="24"/>
          <w:szCs w:val="24"/>
          <w:lang w:val="en-US"/>
        </w:rPr>
        <w:t>4</w:t>
      </w:r>
      <w:r w:rsidR="000670D7" w:rsidRPr="00251411">
        <w:rPr>
          <w:rFonts w:ascii="Times New Roman" w:hAnsi="Times New Roman" w:cs="Times New Roman"/>
          <w:sz w:val="24"/>
          <w:szCs w:val="24"/>
          <w:lang w:val="en-US"/>
        </w:rPr>
        <w:t xml:space="preserve">). </w:t>
      </w:r>
    </w:p>
    <w:p w14:paraId="5A001CCC" w14:textId="4DEF020B" w:rsidR="00046226" w:rsidRPr="00251411" w:rsidRDefault="0039490A" w:rsidP="00251411">
      <w:pPr>
        <w:pStyle w:val="Caption"/>
        <w:keepNext/>
        <w:spacing w:line="480" w:lineRule="auto"/>
        <w:rPr>
          <w:rFonts w:ascii="Times New Roman" w:hAnsi="Times New Roman" w:cs="Times New Roman"/>
          <w:sz w:val="22"/>
          <w:szCs w:val="20"/>
          <w:lang w:val="en-US"/>
        </w:rPr>
      </w:pPr>
      <w:r w:rsidRPr="00251411">
        <w:rPr>
          <w:rFonts w:ascii="Times New Roman" w:hAnsi="Times New Roman" w:cs="Times New Roman"/>
          <w:sz w:val="22"/>
          <w:szCs w:val="20"/>
          <w:lang w:val="en-US"/>
        </w:rPr>
        <w:t>Table</w:t>
      </w:r>
      <w:r w:rsidR="00046226" w:rsidRPr="00251411">
        <w:rPr>
          <w:rFonts w:ascii="Times New Roman" w:hAnsi="Times New Roman" w:cs="Times New Roman"/>
          <w:sz w:val="22"/>
          <w:szCs w:val="20"/>
          <w:lang w:val="en-US"/>
        </w:rPr>
        <w:t xml:space="preserve"> </w:t>
      </w:r>
      <w:r w:rsidR="00046226" w:rsidRPr="00251411">
        <w:rPr>
          <w:rFonts w:ascii="Times New Roman" w:hAnsi="Times New Roman" w:cs="Times New Roman"/>
          <w:sz w:val="22"/>
          <w:szCs w:val="20"/>
        </w:rPr>
        <w:fldChar w:fldCharType="begin"/>
      </w:r>
      <w:r w:rsidR="00046226" w:rsidRPr="00251411">
        <w:rPr>
          <w:rFonts w:ascii="Times New Roman" w:hAnsi="Times New Roman" w:cs="Times New Roman"/>
          <w:sz w:val="22"/>
          <w:szCs w:val="20"/>
          <w:lang w:val="en-US"/>
        </w:rPr>
        <w:instrText xml:space="preserve"> SEQ Tabelle \* ARABIC </w:instrText>
      </w:r>
      <w:r w:rsidR="00046226" w:rsidRPr="00251411">
        <w:rPr>
          <w:rFonts w:ascii="Times New Roman" w:hAnsi="Times New Roman" w:cs="Times New Roman"/>
          <w:sz w:val="22"/>
          <w:szCs w:val="20"/>
        </w:rPr>
        <w:fldChar w:fldCharType="separate"/>
      </w:r>
      <w:r w:rsidR="00BD3747" w:rsidRPr="00251411">
        <w:rPr>
          <w:rFonts w:ascii="Times New Roman" w:hAnsi="Times New Roman" w:cs="Times New Roman"/>
          <w:noProof/>
          <w:sz w:val="22"/>
          <w:szCs w:val="20"/>
          <w:lang w:val="en-US"/>
        </w:rPr>
        <w:t>1</w:t>
      </w:r>
      <w:r w:rsidR="00046226" w:rsidRPr="00251411">
        <w:rPr>
          <w:rFonts w:ascii="Times New Roman" w:hAnsi="Times New Roman" w:cs="Times New Roman"/>
          <w:sz w:val="22"/>
          <w:szCs w:val="20"/>
        </w:rPr>
        <w:fldChar w:fldCharType="end"/>
      </w:r>
      <w:r w:rsidR="00046226" w:rsidRPr="00251411">
        <w:rPr>
          <w:rFonts w:ascii="Times New Roman" w:hAnsi="Times New Roman" w:cs="Times New Roman"/>
          <w:sz w:val="22"/>
          <w:szCs w:val="20"/>
          <w:lang w:val="en-US"/>
        </w:rPr>
        <w:t xml:space="preserve"> </w:t>
      </w:r>
      <w:r w:rsidRPr="00251411">
        <w:rPr>
          <w:rFonts w:ascii="Times New Roman" w:hAnsi="Times New Roman" w:cs="Times New Roman"/>
          <w:sz w:val="22"/>
          <w:szCs w:val="20"/>
          <w:lang w:val="en-US"/>
        </w:rPr>
        <w:t>Targeted genes, primer combinations and primer sequences used in this study.</w:t>
      </w:r>
    </w:p>
    <w:tbl>
      <w:tblPr>
        <w:tblW w:w="8781" w:type="dxa"/>
        <w:tblLook w:val="04A0" w:firstRow="1" w:lastRow="0" w:firstColumn="1" w:lastColumn="0" w:noHBand="0" w:noVBand="1"/>
      </w:tblPr>
      <w:tblGrid>
        <w:gridCol w:w="1008"/>
        <w:gridCol w:w="911"/>
        <w:gridCol w:w="2810"/>
        <w:gridCol w:w="1258"/>
        <w:gridCol w:w="2794"/>
      </w:tblGrid>
      <w:tr w:rsidR="00F06378" w:rsidRPr="00251411" w14:paraId="4F9160BA" w14:textId="77777777" w:rsidTr="002F0F88">
        <w:trPr>
          <w:trHeight w:val="292"/>
        </w:trPr>
        <w:tc>
          <w:tcPr>
            <w:tcW w:w="1008" w:type="dxa"/>
            <w:tcBorders>
              <w:bottom w:val="single" w:sz="4" w:space="0" w:color="auto"/>
            </w:tcBorders>
            <w:shd w:val="clear" w:color="auto" w:fill="auto"/>
            <w:noWrap/>
            <w:vAlign w:val="bottom"/>
            <w:hideMark/>
          </w:tcPr>
          <w:p w14:paraId="515D9699" w14:textId="77777777" w:rsidR="00F06378" w:rsidRPr="00251411" w:rsidRDefault="00F06378" w:rsidP="00251411">
            <w:pPr>
              <w:spacing w:after="0" w:line="480" w:lineRule="auto"/>
              <w:jc w:val="center"/>
              <w:rPr>
                <w:rFonts w:eastAsia="Times New Roman" w:cs="Times New Roman"/>
                <w:b/>
                <w:bCs/>
                <w:color w:val="000000"/>
                <w:sz w:val="16"/>
                <w:szCs w:val="16"/>
              </w:rPr>
            </w:pPr>
            <w:r w:rsidRPr="00251411">
              <w:rPr>
                <w:rFonts w:eastAsia="Times New Roman" w:cs="Times New Roman"/>
                <w:b/>
                <w:bCs/>
                <w:color w:val="000000"/>
                <w:sz w:val="16"/>
                <w:szCs w:val="16"/>
              </w:rPr>
              <w:t>Gene</w:t>
            </w:r>
          </w:p>
        </w:tc>
        <w:tc>
          <w:tcPr>
            <w:tcW w:w="911" w:type="dxa"/>
            <w:tcBorders>
              <w:bottom w:val="single" w:sz="4" w:space="0" w:color="auto"/>
            </w:tcBorders>
            <w:shd w:val="clear" w:color="auto" w:fill="auto"/>
            <w:noWrap/>
            <w:vAlign w:val="bottom"/>
            <w:hideMark/>
          </w:tcPr>
          <w:p w14:paraId="0E675948" w14:textId="77777777" w:rsidR="00F06378" w:rsidRPr="00251411" w:rsidRDefault="00F06378" w:rsidP="00251411">
            <w:pPr>
              <w:spacing w:after="0" w:line="480" w:lineRule="auto"/>
              <w:jc w:val="center"/>
              <w:rPr>
                <w:rFonts w:eastAsia="Times New Roman" w:cs="Times New Roman"/>
                <w:b/>
                <w:bCs/>
                <w:color w:val="000000"/>
                <w:sz w:val="16"/>
                <w:szCs w:val="16"/>
              </w:rPr>
            </w:pPr>
            <w:r w:rsidRPr="00251411">
              <w:rPr>
                <w:rFonts w:eastAsia="Times New Roman" w:cs="Times New Roman"/>
                <w:b/>
                <w:bCs/>
                <w:color w:val="000000"/>
                <w:sz w:val="16"/>
                <w:szCs w:val="16"/>
              </w:rPr>
              <w:t>Forward</w:t>
            </w:r>
          </w:p>
        </w:tc>
        <w:tc>
          <w:tcPr>
            <w:tcW w:w="2810" w:type="dxa"/>
            <w:tcBorders>
              <w:bottom w:val="single" w:sz="4" w:space="0" w:color="auto"/>
            </w:tcBorders>
            <w:shd w:val="clear" w:color="auto" w:fill="auto"/>
            <w:noWrap/>
            <w:vAlign w:val="bottom"/>
            <w:hideMark/>
          </w:tcPr>
          <w:p w14:paraId="2DD8CFA3" w14:textId="77777777" w:rsidR="00F06378" w:rsidRPr="00251411" w:rsidRDefault="00F06378" w:rsidP="00251411">
            <w:pPr>
              <w:spacing w:after="0" w:line="480" w:lineRule="auto"/>
              <w:jc w:val="center"/>
              <w:rPr>
                <w:rFonts w:eastAsia="Times New Roman" w:cs="Times New Roman"/>
                <w:b/>
                <w:bCs/>
                <w:color w:val="000000"/>
                <w:sz w:val="16"/>
                <w:szCs w:val="16"/>
              </w:rPr>
            </w:pPr>
            <w:proofErr w:type="spellStart"/>
            <w:r w:rsidRPr="00251411">
              <w:rPr>
                <w:rFonts w:eastAsia="Times New Roman" w:cs="Times New Roman"/>
                <w:b/>
                <w:bCs/>
                <w:color w:val="000000"/>
                <w:sz w:val="16"/>
                <w:szCs w:val="16"/>
              </w:rPr>
              <w:t>Sequence</w:t>
            </w:r>
            <w:proofErr w:type="spellEnd"/>
            <w:r w:rsidRPr="00251411">
              <w:rPr>
                <w:rFonts w:eastAsia="Times New Roman" w:cs="Times New Roman"/>
                <w:b/>
                <w:bCs/>
                <w:color w:val="000000"/>
                <w:sz w:val="16"/>
                <w:szCs w:val="16"/>
              </w:rPr>
              <w:t xml:space="preserve"> 5'-3'</w:t>
            </w:r>
          </w:p>
        </w:tc>
        <w:tc>
          <w:tcPr>
            <w:tcW w:w="1258" w:type="dxa"/>
            <w:tcBorders>
              <w:bottom w:val="single" w:sz="4" w:space="0" w:color="auto"/>
            </w:tcBorders>
            <w:shd w:val="clear" w:color="auto" w:fill="auto"/>
            <w:noWrap/>
            <w:vAlign w:val="bottom"/>
            <w:hideMark/>
          </w:tcPr>
          <w:p w14:paraId="71A267B2" w14:textId="77777777" w:rsidR="00F06378" w:rsidRPr="00251411" w:rsidRDefault="00F06378" w:rsidP="00251411">
            <w:pPr>
              <w:spacing w:after="0" w:line="480" w:lineRule="auto"/>
              <w:jc w:val="center"/>
              <w:rPr>
                <w:rFonts w:eastAsia="Times New Roman" w:cs="Times New Roman"/>
                <w:b/>
                <w:bCs/>
                <w:color w:val="000000"/>
                <w:sz w:val="16"/>
                <w:szCs w:val="16"/>
              </w:rPr>
            </w:pPr>
            <w:r w:rsidRPr="00251411">
              <w:rPr>
                <w:rFonts w:eastAsia="Times New Roman" w:cs="Times New Roman"/>
                <w:b/>
                <w:bCs/>
                <w:color w:val="000000"/>
                <w:sz w:val="16"/>
                <w:szCs w:val="16"/>
              </w:rPr>
              <w:t>Reverse</w:t>
            </w:r>
          </w:p>
        </w:tc>
        <w:tc>
          <w:tcPr>
            <w:tcW w:w="2794" w:type="dxa"/>
            <w:tcBorders>
              <w:bottom w:val="single" w:sz="4" w:space="0" w:color="auto"/>
            </w:tcBorders>
            <w:shd w:val="clear" w:color="auto" w:fill="auto"/>
            <w:noWrap/>
            <w:vAlign w:val="bottom"/>
            <w:hideMark/>
          </w:tcPr>
          <w:p w14:paraId="7E70FC70" w14:textId="77777777" w:rsidR="00F06378" w:rsidRPr="00251411" w:rsidRDefault="00F06378" w:rsidP="00251411">
            <w:pPr>
              <w:spacing w:after="0" w:line="480" w:lineRule="auto"/>
              <w:jc w:val="center"/>
              <w:rPr>
                <w:rFonts w:eastAsia="Times New Roman" w:cs="Times New Roman"/>
                <w:b/>
                <w:bCs/>
                <w:color w:val="000000"/>
                <w:sz w:val="16"/>
                <w:szCs w:val="16"/>
              </w:rPr>
            </w:pPr>
            <w:proofErr w:type="spellStart"/>
            <w:r w:rsidRPr="00251411">
              <w:rPr>
                <w:rFonts w:eastAsia="Times New Roman" w:cs="Times New Roman"/>
                <w:b/>
                <w:bCs/>
                <w:color w:val="000000"/>
                <w:sz w:val="16"/>
                <w:szCs w:val="16"/>
              </w:rPr>
              <w:t>Sequence</w:t>
            </w:r>
            <w:proofErr w:type="spellEnd"/>
            <w:r w:rsidRPr="00251411">
              <w:rPr>
                <w:rFonts w:eastAsia="Times New Roman" w:cs="Times New Roman"/>
                <w:b/>
                <w:bCs/>
                <w:color w:val="000000"/>
                <w:sz w:val="16"/>
                <w:szCs w:val="16"/>
              </w:rPr>
              <w:t xml:space="preserve"> 5'-3'</w:t>
            </w:r>
          </w:p>
        </w:tc>
      </w:tr>
      <w:tr w:rsidR="00F06378" w:rsidRPr="00251411" w14:paraId="7DECD7B6" w14:textId="77777777" w:rsidTr="002F0F88">
        <w:trPr>
          <w:trHeight w:val="292"/>
        </w:trPr>
        <w:tc>
          <w:tcPr>
            <w:tcW w:w="1008" w:type="dxa"/>
            <w:tcBorders>
              <w:top w:val="single" w:sz="4" w:space="0" w:color="auto"/>
            </w:tcBorders>
            <w:shd w:val="clear" w:color="auto" w:fill="auto"/>
            <w:noWrap/>
            <w:vAlign w:val="bottom"/>
            <w:hideMark/>
          </w:tcPr>
          <w:p w14:paraId="1738AC25" w14:textId="77777777" w:rsidR="00F06378" w:rsidRPr="00251411" w:rsidRDefault="00F06378" w:rsidP="00251411">
            <w:pPr>
              <w:spacing w:after="0" w:line="480" w:lineRule="auto"/>
              <w:jc w:val="center"/>
              <w:rPr>
                <w:rFonts w:eastAsia="Times New Roman" w:cs="Times New Roman"/>
                <w:color w:val="000000"/>
                <w:sz w:val="16"/>
                <w:szCs w:val="16"/>
              </w:rPr>
            </w:pPr>
            <w:r w:rsidRPr="00251411">
              <w:rPr>
                <w:rFonts w:eastAsia="Times New Roman" w:cs="Times New Roman"/>
                <w:color w:val="000000"/>
                <w:sz w:val="16"/>
                <w:szCs w:val="16"/>
              </w:rPr>
              <w:t>COI</w:t>
            </w:r>
          </w:p>
        </w:tc>
        <w:tc>
          <w:tcPr>
            <w:tcW w:w="911" w:type="dxa"/>
            <w:tcBorders>
              <w:top w:val="single" w:sz="4" w:space="0" w:color="auto"/>
            </w:tcBorders>
            <w:shd w:val="clear" w:color="auto" w:fill="auto"/>
            <w:noWrap/>
            <w:vAlign w:val="center"/>
            <w:hideMark/>
          </w:tcPr>
          <w:p w14:paraId="7430C27B" w14:textId="77777777" w:rsidR="00F06378" w:rsidRPr="00251411" w:rsidRDefault="00F06378" w:rsidP="00251411">
            <w:pPr>
              <w:spacing w:after="0" w:line="480" w:lineRule="auto"/>
              <w:jc w:val="center"/>
              <w:rPr>
                <w:rFonts w:eastAsia="Times New Roman" w:cs="Times New Roman"/>
                <w:color w:val="000000"/>
                <w:sz w:val="16"/>
                <w:szCs w:val="16"/>
                <w:vertAlign w:val="superscript"/>
              </w:rPr>
            </w:pPr>
            <w:r w:rsidRPr="00251411">
              <w:rPr>
                <w:rFonts w:eastAsia="Times New Roman" w:cs="Times New Roman"/>
                <w:color w:val="000000"/>
                <w:sz w:val="16"/>
                <w:szCs w:val="16"/>
              </w:rPr>
              <w:t>ArF1</w:t>
            </w:r>
            <w:r w:rsidRPr="00251411">
              <w:rPr>
                <w:rFonts w:eastAsia="Times New Roman" w:cs="Times New Roman"/>
                <w:color w:val="000000"/>
                <w:sz w:val="16"/>
                <w:szCs w:val="16"/>
                <w:vertAlign w:val="superscript"/>
              </w:rPr>
              <w:t>1</w:t>
            </w:r>
          </w:p>
        </w:tc>
        <w:tc>
          <w:tcPr>
            <w:tcW w:w="2810" w:type="dxa"/>
            <w:tcBorders>
              <w:top w:val="single" w:sz="4" w:space="0" w:color="auto"/>
            </w:tcBorders>
            <w:shd w:val="clear" w:color="auto" w:fill="auto"/>
            <w:noWrap/>
            <w:vAlign w:val="center"/>
            <w:hideMark/>
          </w:tcPr>
          <w:p w14:paraId="0DA1EDFC" w14:textId="77777777" w:rsidR="00F06378" w:rsidRPr="00251411" w:rsidRDefault="00F06378" w:rsidP="00251411">
            <w:pPr>
              <w:spacing w:after="0" w:line="480" w:lineRule="auto"/>
              <w:jc w:val="center"/>
              <w:rPr>
                <w:rFonts w:eastAsia="Times New Roman" w:cs="Times New Roman"/>
                <w:color w:val="000000"/>
                <w:sz w:val="16"/>
                <w:szCs w:val="16"/>
              </w:rPr>
            </w:pPr>
            <w:r w:rsidRPr="00251411">
              <w:rPr>
                <w:rFonts w:eastAsia="Times New Roman" w:cs="Times New Roman"/>
                <w:color w:val="000000"/>
                <w:sz w:val="16"/>
                <w:szCs w:val="16"/>
              </w:rPr>
              <w:t>GCNCCWGAYATRGCNTTYCCNCG</w:t>
            </w:r>
          </w:p>
        </w:tc>
        <w:tc>
          <w:tcPr>
            <w:tcW w:w="1258" w:type="dxa"/>
            <w:tcBorders>
              <w:top w:val="single" w:sz="4" w:space="0" w:color="auto"/>
            </w:tcBorders>
            <w:shd w:val="clear" w:color="auto" w:fill="auto"/>
            <w:noWrap/>
            <w:vAlign w:val="bottom"/>
            <w:hideMark/>
          </w:tcPr>
          <w:p w14:paraId="1833956C" w14:textId="77777777" w:rsidR="00F06378" w:rsidRPr="00251411" w:rsidRDefault="00F06378" w:rsidP="00251411">
            <w:pPr>
              <w:spacing w:after="0" w:line="480" w:lineRule="auto"/>
              <w:jc w:val="center"/>
              <w:rPr>
                <w:rFonts w:eastAsia="Times New Roman" w:cs="Times New Roman"/>
                <w:color w:val="000000"/>
                <w:sz w:val="16"/>
                <w:szCs w:val="16"/>
                <w:vertAlign w:val="superscript"/>
              </w:rPr>
            </w:pPr>
            <w:r w:rsidRPr="00251411">
              <w:rPr>
                <w:rFonts w:eastAsia="Times New Roman" w:cs="Times New Roman"/>
                <w:color w:val="000000"/>
                <w:sz w:val="16"/>
                <w:szCs w:val="16"/>
              </w:rPr>
              <w:t>Fol-degen-rev</w:t>
            </w:r>
            <w:r w:rsidRPr="00251411">
              <w:rPr>
                <w:rFonts w:eastAsia="Times New Roman" w:cs="Times New Roman"/>
                <w:color w:val="000000"/>
                <w:sz w:val="16"/>
                <w:szCs w:val="16"/>
                <w:vertAlign w:val="superscript"/>
              </w:rPr>
              <w:t>2</w:t>
            </w:r>
          </w:p>
        </w:tc>
        <w:tc>
          <w:tcPr>
            <w:tcW w:w="2794" w:type="dxa"/>
            <w:tcBorders>
              <w:top w:val="single" w:sz="4" w:space="0" w:color="auto"/>
            </w:tcBorders>
            <w:shd w:val="clear" w:color="auto" w:fill="auto"/>
            <w:noWrap/>
            <w:vAlign w:val="bottom"/>
            <w:hideMark/>
          </w:tcPr>
          <w:p w14:paraId="0DF7FE8B" w14:textId="77777777" w:rsidR="00F06378" w:rsidRPr="00251411" w:rsidRDefault="00F06378" w:rsidP="00251411">
            <w:pPr>
              <w:spacing w:after="0" w:line="480" w:lineRule="auto"/>
              <w:jc w:val="center"/>
              <w:rPr>
                <w:rFonts w:eastAsia="Times New Roman" w:cs="Times New Roman"/>
                <w:color w:val="000000"/>
                <w:sz w:val="16"/>
                <w:szCs w:val="16"/>
                <w:vertAlign w:val="superscript"/>
              </w:rPr>
            </w:pPr>
            <w:r w:rsidRPr="00251411">
              <w:rPr>
                <w:rFonts w:eastAsia="Times New Roman" w:cs="Times New Roman"/>
                <w:color w:val="000000"/>
                <w:sz w:val="16"/>
                <w:szCs w:val="16"/>
              </w:rPr>
              <w:t>TANACYTCNGGRTGNCCRAARAAYCA</w:t>
            </w:r>
          </w:p>
        </w:tc>
      </w:tr>
      <w:tr w:rsidR="00F06378" w:rsidRPr="00251411" w14:paraId="0CA50614" w14:textId="77777777" w:rsidTr="002F0F88">
        <w:trPr>
          <w:trHeight w:val="292"/>
        </w:trPr>
        <w:tc>
          <w:tcPr>
            <w:tcW w:w="1008" w:type="dxa"/>
            <w:shd w:val="clear" w:color="auto" w:fill="auto"/>
            <w:noWrap/>
            <w:vAlign w:val="bottom"/>
            <w:hideMark/>
          </w:tcPr>
          <w:p w14:paraId="021C4A52" w14:textId="77777777" w:rsidR="00F06378" w:rsidRPr="00251411" w:rsidRDefault="00F06378" w:rsidP="00251411">
            <w:pPr>
              <w:spacing w:after="0" w:line="480" w:lineRule="auto"/>
              <w:jc w:val="center"/>
              <w:rPr>
                <w:rFonts w:eastAsia="Times New Roman" w:cs="Times New Roman"/>
                <w:color w:val="000000"/>
                <w:sz w:val="16"/>
                <w:szCs w:val="16"/>
              </w:rPr>
            </w:pPr>
            <w:r w:rsidRPr="00251411">
              <w:rPr>
                <w:rFonts w:eastAsia="Times New Roman" w:cs="Times New Roman"/>
                <w:color w:val="000000"/>
                <w:sz w:val="16"/>
                <w:szCs w:val="16"/>
              </w:rPr>
              <w:t>COI</w:t>
            </w:r>
          </w:p>
        </w:tc>
        <w:tc>
          <w:tcPr>
            <w:tcW w:w="911" w:type="dxa"/>
            <w:shd w:val="clear" w:color="auto" w:fill="auto"/>
            <w:noWrap/>
            <w:vAlign w:val="bottom"/>
            <w:hideMark/>
          </w:tcPr>
          <w:p w14:paraId="125BE02B" w14:textId="77777777" w:rsidR="00F06378" w:rsidRPr="00251411" w:rsidRDefault="00F06378" w:rsidP="00251411">
            <w:pPr>
              <w:spacing w:after="0" w:line="480" w:lineRule="auto"/>
              <w:jc w:val="center"/>
              <w:rPr>
                <w:rFonts w:eastAsia="Times New Roman" w:cs="Times New Roman"/>
                <w:color w:val="000000"/>
                <w:sz w:val="16"/>
                <w:szCs w:val="16"/>
                <w:vertAlign w:val="superscript"/>
              </w:rPr>
            </w:pPr>
            <w:r w:rsidRPr="00251411">
              <w:rPr>
                <w:rFonts w:eastAsia="Times New Roman" w:cs="Times New Roman"/>
                <w:color w:val="000000"/>
                <w:sz w:val="16"/>
                <w:szCs w:val="16"/>
              </w:rPr>
              <w:t>mlCOIintF</w:t>
            </w:r>
            <w:r w:rsidRPr="00251411">
              <w:rPr>
                <w:rFonts w:eastAsia="Times New Roman" w:cs="Times New Roman"/>
                <w:color w:val="000000"/>
                <w:sz w:val="16"/>
                <w:szCs w:val="16"/>
                <w:vertAlign w:val="superscript"/>
              </w:rPr>
              <w:t>3</w:t>
            </w:r>
          </w:p>
        </w:tc>
        <w:tc>
          <w:tcPr>
            <w:tcW w:w="2810" w:type="dxa"/>
            <w:shd w:val="clear" w:color="auto" w:fill="auto"/>
            <w:noWrap/>
            <w:vAlign w:val="bottom"/>
            <w:hideMark/>
          </w:tcPr>
          <w:p w14:paraId="69B383D3" w14:textId="77777777" w:rsidR="00F06378" w:rsidRPr="00251411" w:rsidRDefault="00F06378" w:rsidP="00251411">
            <w:pPr>
              <w:spacing w:after="0" w:line="480" w:lineRule="auto"/>
              <w:jc w:val="center"/>
              <w:rPr>
                <w:rFonts w:eastAsia="Times New Roman" w:cs="Times New Roman"/>
                <w:color w:val="000000"/>
                <w:sz w:val="16"/>
                <w:szCs w:val="16"/>
              </w:rPr>
            </w:pPr>
            <w:r w:rsidRPr="00251411">
              <w:rPr>
                <w:rFonts w:eastAsia="Times New Roman" w:cs="Times New Roman"/>
                <w:color w:val="000000"/>
                <w:sz w:val="16"/>
                <w:szCs w:val="16"/>
              </w:rPr>
              <w:t>GGWACWGGWTGAACWGTWTAYCCYCC</w:t>
            </w:r>
          </w:p>
        </w:tc>
        <w:tc>
          <w:tcPr>
            <w:tcW w:w="1258" w:type="dxa"/>
            <w:shd w:val="clear" w:color="auto" w:fill="auto"/>
            <w:noWrap/>
            <w:vAlign w:val="bottom"/>
            <w:hideMark/>
          </w:tcPr>
          <w:p w14:paraId="26D51AF5" w14:textId="77777777" w:rsidR="00F06378" w:rsidRPr="00251411" w:rsidRDefault="00F06378" w:rsidP="00251411">
            <w:pPr>
              <w:spacing w:after="0" w:line="480" w:lineRule="auto"/>
              <w:jc w:val="center"/>
              <w:rPr>
                <w:rFonts w:eastAsia="Times New Roman" w:cs="Times New Roman"/>
                <w:color w:val="000000"/>
                <w:sz w:val="16"/>
                <w:szCs w:val="16"/>
                <w:vertAlign w:val="superscript"/>
              </w:rPr>
            </w:pPr>
            <w:r w:rsidRPr="00251411">
              <w:rPr>
                <w:rFonts w:eastAsia="Times New Roman" w:cs="Times New Roman"/>
                <w:color w:val="000000"/>
                <w:sz w:val="16"/>
                <w:szCs w:val="16"/>
              </w:rPr>
              <w:t>Fol-degen-rev</w:t>
            </w:r>
            <w:r w:rsidRPr="00251411">
              <w:rPr>
                <w:rFonts w:eastAsia="Times New Roman" w:cs="Times New Roman"/>
                <w:color w:val="000000"/>
                <w:sz w:val="16"/>
                <w:szCs w:val="16"/>
                <w:vertAlign w:val="superscript"/>
              </w:rPr>
              <w:t>2</w:t>
            </w:r>
          </w:p>
        </w:tc>
        <w:tc>
          <w:tcPr>
            <w:tcW w:w="2794" w:type="dxa"/>
            <w:shd w:val="clear" w:color="auto" w:fill="auto"/>
            <w:noWrap/>
            <w:vAlign w:val="bottom"/>
            <w:hideMark/>
          </w:tcPr>
          <w:p w14:paraId="5877F2A8" w14:textId="77777777" w:rsidR="00F06378" w:rsidRPr="00251411" w:rsidRDefault="00F06378" w:rsidP="00251411">
            <w:pPr>
              <w:spacing w:after="0" w:line="480" w:lineRule="auto"/>
              <w:jc w:val="center"/>
              <w:rPr>
                <w:rFonts w:eastAsia="Times New Roman" w:cs="Times New Roman"/>
                <w:color w:val="000000"/>
                <w:sz w:val="16"/>
                <w:szCs w:val="16"/>
              </w:rPr>
            </w:pPr>
            <w:r w:rsidRPr="00251411">
              <w:rPr>
                <w:rFonts w:eastAsia="Times New Roman" w:cs="Times New Roman"/>
                <w:color w:val="000000"/>
                <w:sz w:val="16"/>
                <w:szCs w:val="16"/>
              </w:rPr>
              <w:t>TANACYTCNGGRTGNCCRAARAAYCA</w:t>
            </w:r>
          </w:p>
        </w:tc>
      </w:tr>
      <w:tr w:rsidR="00F06378" w:rsidRPr="00251411" w14:paraId="56E1A208" w14:textId="77777777" w:rsidTr="002F0F88">
        <w:trPr>
          <w:trHeight w:val="292"/>
        </w:trPr>
        <w:tc>
          <w:tcPr>
            <w:tcW w:w="1008" w:type="dxa"/>
            <w:shd w:val="clear" w:color="auto" w:fill="auto"/>
            <w:noWrap/>
            <w:vAlign w:val="bottom"/>
            <w:hideMark/>
          </w:tcPr>
          <w:p w14:paraId="31E6E816" w14:textId="77777777" w:rsidR="00F06378" w:rsidRPr="00251411" w:rsidRDefault="00F06378" w:rsidP="00251411">
            <w:pPr>
              <w:spacing w:after="0" w:line="480" w:lineRule="auto"/>
              <w:jc w:val="center"/>
              <w:rPr>
                <w:rFonts w:eastAsia="Times New Roman" w:cs="Times New Roman"/>
                <w:color w:val="000000"/>
                <w:sz w:val="16"/>
                <w:szCs w:val="16"/>
              </w:rPr>
            </w:pPr>
            <w:proofErr w:type="spellStart"/>
            <w:r w:rsidRPr="00251411">
              <w:rPr>
                <w:rFonts w:eastAsia="Times New Roman" w:cs="Times New Roman"/>
                <w:color w:val="000000"/>
                <w:sz w:val="16"/>
                <w:szCs w:val="16"/>
              </w:rPr>
              <w:t>CytB</w:t>
            </w:r>
            <w:proofErr w:type="spellEnd"/>
          </w:p>
        </w:tc>
        <w:tc>
          <w:tcPr>
            <w:tcW w:w="911" w:type="dxa"/>
            <w:shd w:val="clear" w:color="auto" w:fill="auto"/>
            <w:noWrap/>
            <w:vAlign w:val="bottom"/>
            <w:hideMark/>
          </w:tcPr>
          <w:p w14:paraId="02625E07" w14:textId="77777777" w:rsidR="00F06378" w:rsidRPr="00251411" w:rsidRDefault="00F06378" w:rsidP="00251411">
            <w:pPr>
              <w:spacing w:after="0" w:line="480" w:lineRule="auto"/>
              <w:jc w:val="center"/>
              <w:rPr>
                <w:rFonts w:eastAsia="Times New Roman" w:cs="Times New Roman"/>
                <w:color w:val="000000"/>
                <w:sz w:val="16"/>
                <w:szCs w:val="16"/>
                <w:vertAlign w:val="superscript"/>
              </w:rPr>
            </w:pPr>
            <w:r w:rsidRPr="00251411">
              <w:rPr>
                <w:rFonts w:eastAsia="Times New Roman" w:cs="Times New Roman"/>
                <w:color w:val="000000"/>
                <w:sz w:val="16"/>
                <w:szCs w:val="16"/>
              </w:rPr>
              <w:t>CB3</w:t>
            </w:r>
            <w:r w:rsidRPr="00251411">
              <w:rPr>
                <w:rFonts w:eastAsia="Times New Roman" w:cs="Times New Roman"/>
                <w:color w:val="000000"/>
                <w:sz w:val="16"/>
                <w:szCs w:val="16"/>
                <w:vertAlign w:val="superscript"/>
              </w:rPr>
              <w:t>4</w:t>
            </w:r>
          </w:p>
        </w:tc>
        <w:tc>
          <w:tcPr>
            <w:tcW w:w="2810" w:type="dxa"/>
            <w:shd w:val="clear" w:color="000000" w:fill="FFFFFF"/>
            <w:noWrap/>
            <w:vAlign w:val="bottom"/>
            <w:hideMark/>
          </w:tcPr>
          <w:p w14:paraId="12BDD157" w14:textId="77777777" w:rsidR="00F06378" w:rsidRPr="00251411" w:rsidRDefault="00F06378" w:rsidP="00251411">
            <w:pPr>
              <w:spacing w:after="0" w:line="480" w:lineRule="auto"/>
              <w:jc w:val="center"/>
              <w:rPr>
                <w:rFonts w:eastAsia="Times New Roman" w:cs="Times New Roman"/>
                <w:color w:val="000000"/>
                <w:sz w:val="16"/>
                <w:szCs w:val="16"/>
              </w:rPr>
            </w:pPr>
            <w:r w:rsidRPr="00251411">
              <w:rPr>
                <w:rFonts w:eastAsia="Times New Roman" w:cs="Times New Roman"/>
                <w:color w:val="000000"/>
                <w:sz w:val="16"/>
                <w:szCs w:val="16"/>
              </w:rPr>
              <w:t>GAGGAGCAACTGTAATTACTAA</w:t>
            </w:r>
          </w:p>
        </w:tc>
        <w:tc>
          <w:tcPr>
            <w:tcW w:w="1258" w:type="dxa"/>
            <w:shd w:val="clear" w:color="auto" w:fill="auto"/>
            <w:noWrap/>
            <w:vAlign w:val="bottom"/>
            <w:hideMark/>
          </w:tcPr>
          <w:p w14:paraId="1714C330" w14:textId="77777777" w:rsidR="00F06378" w:rsidRPr="00251411" w:rsidRDefault="00F06378" w:rsidP="00251411">
            <w:pPr>
              <w:spacing w:after="0" w:line="480" w:lineRule="auto"/>
              <w:jc w:val="center"/>
              <w:rPr>
                <w:rFonts w:eastAsia="Times New Roman" w:cs="Times New Roman"/>
                <w:color w:val="000000"/>
                <w:sz w:val="16"/>
                <w:szCs w:val="16"/>
                <w:vertAlign w:val="superscript"/>
              </w:rPr>
            </w:pPr>
            <w:r w:rsidRPr="00251411">
              <w:rPr>
                <w:rFonts w:eastAsia="Times New Roman" w:cs="Times New Roman"/>
                <w:color w:val="000000"/>
                <w:sz w:val="16"/>
                <w:szCs w:val="16"/>
              </w:rPr>
              <w:t>CB4</w:t>
            </w:r>
            <w:r w:rsidRPr="00251411">
              <w:rPr>
                <w:rFonts w:eastAsia="Times New Roman" w:cs="Times New Roman"/>
                <w:color w:val="000000"/>
                <w:sz w:val="16"/>
                <w:szCs w:val="16"/>
                <w:vertAlign w:val="superscript"/>
              </w:rPr>
              <w:t>4</w:t>
            </w:r>
          </w:p>
        </w:tc>
        <w:tc>
          <w:tcPr>
            <w:tcW w:w="2794" w:type="dxa"/>
            <w:shd w:val="clear" w:color="000000" w:fill="FFFFFF"/>
            <w:noWrap/>
            <w:vAlign w:val="bottom"/>
            <w:hideMark/>
          </w:tcPr>
          <w:p w14:paraId="1290C4FC" w14:textId="77777777" w:rsidR="00F06378" w:rsidRPr="00251411" w:rsidRDefault="00F06378" w:rsidP="00251411">
            <w:pPr>
              <w:spacing w:after="0" w:line="480" w:lineRule="auto"/>
              <w:jc w:val="center"/>
              <w:rPr>
                <w:rFonts w:eastAsia="Times New Roman" w:cs="Times New Roman"/>
                <w:color w:val="000000"/>
                <w:sz w:val="16"/>
                <w:szCs w:val="16"/>
              </w:rPr>
            </w:pPr>
            <w:r w:rsidRPr="00251411">
              <w:rPr>
                <w:rFonts w:eastAsia="Times New Roman" w:cs="Times New Roman"/>
                <w:color w:val="000000"/>
                <w:sz w:val="16"/>
                <w:szCs w:val="16"/>
              </w:rPr>
              <w:t>AAAAGAAARTATCATTCAGGTTGAAT</w:t>
            </w:r>
          </w:p>
        </w:tc>
      </w:tr>
      <w:tr w:rsidR="00F06378" w:rsidRPr="00251411" w14:paraId="7335894B" w14:textId="77777777" w:rsidTr="002F0F88">
        <w:trPr>
          <w:trHeight w:val="292"/>
        </w:trPr>
        <w:tc>
          <w:tcPr>
            <w:tcW w:w="1008" w:type="dxa"/>
            <w:shd w:val="clear" w:color="auto" w:fill="auto"/>
            <w:noWrap/>
            <w:vAlign w:val="bottom"/>
            <w:hideMark/>
          </w:tcPr>
          <w:p w14:paraId="2911E65F" w14:textId="77777777" w:rsidR="00F06378" w:rsidRPr="00251411" w:rsidRDefault="00F06378" w:rsidP="00251411">
            <w:pPr>
              <w:spacing w:after="0" w:line="480" w:lineRule="auto"/>
              <w:jc w:val="center"/>
              <w:rPr>
                <w:rFonts w:eastAsia="Times New Roman" w:cs="Times New Roman"/>
                <w:color w:val="000000"/>
                <w:sz w:val="16"/>
                <w:szCs w:val="16"/>
              </w:rPr>
            </w:pPr>
            <w:r w:rsidRPr="00251411">
              <w:rPr>
                <w:rFonts w:eastAsia="Times New Roman" w:cs="Times New Roman"/>
                <w:color w:val="000000"/>
                <w:sz w:val="16"/>
                <w:szCs w:val="16"/>
              </w:rPr>
              <w:t>12srDNA</w:t>
            </w:r>
          </w:p>
        </w:tc>
        <w:tc>
          <w:tcPr>
            <w:tcW w:w="911" w:type="dxa"/>
            <w:shd w:val="clear" w:color="auto" w:fill="auto"/>
            <w:noWrap/>
            <w:vAlign w:val="bottom"/>
            <w:hideMark/>
          </w:tcPr>
          <w:p w14:paraId="2EBF9FB5" w14:textId="77777777" w:rsidR="00F06378" w:rsidRPr="00251411" w:rsidRDefault="00F06378" w:rsidP="00251411">
            <w:pPr>
              <w:spacing w:after="0" w:line="480" w:lineRule="auto"/>
              <w:jc w:val="center"/>
              <w:rPr>
                <w:rFonts w:eastAsia="Times New Roman" w:cs="Times New Roman"/>
                <w:color w:val="000000"/>
                <w:sz w:val="16"/>
                <w:szCs w:val="16"/>
                <w:vertAlign w:val="superscript"/>
              </w:rPr>
            </w:pPr>
            <w:r w:rsidRPr="00251411">
              <w:rPr>
                <w:rFonts w:eastAsia="Times New Roman" w:cs="Times New Roman"/>
                <w:color w:val="000000"/>
                <w:sz w:val="16"/>
                <w:szCs w:val="16"/>
              </w:rPr>
              <w:t>12sai</w:t>
            </w:r>
            <w:r w:rsidRPr="00251411">
              <w:rPr>
                <w:rFonts w:eastAsia="Times New Roman" w:cs="Times New Roman"/>
                <w:color w:val="000000"/>
                <w:sz w:val="16"/>
                <w:szCs w:val="16"/>
                <w:vertAlign w:val="superscript"/>
              </w:rPr>
              <w:t>5</w:t>
            </w:r>
          </w:p>
        </w:tc>
        <w:tc>
          <w:tcPr>
            <w:tcW w:w="2810" w:type="dxa"/>
            <w:shd w:val="clear" w:color="auto" w:fill="auto"/>
            <w:noWrap/>
            <w:vAlign w:val="bottom"/>
            <w:hideMark/>
          </w:tcPr>
          <w:p w14:paraId="085EAA64" w14:textId="77777777" w:rsidR="00F06378" w:rsidRPr="00251411" w:rsidRDefault="00F06378" w:rsidP="00251411">
            <w:pPr>
              <w:spacing w:after="0" w:line="480" w:lineRule="auto"/>
              <w:jc w:val="center"/>
              <w:rPr>
                <w:rFonts w:eastAsia="Times New Roman" w:cs="Times New Roman"/>
                <w:color w:val="000000"/>
                <w:sz w:val="16"/>
                <w:szCs w:val="16"/>
              </w:rPr>
            </w:pPr>
            <w:r w:rsidRPr="00251411">
              <w:rPr>
                <w:rFonts w:eastAsia="Times New Roman" w:cs="Times New Roman"/>
                <w:color w:val="000000"/>
                <w:sz w:val="16"/>
                <w:szCs w:val="16"/>
              </w:rPr>
              <w:t>AAACTAGGATTAGATACCCTATTAT</w:t>
            </w:r>
          </w:p>
        </w:tc>
        <w:tc>
          <w:tcPr>
            <w:tcW w:w="1258" w:type="dxa"/>
            <w:shd w:val="clear" w:color="auto" w:fill="auto"/>
            <w:noWrap/>
            <w:vAlign w:val="bottom"/>
            <w:hideMark/>
          </w:tcPr>
          <w:p w14:paraId="32BB6451" w14:textId="77777777" w:rsidR="00F06378" w:rsidRPr="00251411" w:rsidRDefault="00F06378" w:rsidP="00251411">
            <w:pPr>
              <w:spacing w:after="0" w:line="480" w:lineRule="auto"/>
              <w:jc w:val="center"/>
              <w:rPr>
                <w:rFonts w:eastAsia="Times New Roman" w:cs="Times New Roman"/>
                <w:color w:val="000000"/>
                <w:sz w:val="16"/>
                <w:szCs w:val="16"/>
                <w:vertAlign w:val="superscript"/>
              </w:rPr>
            </w:pPr>
            <w:r w:rsidRPr="00251411">
              <w:rPr>
                <w:rFonts w:eastAsia="Times New Roman" w:cs="Times New Roman"/>
                <w:color w:val="000000"/>
                <w:sz w:val="16"/>
                <w:szCs w:val="16"/>
              </w:rPr>
              <w:t>12sbi</w:t>
            </w:r>
            <w:r w:rsidRPr="00251411">
              <w:rPr>
                <w:rFonts w:eastAsia="Times New Roman" w:cs="Times New Roman"/>
                <w:color w:val="000000"/>
                <w:sz w:val="16"/>
                <w:szCs w:val="16"/>
                <w:vertAlign w:val="superscript"/>
              </w:rPr>
              <w:t>5</w:t>
            </w:r>
          </w:p>
        </w:tc>
        <w:tc>
          <w:tcPr>
            <w:tcW w:w="2794" w:type="dxa"/>
            <w:shd w:val="clear" w:color="auto" w:fill="auto"/>
            <w:noWrap/>
            <w:vAlign w:val="bottom"/>
            <w:hideMark/>
          </w:tcPr>
          <w:p w14:paraId="5A0454C9" w14:textId="77777777" w:rsidR="00F06378" w:rsidRPr="00251411" w:rsidRDefault="00F06378" w:rsidP="00251411">
            <w:pPr>
              <w:spacing w:after="0" w:line="480" w:lineRule="auto"/>
              <w:jc w:val="center"/>
              <w:rPr>
                <w:rFonts w:eastAsia="Times New Roman" w:cs="Times New Roman"/>
                <w:color w:val="000000"/>
                <w:sz w:val="16"/>
                <w:szCs w:val="16"/>
              </w:rPr>
            </w:pPr>
            <w:r w:rsidRPr="00251411">
              <w:rPr>
                <w:rFonts w:eastAsia="Times New Roman" w:cs="Times New Roman"/>
                <w:color w:val="000000"/>
                <w:sz w:val="16"/>
                <w:szCs w:val="16"/>
              </w:rPr>
              <w:t>AAGAGCGACGGGCGATGTGT</w:t>
            </w:r>
          </w:p>
        </w:tc>
      </w:tr>
      <w:tr w:rsidR="00F06378" w:rsidRPr="00251411" w14:paraId="5F3F935E" w14:textId="77777777" w:rsidTr="002F0F88">
        <w:trPr>
          <w:trHeight w:val="292"/>
        </w:trPr>
        <w:tc>
          <w:tcPr>
            <w:tcW w:w="1008" w:type="dxa"/>
            <w:shd w:val="clear" w:color="auto" w:fill="auto"/>
            <w:noWrap/>
            <w:vAlign w:val="bottom"/>
          </w:tcPr>
          <w:p w14:paraId="67E10020" w14:textId="77777777" w:rsidR="00F06378" w:rsidRPr="00251411" w:rsidRDefault="00F06378" w:rsidP="00251411">
            <w:pPr>
              <w:spacing w:after="0" w:line="480" w:lineRule="auto"/>
              <w:jc w:val="center"/>
              <w:rPr>
                <w:rFonts w:eastAsia="Times New Roman" w:cs="Times New Roman"/>
                <w:color w:val="000000"/>
                <w:sz w:val="16"/>
                <w:szCs w:val="16"/>
              </w:rPr>
            </w:pPr>
            <w:r w:rsidRPr="00251411">
              <w:rPr>
                <w:rFonts w:eastAsia="Times New Roman" w:cs="Times New Roman"/>
                <w:color w:val="000000"/>
                <w:sz w:val="16"/>
                <w:szCs w:val="16"/>
              </w:rPr>
              <w:t>18srDNA</w:t>
            </w:r>
          </w:p>
        </w:tc>
        <w:tc>
          <w:tcPr>
            <w:tcW w:w="911" w:type="dxa"/>
            <w:shd w:val="clear" w:color="auto" w:fill="auto"/>
            <w:noWrap/>
            <w:vAlign w:val="bottom"/>
          </w:tcPr>
          <w:p w14:paraId="3DCEAB75" w14:textId="77777777" w:rsidR="00F06378" w:rsidRPr="00251411" w:rsidRDefault="00F06378" w:rsidP="00251411">
            <w:pPr>
              <w:spacing w:line="480" w:lineRule="auto"/>
              <w:jc w:val="center"/>
              <w:rPr>
                <w:color w:val="000000"/>
                <w:sz w:val="16"/>
                <w:szCs w:val="16"/>
                <w:vertAlign w:val="superscript"/>
              </w:rPr>
            </w:pPr>
            <w:r w:rsidRPr="00251411">
              <w:rPr>
                <w:color w:val="000000"/>
                <w:sz w:val="16"/>
                <w:szCs w:val="16"/>
              </w:rPr>
              <w:t>SSU_FO4</w:t>
            </w:r>
            <w:r w:rsidRPr="00251411">
              <w:rPr>
                <w:color w:val="000000"/>
                <w:sz w:val="16"/>
                <w:szCs w:val="16"/>
                <w:vertAlign w:val="superscript"/>
              </w:rPr>
              <w:t>6</w:t>
            </w:r>
          </w:p>
        </w:tc>
        <w:tc>
          <w:tcPr>
            <w:tcW w:w="2810" w:type="dxa"/>
            <w:shd w:val="clear" w:color="auto" w:fill="auto"/>
            <w:noWrap/>
            <w:vAlign w:val="bottom"/>
          </w:tcPr>
          <w:p w14:paraId="3C948D8F" w14:textId="77777777" w:rsidR="00F06378" w:rsidRPr="00251411" w:rsidRDefault="00F06378" w:rsidP="00251411">
            <w:pPr>
              <w:spacing w:after="0" w:line="480" w:lineRule="auto"/>
              <w:jc w:val="center"/>
              <w:rPr>
                <w:rFonts w:eastAsia="Times New Roman" w:cs="Times New Roman"/>
                <w:color w:val="000000"/>
                <w:sz w:val="16"/>
                <w:szCs w:val="16"/>
              </w:rPr>
            </w:pPr>
            <w:r w:rsidRPr="00251411">
              <w:rPr>
                <w:rFonts w:eastAsia="Times New Roman" w:cs="Times New Roman"/>
                <w:color w:val="000000"/>
                <w:sz w:val="16"/>
                <w:szCs w:val="16"/>
              </w:rPr>
              <w:t>GCTTGTCTCAAAGATTAAGCC</w:t>
            </w:r>
          </w:p>
        </w:tc>
        <w:tc>
          <w:tcPr>
            <w:tcW w:w="1258" w:type="dxa"/>
            <w:shd w:val="clear" w:color="auto" w:fill="auto"/>
            <w:noWrap/>
            <w:vAlign w:val="bottom"/>
          </w:tcPr>
          <w:p w14:paraId="2A076990" w14:textId="77777777" w:rsidR="00F06378" w:rsidRPr="00251411" w:rsidRDefault="00F06378" w:rsidP="00251411">
            <w:pPr>
              <w:spacing w:after="0" w:line="480" w:lineRule="auto"/>
              <w:jc w:val="center"/>
              <w:rPr>
                <w:rFonts w:eastAsia="Times New Roman" w:cs="Times New Roman"/>
                <w:color w:val="000000"/>
                <w:sz w:val="16"/>
                <w:szCs w:val="16"/>
                <w:vertAlign w:val="superscript"/>
              </w:rPr>
            </w:pPr>
            <w:r w:rsidRPr="00251411">
              <w:rPr>
                <w:rFonts w:eastAsia="Times New Roman" w:cs="Times New Roman"/>
                <w:color w:val="000000"/>
                <w:sz w:val="16"/>
                <w:szCs w:val="16"/>
              </w:rPr>
              <w:t>SSU_R22</w:t>
            </w:r>
            <w:r w:rsidRPr="00251411">
              <w:rPr>
                <w:rFonts w:eastAsia="Times New Roman" w:cs="Times New Roman"/>
                <w:color w:val="000000"/>
                <w:sz w:val="16"/>
                <w:szCs w:val="16"/>
                <w:vertAlign w:val="superscript"/>
              </w:rPr>
              <w:t>6</w:t>
            </w:r>
          </w:p>
        </w:tc>
        <w:tc>
          <w:tcPr>
            <w:tcW w:w="2794" w:type="dxa"/>
            <w:shd w:val="clear" w:color="auto" w:fill="auto"/>
            <w:noWrap/>
            <w:vAlign w:val="bottom"/>
          </w:tcPr>
          <w:p w14:paraId="79697F24" w14:textId="77777777" w:rsidR="00F06378" w:rsidRPr="00251411" w:rsidRDefault="00F06378" w:rsidP="00251411">
            <w:pPr>
              <w:spacing w:after="0" w:line="480" w:lineRule="auto"/>
              <w:jc w:val="center"/>
              <w:rPr>
                <w:rFonts w:eastAsia="Times New Roman" w:cs="Times New Roman"/>
                <w:color w:val="000000"/>
                <w:sz w:val="16"/>
                <w:szCs w:val="16"/>
              </w:rPr>
            </w:pPr>
            <w:r w:rsidRPr="00251411">
              <w:rPr>
                <w:rFonts w:eastAsia="Times New Roman" w:cs="Times New Roman"/>
                <w:color w:val="000000"/>
                <w:sz w:val="16"/>
                <w:szCs w:val="16"/>
              </w:rPr>
              <w:t>GCCTGCTGCCTTCCTTGGA</w:t>
            </w:r>
          </w:p>
        </w:tc>
      </w:tr>
      <w:tr w:rsidR="00F06378" w:rsidRPr="00251411" w14:paraId="358F310B" w14:textId="77777777" w:rsidTr="002F0F88">
        <w:trPr>
          <w:trHeight w:val="292"/>
        </w:trPr>
        <w:tc>
          <w:tcPr>
            <w:tcW w:w="1008" w:type="dxa"/>
            <w:shd w:val="clear" w:color="auto" w:fill="auto"/>
            <w:noWrap/>
            <w:vAlign w:val="bottom"/>
          </w:tcPr>
          <w:p w14:paraId="250570C4" w14:textId="77777777" w:rsidR="00F06378" w:rsidRPr="00251411" w:rsidRDefault="00F06378" w:rsidP="00251411">
            <w:pPr>
              <w:spacing w:after="0" w:line="480" w:lineRule="auto"/>
              <w:jc w:val="center"/>
              <w:rPr>
                <w:rFonts w:eastAsia="Times New Roman" w:cs="Times New Roman"/>
                <w:color w:val="000000"/>
                <w:sz w:val="16"/>
                <w:szCs w:val="16"/>
                <w:lang w:val="en-US"/>
              </w:rPr>
            </w:pPr>
            <w:r w:rsidRPr="00251411">
              <w:rPr>
                <w:rFonts w:eastAsia="Times New Roman" w:cs="Times New Roman"/>
                <w:color w:val="000000"/>
                <w:sz w:val="16"/>
                <w:szCs w:val="16"/>
                <w:lang w:val="en-US"/>
              </w:rPr>
              <w:t>18srDNA</w:t>
            </w:r>
          </w:p>
        </w:tc>
        <w:tc>
          <w:tcPr>
            <w:tcW w:w="911" w:type="dxa"/>
            <w:shd w:val="clear" w:color="auto" w:fill="auto"/>
            <w:noWrap/>
            <w:vAlign w:val="bottom"/>
          </w:tcPr>
          <w:p w14:paraId="5CC3CD18" w14:textId="77777777" w:rsidR="00F06378" w:rsidRPr="00251411" w:rsidRDefault="00F06378" w:rsidP="00251411">
            <w:pPr>
              <w:spacing w:after="0" w:line="480" w:lineRule="auto"/>
              <w:jc w:val="center"/>
              <w:rPr>
                <w:rFonts w:eastAsia="Times New Roman" w:cs="Times New Roman"/>
                <w:color w:val="000000"/>
                <w:sz w:val="16"/>
                <w:szCs w:val="16"/>
                <w:vertAlign w:val="superscript"/>
                <w:lang w:val="en-US"/>
              </w:rPr>
            </w:pPr>
            <w:r w:rsidRPr="00251411">
              <w:rPr>
                <w:rFonts w:eastAsia="Times New Roman" w:cs="Times New Roman"/>
                <w:color w:val="000000"/>
                <w:sz w:val="16"/>
                <w:szCs w:val="16"/>
                <w:lang w:val="en-US"/>
              </w:rPr>
              <w:t>18s_2F</w:t>
            </w:r>
            <w:r w:rsidRPr="00251411">
              <w:rPr>
                <w:rFonts w:eastAsia="Times New Roman" w:cs="Times New Roman"/>
                <w:color w:val="000000"/>
                <w:sz w:val="16"/>
                <w:szCs w:val="16"/>
                <w:vertAlign w:val="superscript"/>
                <w:lang w:val="en-US"/>
              </w:rPr>
              <w:t>7</w:t>
            </w:r>
          </w:p>
        </w:tc>
        <w:tc>
          <w:tcPr>
            <w:tcW w:w="2810" w:type="dxa"/>
            <w:shd w:val="clear" w:color="auto" w:fill="auto"/>
            <w:noWrap/>
            <w:vAlign w:val="bottom"/>
          </w:tcPr>
          <w:p w14:paraId="5E9FECE8" w14:textId="77777777" w:rsidR="00F06378" w:rsidRPr="00251411" w:rsidRDefault="00F06378" w:rsidP="00251411">
            <w:pPr>
              <w:spacing w:line="480" w:lineRule="auto"/>
              <w:jc w:val="center"/>
              <w:rPr>
                <w:color w:val="000000"/>
                <w:sz w:val="16"/>
                <w:szCs w:val="16"/>
              </w:rPr>
            </w:pPr>
            <w:r w:rsidRPr="00251411">
              <w:rPr>
                <w:color w:val="000000"/>
                <w:sz w:val="16"/>
                <w:szCs w:val="16"/>
              </w:rPr>
              <w:t>AACTTAAAGRAATTGACGGA</w:t>
            </w:r>
          </w:p>
        </w:tc>
        <w:tc>
          <w:tcPr>
            <w:tcW w:w="1258" w:type="dxa"/>
            <w:shd w:val="clear" w:color="auto" w:fill="auto"/>
            <w:noWrap/>
            <w:vAlign w:val="bottom"/>
          </w:tcPr>
          <w:p w14:paraId="38505C4B" w14:textId="77777777" w:rsidR="00F06378" w:rsidRPr="00251411" w:rsidRDefault="00F06378" w:rsidP="00251411">
            <w:pPr>
              <w:spacing w:after="0" w:line="480" w:lineRule="auto"/>
              <w:jc w:val="center"/>
              <w:rPr>
                <w:rFonts w:eastAsia="Times New Roman" w:cs="Times New Roman"/>
                <w:color w:val="000000"/>
                <w:sz w:val="16"/>
                <w:szCs w:val="16"/>
                <w:vertAlign w:val="superscript"/>
                <w:lang w:val="en-US"/>
              </w:rPr>
            </w:pPr>
            <w:r w:rsidRPr="00251411">
              <w:rPr>
                <w:rFonts w:eastAsia="Times New Roman" w:cs="Times New Roman"/>
                <w:color w:val="000000"/>
                <w:sz w:val="16"/>
                <w:szCs w:val="16"/>
                <w:lang w:val="en-US"/>
              </w:rPr>
              <w:t>18s_4R</w:t>
            </w:r>
            <w:r w:rsidRPr="00251411">
              <w:rPr>
                <w:rFonts w:eastAsia="Times New Roman" w:cs="Times New Roman"/>
                <w:color w:val="000000"/>
                <w:sz w:val="16"/>
                <w:szCs w:val="16"/>
                <w:vertAlign w:val="superscript"/>
                <w:lang w:val="en-US"/>
              </w:rPr>
              <w:t>7</w:t>
            </w:r>
          </w:p>
        </w:tc>
        <w:tc>
          <w:tcPr>
            <w:tcW w:w="2794" w:type="dxa"/>
            <w:shd w:val="clear" w:color="auto" w:fill="auto"/>
            <w:noWrap/>
            <w:vAlign w:val="bottom"/>
          </w:tcPr>
          <w:p w14:paraId="7DF1852E" w14:textId="77777777" w:rsidR="00F06378" w:rsidRPr="00251411" w:rsidRDefault="00F06378" w:rsidP="00251411">
            <w:pPr>
              <w:spacing w:line="480" w:lineRule="auto"/>
              <w:jc w:val="center"/>
              <w:rPr>
                <w:color w:val="000000"/>
                <w:sz w:val="16"/>
                <w:szCs w:val="16"/>
              </w:rPr>
            </w:pPr>
            <w:r w:rsidRPr="00251411">
              <w:rPr>
                <w:color w:val="000000"/>
                <w:sz w:val="16"/>
                <w:szCs w:val="16"/>
              </w:rPr>
              <w:t>CKRAGGGCATYACWGACCTGTTAT</w:t>
            </w:r>
          </w:p>
        </w:tc>
      </w:tr>
      <w:tr w:rsidR="00F06378" w:rsidRPr="00251411" w14:paraId="0DB727F3" w14:textId="77777777" w:rsidTr="002F0F88">
        <w:trPr>
          <w:trHeight w:val="292"/>
        </w:trPr>
        <w:tc>
          <w:tcPr>
            <w:tcW w:w="1008" w:type="dxa"/>
            <w:shd w:val="clear" w:color="auto" w:fill="auto"/>
            <w:noWrap/>
            <w:vAlign w:val="bottom"/>
          </w:tcPr>
          <w:p w14:paraId="51594C3C" w14:textId="77777777" w:rsidR="00F06378" w:rsidRPr="00251411" w:rsidRDefault="00F06378" w:rsidP="00251411">
            <w:pPr>
              <w:spacing w:after="0" w:line="480" w:lineRule="auto"/>
              <w:jc w:val="center"/>
              <w:rPr>
                <w:rFonts w:eastAsia="Times New Roman" w:cs="Times New Roman"/>
                <w:color w:val="000000"/>
                <w:sz w:val="16"/>
                <w:szCs w:val="16"/>
                <w:lang w:val="en-US"/>
              </w:rPr>
            </w:pPr>
            <w:r w:rsidRPr="00251411">
              <w:rPr>
                <w:rFonts w:eastAsia="Times New Roman" w:cs="Times New Roman"/>
                <w:color w:val="000000"/>
                <w:sz w:val="16"/>
                <w:szCs w:val="16"/>
                <w:lang w:val="en-US"/>
              </w:rPr>
              <w:t>28srDNA</w:t>
            </w:r>
          </w:p>
        </w:tc>
        <w:tc>
          <w:tcPr>
            <w:tcW w:w="911" w:type="dxa"/>
            <w:shd w:val="clear" w:color="auto" w:fill="auto"/>
            <w:noWrap/>
            <w:vAlign w:val="bottom"/>
          </w:tcPr>
          <w:p w14:paraId="69CE8072" w14:textId="77777777" w:rsidR="00F06378" w:rsidRPr="00251411" w:rsidRDefault="00F06378" w:rsidP="00251411">
            <w:pPr>
              <w:spacing w:after="0" w:line="480" w:lineRule="auto"/>
              <w:jc w:val="center"/>
              <w:rPr>
                <w:rFonts w:eastAsia="Times New Roman" w:cs="Times New Roman"/>
                <w:color w:val="000000"/>
                <w:sz w:val="16"/>
                <w:szCs w:val="16"/>
                <w:vertAlign w:val="superscript"/>
                <w:lang w:val="en-US"/>
              </w:rPr>
            </w:pPr>
            <w:r w:rsidRPr="00251411">
              <w:rPr>
                <w:rFonts w:eastAsia="Times New Roman" w:cs="Times New Roman"/>
                <w:color w:val="000000"/>
                <w:sz w:val="16"/>
                <w:szCs w:val="16"/>
                <w:lang w:val="en-US"/>
              </w:rPr>
              <w:t>28s_3F</w:t>
            </w:r>
            <w:r w:rsidRPr="00251411">
              <w:rPr>
                <w:rFonts w:eastAsia="Times New Roman" w:cs="Times New Roman"/>
                <w:color w:val="000000"/>
                <w:sz w:val="16"/>
                <w:szCs w:val="16"/>
                <w:vertAlign w:val="superscript"/>
                <w:lang w:val="en-US"/>
              </w:rPr>
              <w:t>7</w:t>
            </w:r>
          </w:p>
        </w:tc>
        <w:tc>
          <w:tcPr>
            <w:tcW w:w="2810" w:type="dxa"/>
            <w:shd w:val="clear" w:color="auto" w:fill="auto"/>
            <w:noWrap/>
            <w:vAlign w:val="bottom"/>
          </w:tcPr>
          <w:p w14:paraId="32228FC6" w14:textId="77777777" w:rsidR="00F06378" w:rsidRPr="00251411" w:rsidRDefault="00F06378" w:rsidP="00251411">
            <w:pPr>
              <w:spacing w:line="480" w:lineRule="auto"/>
              <w:jc w:val="center"/>
              <w:rPr>
                <w:color w:val="000000"/>
                <w:sz w:val="16"/>
                <w:szCs w:val="16"/>
              </w:rPr>
            </w:pPr>
            <w:r w:rsidRPr="00251411">
              <w:rPr>
                <w:color w:val="000000"/>
                <w:sz w:val="16"/>
                <w:szCs w:val="16"/>
              </w:rPr>
              <w:t>TTTTGGTAAGCAGAACTGGYG</w:t>
            </w:r>
          </w:p>
        </w:tc>
        <w:tc>
          <w:tcPr>
            <w:tcW w:w="1258" w:type="dxa"/>
            <w:shd w:val="clear" w:color="auto" w:fill="auto"/>
            <w:noWrap/>
            <w:vAlign w:val="bottom"/>
          </w:tcPr>
          <w:p w14:paraId="72F26A28" w14:textId="77777777" w:rsidR="00F06378" w:rsidRPr="00251411" w:rsidRDefault="00F06378" w:rsidP="00251411">
            <w:pPr>
              <w:spacing w:after="0" w:line="480" w:lineRule="auto"/>
              <w:jc w:val="center"/>
              <w:rPr>
                <w:rFonts w:eastAsia="Times New Roman" w:cs="Times New Roman"/>
                <w:color w:val="000000"/>
                <w:sz w:val="16"/>
                <w:szCs w:val="16"/>
                <w:vertAlign w:val="superscript"/>
                <w:lang w:val="en-US"/>
              </w:rPr>
            </w:pPr>
            <w:r w:rsidRPr="00251411">
              <w:rPr>
                <w:rFonts w:eastAsia="Times New Roman" w:cs="Times New Roman"/>
                <w:color w:val="000000"/>
                <w:sz w:val="16"/>
                <w:szCs w:val="16"/>
                <w:lang w:val="en-US"/>
              </w:rPr>
              <w:t>28s_4R</w:t>
            </w:r>
            <w:r w:rsidRPr="00251411">
              <w:rPr>
                <w:rFonts w:eastAsia="Times New Roman" w:cs="Times New Roman"/>
                <w:color w:val="000000"/>
                <w:sz w:val="16"/>
                <w:szCs w:val="16"/>
                <w:vertAlign w:val="superscript"/>
                <w:lang w:val="en-US"/>
              </w:rPr>
              <w:t>7</w:t>
            </w:r>
          </w:p>
        </w:tc>
        <w:tc>
          <w:tcPr>
            <w:tcW w:w="2794" w:type="dxa"/>
            <w:shd w:val="clear" w:color="auto" w:fill="auto"/>
            <w:noWrap/>
            <w:vAlign w:val="bottom"/>
          </w:tcPr>
          <w:p w14:paraId="58DF6875" w14:textId="77777777" w:rsidR="00F06378" w:rsidRPr="00251411" w:rsidRDefault="00F06378" w:rsidP="00251411">
            <w:pPr>
              <w:spacing w:after="0" w:line="480" w:lineRule="auto"/>
              <w:jc w:val="center"/>
              <w:rPr>
                <w:rFonts w:eastAsia="Times New Roman" w:cs="Times New Roman"/>
                <w:color w:val="000000"/>
                <w:sz w:val="16"/>
                <w:szCs w:val="16"/>
                <w:lang w:val="en-US"/>
              </w:rPr>
            </w:pPr>
            <w:r w:rsidRPr="00251411">
              <w:rPr>
                <w:rFonts w:eastAsia="Times New Roman" w:cs="Times New Roman"/>
                <w:color w:val="000000"/>
                <w:sz w:val="16"/>
                <w:szCs w:val="16"/>
                <w:lang w:val="en-US"/>
              </w:rPr>
              <w:t>ABTYGCTACTRCCACYRAGATC</w:t>
            </w:r>
          </w:p>
        </w:tc>
      </w:tr>
      <w:tr w:rsidR="00F06378" w:rsidRPr="00251411" w14:paraId="123DA5E6" w14:textId="77777777" w:rsidTr="002F0F88">
        <w:trPr>
          <w:trHeight w:val="292"/>
        </w:trPr>
        <w:tc>
          <w:tcPr>
            <w:tcW w:w="1008" w:type="dxa"/>
            <w:shd w:val="clear" w:color="auto" w:fill="auto"/>
            <w:noWrap/>
            <w:vAlign w:val="bottom"/>
          </w:tcPr>
          <w:p w14:paraId="468447C7" w14:textId="77777777" w:rsidR="00F06378" w:rsidRPr="00251411" w:rsidRDefault="00F06378" w:rsidP="00251411">
            <w:pPr>
              <w:spacing w:after="0" w:line="480" w:lineRule="auto"/>
              <w:jc w:val="center"/>
              <w:rPr>
                <w:rFonts w:eastAsia="Times New Roman" w:cs="Times New Roman"/>
                <w:color w:val="000000"/>
                <w:sz w:val="16"/>
                <w:szCs w:val="16"/>
                <w:lang w:val="en-US"/>
              </w:rPr>
            </w:pPr>
            <w:r w:rsidRPr="00251411">
              <w:rPr>
                <w:rFonts w:eastAsia="Times New Roman" w:cs="Times New Roman"/>
                <w:color w:val="000000"/>
                <w:sz w:val="16"/>
                <w:szCs w:val="16"/>
                <w:lang w:val="en-US"/>
              </w:rPr>
              <w:t>Histone H3</w:t>
            </w:r>
          </w:p>
        </w:tc>
        <w:tc>
          <w:tcPr>
            <w:tcW w:w="911" w:type="dxa"/>
            <w:shd w:val="clear" w:color="auto" w:fill="auto"/>
            <w:noWrap/>
            <w:vAlign w:val="bottom"/>
          </w:tcPr>
          <w:p w14:paraId="5BC28777" w14:textId="77777777" w:rsidR="00F06378" w:rsidRPr="00251411" w:rsidRDefault="00F06378" w:rsidP="00251411">
            <w:pPr>
              <w:spacing w:after="0" w:line="480" w:lineRule="auto"/>
              <w:jc w:val="center"/>
              <w:rPr>
                <w:rFonts w:eastAsia="Times New Roman" w:cs="Times New Roman"/>
                <w:color w:val="000000"/>
                <w:sz w:val="16"/>
                <w:szCs w:val="16"/>
                <w:vertAlign w:val="superscript"/>
                <w:lang w:val="en-US"/>
              </w:rPr>
            </w:pPr>
            <w:r w:rsidRPr="00251411">
              <w:rPr>
                <w:rFonts w:eastAsia="Times New Roman" w:cs="Times New Roman"/>
                <w:color w:val="000000"/>
                <w:sz w:val="16"/>
                <w:szCs w:val="16"/>
                <w:lang w:val="en-US"/>
              </w:rPr>
              <w:t>H3aF</w:t>
            </w:r>
            <w:r w:rsidRPr="00251411">
              <w:rPr>
                <w:rFonts w:eastAsia="Times New Roman" w:cs="Times New Roman"/>
                <w:color w:val="000000"/>
                <w:sz w:val="16"/>
                <w:szCs w:val="16"/>
                <w:vertAlign w:val="superscript"/>
                <w:lang w:val="en-US"/>
              </w:rPr>
              <w:t>8</w:t>
            </w:r>
          </w:p>
        </w:tc>
        <w:tc>
          <w:tcPr>
            <w:tcW w:w="2810" w:type="dxa"/>
            <w:shd w:val="clear" w:color="auto" w:fill="auto"/>
            <w:noWrap/>
            <w:vAlign w:val="bottom"/>
          </w:tcPr>
          <w:p w14:paraId="50D3C8D4" w14:textId="77777777" w:rsidR="00F06378" w:rsidRPr="00251411" w:rsidRDefault="00F06378" w:rsidP="00251411">
            <w:pPr>
              <w:spacing w:after="0" w:line="480" w:lineRule="auto"/>
              <w:jc w:val="center"/>
              <w:rPr>
                <w:rFonts w:eastAsia="Times New Roman" w:cs="Times New Roman"/>
                <w:color w:val="000000"/>
                <w:sz w:val="16"/>
                <w:szCs w:val="16"/>
                <w:lang w:val="en-US"/>
              </w:rPr>
            </w:pPr>
            <w:r w:rsidRPr="00251411">
              <w:rPr>
                <w:rFonts w:eastAsia="Times New Roman" w:cs="Times New Roman"/>
                <w:color w:val="000000"/>
                <w:sz w:val="16"/>
                <w:szCs w:val="16"/>
                <w:lang w:val="en-US"/>
              </w:rPr>
              <w:t>ATGGCTCGTACCAAGCAGACVGC</w:t>
            </w:r>
          </w:p>
        </w:tc>
        <w:tc>
          <w:tcPr>
            <w:tcW w:w="1258" w:type="dxa"/>
            <w:shd w:val="clear" w:color="auto" w:fill="auto"/>
            <w:noWrap/>
            <w:vAlign w:val="bottom"/>
          </w:tcPr>
          <w:p w14:paraId="67CC5CBB" w14:textId="77777777" w:rsidR="00F06378" w:rsidRPr="00251411" w:rsidRDefault="00F06378" w:rsidP="00251411">
            <w:pPr>
              <w:spacing w:after="0" w:line="480" w:lineRule="auto"/>
              <w:jc w:val="center"/>
              <w:rPr>
                <w:rFonts w:eastAsia="Times New Roman" w:cs="Times New Roman"/>
                <w:color w:val="000000"/>
                <w:sz w:val="16"/>
                <w:szCs w:val="16"/>
                <w:vertAlign w:val="superscript"/>
                <w:lang w:val="en-US"/>
              </w:rPr>
            </w:pPr>
            <w:r w:rsidRPr="00251411">
              <w:rPr>
                <w:rFonts w:eastAsia="Times New Roman" w:cs="Times New Roman"/>
                <w:color w:val="000000"/>
                <w:sz w:val="16"/>
                <w:szCs w:val="16"/>
                <w:lang w:val="en-US"/>
              </w:rPr>
              <w:t>H3aR</w:t>
            </w:r>
            <w:r w:rsidRPr="00251411">
              <w:rPr>
                <w:rFonts w:eastAsia="Times New Roman" w:cs="Times New Roman"/>
                <w:color w:val="000000"/>
                <w:sz w:val="16"/>
                <w:szCs w:val="16"/>
                <w:vertAlign w:val="superscript"/>
                <w:lang w:val="en-US"/>
              </w:rPr>
              <w:t>8</w:t>
            </w:r>
          </w:p>
        </w:tc>
        <w:tc>
          <w:tcPr>
            <w:tcW w:w="2794" w:type="dxa"/>
            <w:shd w:val="clear" w:color="auto" w:fill="auto"/>
            <w:noWrap/>
            <w:vAlign w:val="bottom"/>
          </w:tcPr>
          <w:p w14:paraId="260E6B78" w14:textId="77777777" w:rsidR="00F06378" w:rsidRPr="00251411" w:rsidRDefault="00F06378" w:rsidP="00251411">
            <w:pPr>
              <w:spacing w:after="0" w:line="480" w:lineRule="auto"/>
              <w:jc w:val="center"/>
              <w:rPr>
                <w:rFonts w:eastAsia="Times New Roman" w:cs="Times New Roman"/>
                <w:color w:val="000000"/>
                <w:sz w:val="16"/>
                <w:szCs w:val="16"/>
                <w:lang w:val="en-US"/>
              </w:rPr>
            </w:pPr>
            <w:r w:rsidRPr="00251411">
              <w:rPr>
                <w:rFonts w:eastAsia="Times New Roman" w:cs="Times New Roman"/>
                <w:color w:val="000000"/>
                <w:sz w:val="16"/>
                <w:szCs w:val="16"/>
                <w:lang w:val="en-US"/>
              </w:rPr>
              <w:t>ATATCCTTRGGCATRATRGTGAC</w:t>
            </w:r>
          </w:p>
        </w:tc>
      </w:tr>
      <w:tr w:rsidR="0039490A" w:rsidRPr="00251411" w14:paraId="505BD9CF" w14:textId="77777777" w:rsidTr="002F0F88">
        <w:trPr>
          <w:trHeight w:val="292"/>
        </w:trPr>
        <w:tc>
          <w:tcPr>
            <w:tcW w:w="8781" w:type="dxa"/>
            <w:gridSpan w:val="5"/>
            <w:shd w:val="clear" w:color="auto" w:fill="auto"/>
            <w:noWrap/>
            <w:vAlign w:val="bottom"/>
          </w:tcPr>
          <w:p w14:paraId="1F1736AE" w14:textId="58998222" w:rsidR="0039490A" w:rsidRPr="00251411" w:rsidRDefault="0039490A" w:rsidP="00251411">
            <w:pPr>
              <w:spacing w:after="0" w:line="480" w:lineRule="auto"/>
              <w:jc w:val="center"/>
              <w:rPr>
                <w:rFonts w:eastAsia="Times New Roman" w:cs="Times New Roman"/>
                <w:color w:val="000000"/>
                <w:sz w:val="16"/>
                <w:szCs w:val="16"/>
                <w:lang w:val="en-US"/>
              </w:rPr>
            </w:pPr>
            <w:r w:rsidRPr="00251411">
              <w:rPr>
                <w:rFonts w:eastAsia="Times New Roman" w:cs="Times New Roman"/>
                <w:color w:val="000000"/>
                <w:sz w:val="16"/>
                <w:szCs w:val="16"/>
                <w:lang w:val="en-US"/>
              </w:rPr>
              <w:t xml:space="preserve">1 Gibson et al. 2014; 2 Yu et al, 2012 3 </w:t>
            </w:r>
            <w:proofErr w:type="spellStart"/>
            <w:r w:rsidRPr="00251411">
              <w:rPr>
                <w:rFonts w:eastAsia="Times New Roman" w:cs="Times New Roman"/>
                <w:color w:val="000000"/>
                <w:sz w:val="16"/>
                <w:szCs w:val="16"/>
                <w:lang w:val="en-US"/>
              </w:rPr>
              <w:t>Leray</w:t>
            </w:r>
            <w:proofErr w:type="spellEnd"/>
            <w:r w:rsidRPr="00251411">
              <w:rPr>
                <w:rFonts w:eastAsia="Times New Roman" w:cs="Times New Roman"/>
                <w:color w:val="000000"/>
                <w:sz w:val="16"/>
                <w:szCs w:val="16"/>
                <w:lang w:val="en-US"/>
              </w:rPr>
              <w:t xml:space="preserve"> et al, 2013; 4 Barraclough et al. 1999; 5 Kocher et al. 1989; 6 Fonseca et al. 2010; </w:t>
            </w:r>
          </w:p>
          <w:p w14:paraId="060386ED" w14:textId="3E640B6D" w:rsidR="0039490A" w:rsidRPr="00251411" w:rsidRDefault="0039490A" w:rsidP="00251411">
            <w:pPr>
              <w:spacing w:after="0" w:line="480" w:lineRule="auto"/>
              <w:jc w:val="center"/>
              <w:rPr>
                <w:rFonts w:eastAsia="Times New Roman" w:cs="Times New Roman"/>
                <w:color w:val="000000"/>
                <w:sz w:val="16"/>
                <w:szCs w:val="16"/>
                <w:lang w:val="en-US"/>
              </w:rPr>
            </w:pPr>
            <w:r w:rsidRPr="00251411">
              <w:rPr>
                <w:rFonts w:eastAsia="Times New Roman" w:cs="Times New Roman"/>
                <w:color w:val="000000"/>
                <w:sz w:val="16"/>
                <w:szCs w:val="16"/>
                <w:lang w:val="en-US"/>
              </w:rPr>
              <w:t xml:space="preserve">7 Machida &amp; Knowlton 2012; 8 </w:t>
            </w:r>
            <w:proofErr w:type="spellStart"/>
            <w:r w:rsidRPr="00251411">
              <w:rPr>
                <w:rFonts w:eastAsia="Times New Roman" w:cs="Times New Roman"/>
                <w:color w:val="000000"/>
                <w:sz w:val="16"/>
                <w:szCs w:val="16"/>
                <w:lang w:val="en-US"/>
              </w:rPr>
              <w:t>Colgan</w:t>
            </w:r>
            <w:proofErr w:type="spellEnd"/>
            <w:r w:rsidRPr="00251411">
              <w:rPr>
                <w:rFonts w:eastAsia="Times New Roman" w:cs="Times New Roman"/>
                <w:color w:val="000000"/>
                <w:sz w:val="16"/>
                <w:szCs w:val="16"/>
                <w:lang w:val="en-US"/>
              </w:rPr>
              <w:t xml:space="preserve"> et al. 1998</w:t>
            </w:r>
          </w:p>
        </w:tc>
      </w:tr>
    </w:tbl>
    <w:p w14:paraId="6EF1EC3C" w14:textId="7694690E" w:rsidR="008F4023" w:rsidRPr="00251411" w:rsidRDefault="008F4023"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Additionally, we ran a series of PCRs with varying cycle numbers and increased DNA template concentration. All 23 mock communities were used for this experiment. Two </w:t>
      </w:r>
      <w:r w:rsidR="000E1F06" w:rsidRPr="00251411">
        <w:rPr>
          <w:rFonts w:ascii="Times New Roman" w:hAnsi="Times New Roman" w:cs="Times New Roman"/>
          <w:sz w:val="24"/>
          <w:szCs w:val="24"/>
          <w:lang w:val="en-US"/>
        </w:rPr>
        <w:t>PCRs</w:t>
      </w:r>
      <w:r w:rsidRPr="00251411">
        <w:rPr>
          <w:rFonts w:ascii="Times New Roman" w:hAnsi="Times New Roman" w:cs="Times New Roman"/>
          <w:sz w:val="24"/>
          <w:szCs w:val="24"/>
          <w:lang w:val="en-US"/>
        </w:rPr>
        <w:t xml:space="preserve"> were run as described abov</w:t>
      </w:r>
      <w:r w:rsidR="00F7121B" w:rsidRPr="00251411">
        <w:rPr>
          <w:rFonts w:ascii="Times New Roman" w:hAnsi="Times New Roman" w:cs="Times New Roman"/>
          <w:sz w:val="24"/>
          <w:szCs w:val="24"/>
          <w:lang w:val="en-US"/>
        </w:rPr>
        <w:t>e with the primer combination Ar</w:t>
      </w:r>
      <w:r w:rsidRPr="00251411">
        <w:rPr>
          <w:rFonts w:ascii="Times New Roman" w:hAnsi="Times New Roman" w:cs="Times New Roman"/>
          <w:sz w:val="24"/>
          <w:szCs w:val="24"/>
          <w:lang w:val="en-US"/>
        </w:rPr>
        <w:t>F</w:t>
      </w:r>
      <w:r w:rsidR="00F7121B" w:rsidRPr="00251411">
        <w:rPr>
          <w:rFonts w:ascii="Times New Roman" w:hAnsi="Times New Roman" w:cs="Times New Roman"/>
          <w:sz w:val="24"/>
          <w:szCs w:val="24"/>
          <w:lang w:val="en-US"/>
        </w:rPr>
        <w:t>1/</w:t>
      </w:r>
      <w:proofErr w:type="spellStart"/>
      <w:r w:rsidR="00F7121B" w:rsidRPr="00251411">
        <w:rPr>
          <w:rFonts w:ascii="Times New Roman" w:hAnsi="Times New Roman" w:cs="Times New Roman"/>
          <w:sz w:val="24"/>
          <w:szCs w:val="24"/>
          <w:lang w:val="en-US"/>
        </w:rPr>
        <w:t>Fol</w:t>
      </w:r>
      <w:proofErr w:type="spellEnd"/>
      <w:r w:rsidR="00F7121B" w:rsidRPr="00251411">
        <w:rPr>
          <w:rFonts w:ascii="Times New Roman" w:hAnsi="Times New Roman" w:cs="Times New Roman"/>
          <w:sz w:val="24"/>
          <w:szCs w:val="24"/>
          <w:lang w:val="en-US"/>
        </w:rPr>
        <w:t>-</w:t>
      </w:r>
      <w:proofErr w:type="spellStart"/>
      <w:r w:rsidR="00F7121B" w:rsidRPr="00251411">
        <w:rPr>
          <w:rFonts w:ascii="Times New Roman" w:hAnsi="Times New Roman" w:cs="Times New Roman"/>
          <w:sz w:val="24"/>
          <w:szCs w:val="24"/>
          <w:lang w:val="en-US"/>
        </w:rPr>
        <w:t>degen</w:t>
      </w:r>
      <w:proofErr w:type="spellEnd"/>
      <w:r w:rsidR="00F7121B" w:rsidRPr="00251411">
        <w:rPr>
          <w:rFonts w:ascii="Times New Roman" w:hAnsi="Times New Roman" w:cs="Times New Roman"/>
          <w:sz w:val="24"/>
          <w:szCs w:val="24"/>
          <w:lang w:val="en-US"/>
        </w:rPr>
        <w:t>-rev.</w:t>
      </w:r>
      <w:r w:rsidRPr="00251411">
        <w:rPr>
          <w:rFonts w:ascii="Times New Roman" w:hAnsi="Times New Roman" w:cs="Times New Roman"/>
          <w:sz w:val="24"/>
          <w:szCs w:val="24"/>
          <w:lang w:val="en-US"/>
        </w:rPr>
        <w:t xml:space="preserve"> </w:t>
      </w:r>
      <w:r w:rsidR="000D5F29" w:rsidRPr="00251411">
        <w:rPr>
          <w:rFonts w:ascii="Times New Roman" w:hAnsi="Times New Roman" w:cs="Times New Roman"/>
          <w:sz w:val="24"/>
          <w:szCs w:val="24"/>
          <w:lang w:val="en-US"/>
        </w:rPr>
        <w:t xml:space="preserve">4 </w:t>
      </w:r>
      <w:r w:rsidR="000E1F06" w:rsidRPr="00251411">
        <w:rPr>
          <w:rFonts w:ascii="Times New Roman" w:hAnsi="Times New Roman" w:cs="Times New Roman"/>
          <w:sz w:val="24"/>
          <w:szCs w:val="24"/>
          <w:lang w:val="en-US"/>
        </w:rPr>
        <w:t>µl</w:t>
      </w:r>
      <w:r w:rsidR="000D5F29" w:rsidRPr="00251411">
        <w:rPr>
          <w:rFonts w:ascii="Times New Roman" w:hAnsi="Times New Roman" w:cs="Times New Roman"/>
          <w:sz w:val="24"/>
          <w:szCs w:val="24"/>
          <w:lang w:val="en-US"/>
        </w:rPr>
        <w:t xml:space="preserve"> of template DNA (corresponding to 60 ng) were used in a 10 </w:t>
      </w:r>
      <w:r w:rsidR="000E1F06" w:rsidRPr="00251411">
        <w:rPr>
          <w:rFonts w:ascii="Times New Roman" w:hAnsi="Times New Roman" w:cs="Times New Roman"/>
          <w:sz w:val="24"/>
          <w:szCs w:val="24"/>
          <w:lang w:val="en-US"/>
        </w:rPr>
        <w:t>µ</w:t>
      </w:r>
      <w:r w:rsidR="000D5F29" w:rsidRPr="00251411">
        <w:rPr>
          <w:rFonts w:ascii="Times New Roman" w:hAnsi="Times New Roman" w:cs="Times New Roman"/>
          <w:sz w:val="24"/>
          <w:szCs w:val="24"/>
          <w:lang w:val="en-US"/>
        </w:rPr>
        <w:t xml:space="preserve">l PCR to allow an initial priming of as many template </w:t>
      </w:r>
      <w:r w:rsidR="000E1F06" w:rsidRPr="00251411">
        <w:rPr>
          <w:rFonts w:ascii="Times New Roman" w:hAnsi="Times New Roman" w:cs="Times New Roman"/>
          <w:sz w:val="24"/>
          <w:szCs w:val="24"/>
          <w:lang w:val="en-US"/>
        </w:rPr>
        <w:t>molecules</w:t>
      </w:r>
      <w:r w:rsidR="000D5F29" w:rsidRPr="00251411">
        <w:rPr>
          <w:rFonts w:ascii="Times New Roman" w:hAnsi="Times New Roman" w:cs="Times New Roman"/>
          <w:sz w:val="24"/>
          <w:szCs w:val="24"/>
          <w:lang w:val="en-US"/>
        </w:rPr>
        <w:t xml:space="preserve"> as </w:t>
      </w:r>
      <w:r w:rsidR="000E1F06" w:rsidRPr="00251411">
        <w:rPr>
          <w:rFonts w:ascii="Times New Roman" w:hAnsi="Times New Roman" w:cs="Times New Roman"/>
          <w:sz w:val="24"/>
          <w:szCs w:val="24"/>
          <w:lang w:val="en-US"/>
        </w:rPr>
        <w:t>possible</w:t>
      </w:r>
      <w:r w:rsidR="000D5F29" w:rsidRPr="00251411">
        <w:rPr>
          <w:rFonts w:ascii="Times New Roman" w:hAnsi="Times New Roman" w:cs="Times New Roman"/>
          <w:sz w:val="24"/>
          <w:szCs w:val="24"/>
          <w:lang w:val="en-US"/>
        </w:rPr>
        <w:t xml:space="preserve"> with only few PCR rounds.  </w:t>
      </w:r>
      <w:r w:rsidR="00F7121B" w:rsidRPr="00251411">
        <w:rPr>
          <w:rFonts w:ascii="Times New Roman" w:hAnsi="Times New Roman" w:cs="Times New Roman"/>
          <w:sz w:val="24"/>
          <w:szCs w:val="24"/>
          <w:lang w:val="en-US"/>
        </w:rPr>
        <w:t xml:space="preserve">Experiments with </w:t>
      </w:r>
      <w:r w:rsidRPr="00251411">
        <w:rPr>
          <w:rFonts w:ascii="Times New Roman" w:hAnsi="Times New Roman" w:cs="Times New Roman"/>
          <w:sz w:val="24"/>
          <w:szCs w:val="24"/>
          <w:lang w:val="en-US"/>
        </w:rPr>
        <w:t>4, 8, 16 and 32 first r</w:t>
      </w:r>
      <w:r w:rsidR="00C35A71" w:rsidRPr="00251411">
        <w:rPr>
          <w:rFonts w:ascii="Times New Roman" w:hAnsi="Times New Roman" w:cs="Times New Roman"/>
          <w:sz w:val="24"/>
          <w:szCs w:val="24"/>
          <w:lang w:val="en-US"/>
        </w:rPr>
        <w:t>ound PCR</w:t>
      </w:r>
      <w:r w:rsidRPr="00251411">
        <w:rPr>
          <w:rFonts w:ascii="Times New Roman" w:hAnsi="Times New Roman" w:cs="Times New Roman"/>
          <w:sz w:val="24"/>
          <w:szCs w:val="24"/>
          <w:lang w:val="en-US"/>
        </w:rPr>
        <w:t xml:space="preserve"> cycles of were run, f</w:t>
      </w:r>
      <w:r w:rsidR="00C35A71" w:rsidRPr="00251411">
        <w:rPr>
          <w:rFonts w:ascii="Times New Roman" w:hAnsi="Times New Roman" w:cs="Times New Roman"/>
          <w:sz w:val="24"/>
          <w:szCs w:val="24"/>
          <w:lang w:val="en-US"/>
        </w:rPr>
        <w:t xml:space="preserve">ollowed by second round indexing PCRs of 26, 22, 14 and 6 cycles, to add the total number of cycles to 32. Assuming that PCR priming bias is leading to inaccurate predictions of species abundance in community samples, a low number of first round PCRs should greatly reduce this bias. As the following indexing PCR is based on the same priming sites (5’-tails introduced in the first round PCR) for all samples, PCR bias should be </w:t>
      </w:r>
      <w:r w:rsidR="00F7121B" w:rsidRPr="00251411">
        <w:rPr>
          <w:rFonts w:ascii="Times New Roman" w:hAnsi="Times New Roman" w:cs="Times New Roman"/>
          <w:sz w:val="24"/>
          <w:szCs w:val="24"/>
          <w:lang w:val="en-US"/>
        </w:rPr>
        <w:t xml:space="preserve">of minor concern </w:t>
      </w:r>
      <w:r w:rsidR="00C35A71" w:rsidRPr="00251411">
        <w:rPr>
          <w:rFonts w:ascii="Times New Roman" w:hAnsi="Times New Roman" w:cs="Times New Roman"/>
          <w:sz w:val="24"/>
          <w:szCs w:val="24"/>
          <w:lang w:val="en-US"/>
        </w:rPr>
        <w:t xml:space="preserve">here. </w:t>
      </w:r>
    </w:p>
    <w:p w14:paraId="5200B26E" w14:textId="77777777" w:rsidR="00F50C0B" w:rsidRPr="00251411" w:rsidRDefault="000670D7"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After</w:t>
      </w:r>
      <w:r w:rsidR="008F4023" w:rsidRPr="00251411">
        <w:rPr>
          <w:rFonts w:ascii="Times New Roman" w:hAnsi="Times New Roman" w:cs="Times New Roman"/>
          <w:sz w:val="24"/>
          <w:szCs w:val="24"/>
          <w:lang w:val="en-US"/>
        </w:rPr>
        <w:t xml:space="preserve"> each round of PCR, the product</w:t>
      </w:r>
      <w:r w:rsidRPr="00251411">
        <w:rPr>
          <w:rFonts w:ascii="Times New Roman" w:hAnsi="Times New Roman" w:cs="Times New Roman"/>
          <w:sz w:val="24"/>
          <w:szCs w:val="24"/>
          <w:lang w:val="en-US"/>
        </w:rPr>
        <w:t xml:space="preserve"> was cleaned up from remaining primer sequences by 1X </w:t>
      </w:r>
      <w:r w:rsidR="000E1F06" w:rsidRPr="00251411">
        <w:rPr>
          <w:rFonts w:ascii="Times New Roman" w:hAnsi="Times New Roman" w:cs="Times New Roman"/>
          <w:sz w:val="24"/>
          <w:szCs w:val="24"/>
          <w:lang w:val="en-US"/>
        </w:rPr>
        <w:t>AMpure</w:t>
      </w:r>
      <w:r w:rsidRPr="00251411">
        <w:rPr>
          <w:rFonts w:ascii="Times New Roman" w:hAnsi="Times New Roman" w:cs="Times New Roman"/>
          <w:sz w:val="24"/>
          <w:szCs w:val="24"/>
          <w:lang w:val="en-US"/>
        </w:rPr>
        <w:t xml:space="preserve"> XP </w:t>
      </w:r>
      <w:r w:rsidR="002E5AA0" w:rsidRPr="00251411">
        <w:rPr>
          <w:rFonts w:ascii="Times New Roman" w:hAnsi="Times New Roman" w:cs="Times New Roman"/>
          <w:sz w:val="24"/>
          <w:szCs w:val="24"/>
          <w:lang w:val="en-US"/>
        </w:rPr>
        <w:t xml:space="preserve">Beads </w:t>
      </w:r>
      <w:r w:rsidRPr="00251411">
        <w:rPr>
          <w:rFonts w:ascii="Times New Roman" w:hAnsi="Times New Roman" w:cs="Times New Roman"/>
          <w:sz w:val="24"/>
          <w:szCs w:val="24"/>
          <w:lang w:val="en-US"/>
        </w:rPr>
        <w:t>according to the manufacturer’s protocols (</w:t>
      </w:r>
      <w:r w:rsidR="002E5AA0" w:rsidRPr="00251411">
        <w:rPr>
          <w:rFonts w:ascii="Times New Roman" w:hAnsi="Times New Roman" w:cs="Times New Roman"/>
          <w:sz w:val="24"/>
          <w:szCs w:val="24"/>
          <w:lang w:val="en-US"/>
        </w:rPr>
        <w:t xml:space="preserve">Beckman Coulter, </w:t>
      </w:r>
      <w:r w:rsidR="002E5AA0" w:rsidRPr="00251411">
        <w:rPr>
          <w:rFonts w:ascii="Times New Roman" w:hAnsi="Times New Roman" w:cs="Times New Roman"/>
          <w:sz w:val="24"/>
          <w:szCs w:val="24"/>
          <w:lang w:val="en-US"/>
        </w:rPr>
        <w:lastRenderedPageBreak/>
        <w:t>Indianapolis, USA</w:t>
      </w:r>
      <w:r w:rsidRPr="00251411">
        <w:rPr>
          <w:rFonts w:ascii="Times New Roman" w:hAnsi="Times New Roman" w:cs="Times New Roman"/>
          <w:sz w:val="24"/>
          <w:szCs w:val="24"/>
          <w:lang w:val="en-US"/>
        </w:rPr>
        <w:t>).</w:t>
      </w:r>
      <w:r w:rsidR="008F4023" w:rsidRPr="00251411">
        <w:rPr>
          <w:rFonts w:ascii="Times New Roman" w:hAnsi="Times New Roman" w:cs="Times New Roman"/>
          <w:sz w:val="24"/>
          <w:szCs w:val="24"/>
          <w:lang w:val="en-US"/>
        </w:rPr>
        <w:t xml:space="preserve"> </w:t>
      </w:r>
      <w:r w:rsidR="00F50C0B" w:rsidRPr="00251411">
        <w:rPr>
          <w:rFonts w:ascii="Times New Roman" w:hAnsi="Times New Roman" w:cs="Times New Roman"/>
          <w:sz w:val="24"/>
          <w:szCs w:val="24"/>
          <w:lang w:val="en-US"/>
        </w:rPr>
        <w:t xml:space="preserve">The final libraries were quantified with a Qbit </w:t>
      </w:r>
      <w:r w:rsidR="00880935" w:rsidRPr="00251411">
        <w:rPr>
          <w:rFonts w:ascii="Times New Roman" w:hAnsi="Times New Roman" w:cs="Times New Roman"/>
          <w:sz w:val="24"/>
          <w:szCs w:val="24"/>
          <w:lang w:val="en-US"/>
        </w:rPr>
        <w:t xml:space="preserve">Fluorometer as described above </w:t>
      </w:r>
      <w:r w:rsidR="00F50C0B" w:rsidRPr="00251411">
        <w:rPr>
          <w:rFonts w:ascii="Times New Roman" w:hAnsi="Times New Roman" w:cs="Times New Roman"/>
          <w:sz w:val="24"/>
          <w:szCs w:val="24"/>
          <w:lang w:val="en-US"/>
        </w:rPr>
        <w:t xml:space="preserve">and then all samples pooled in equimolar amounts. The final pool was </w:t>
      </w:r>
      <w:r w:rsidR="000E1F06" w:rsidRPr="00251411">
        <w:rPr>
          <w:rFonts w:ascii="Times New Roman" w:hAnsi="Times New Roman" w:cs="Times New Roman"/>
          <w:sz w:val="24"/>
          <w:szCs w:val="24"/>
          <w:lang w:val="en-US"/>
        </w:rPr>
        <w:t>sequenced</w:t>
      </w:r>
      <w:r w:rsidR="00F50C0B" w:rsidRPr="00251411">
        <w:rPr>
          <w:rFonts w:ascii="Times New Roman" w:hAnsi="Times New Roman" w:cs="Times New Roman"/>
          <w:sz w:val="24"/>
          <w:szCs w:val="24"/>
          <w:lang w:val="en-US"/>
        </w:rPr>
        <w:t xml:space="preserve"> on a </w:t>
      </w:r>
      <w:r w:rsidR="000E1F06" w:rsidRPr="00251411">
        <w:rPr>
          <w:rFonts w:ascii="Times New Roman" w:hAnsi="Times New Roman" w:cs="Times New Roman"/>
          <w:sz w:val="24"/>
          <w:szCs w:val="24"/>
          <w:lang w:val="en-US"/>
        </w:rPr>
        <w:t>flow cell</w:t>
      </w:r>
      <w:r w:rsidR="00F50C0B" w:rsidRPr="00251411">
        <w:rPr>
          <w:rFonts w:ascii="Times New Roman" w:hAnsi="Times New Roman" w:cs="Times New Roman"/>
          <w:sz w:val="24"/>
          <w:szCs w:val="24"/>
          <w:lang w:val="en-US"/>
        </w:rPr>
        <w:t xml:space="preserve"> of an Illumina MiSeq using V3 chemistry and 2 x 300 bp reads</w:t>
      </w:r>
      <w:r w:rsidR="00122ABD" w:rsidRPr="00251411">
        <w:rPr>
          <w:rFonts w:ascii="Times New Roman" w:hAnsi="Times New Roman" w:cs="Times New Roman"/>
          <w:sz w:val="24"/>
          <w:szCs w:val="24"/>
          <w:lang w:val="en-US"/>
        </w:rPr>
        <w:t xml:space="preserve"> according to the manufacturer’s protocols (Illumina, San Diego, USA)</w:t>
      </w:r>
      <w:r w:rsidR="00C718F4" w:rsidRPr="00251411">
        <w:rPr>
          <w:rFonts w:ascii="Times New Roman" w:hAnsi="Times New Roman" w:cs="Times New Roman"/>
          <w:sz w:val="24"/>
          <w:szCs w:val="24"/>
          <w:lang w:val="en-US"/>
        </w:rPr>
        <w:t xml:space="preserve">. Instead of spiking in </w:t>
      </w:r>
      <w:proofErr w:type="spellStart"/>
      <w:r w:rsidR="00C718F4" w:rsidRPr="00251411">
        <w:rPr>
          <w:rFonts w:ascii="Times New Roman" w:hAnsi="Times New Roman" w:cs="Times New Roman"/>
          <w:sz w:val="24"/>
          <w:szCs w:val="24"/>
          <w:lang w:val="en-US"/>
        </w:rPr>
        <w:t>PhiX</w:t>
      </w:r>
      <w:proofErr w:type="spellEnd"/>
      <w:r w:rsidR="00C718F4" w:rsidRPr="00251411">
        <w:rPr>
          <w:rFonts w:ascii="Times New Roman" w:hAnsi="Times New Roman" w:cs="Times New Roman"/>
          <w:sz w:val="24"/>
          <w:szCs w:val="24"/>
          <w:lang w:val="en-US"/>
        </w:rPr>
        <w:t xml:space="preserve"> for increasing diversity, we sequenced a mixed genomic DNA library on 20 % of the lane, to increase diversity during cluster generation. </w:t>
      </w:r>
    </w:p>
    <w:p w14:paraId="7FCA10E1" w14:textId="77777777" w:rsidR="00900EE0" w:rsidRPr="00251411" w:rsidRDefault="00F50C0B"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The resulting paired reads were assembled using PEAR (Zhang et al. 2014) with a minimum overlap of 50 and a minimum quality of 30. The assembled reads were quality filtered using the FastX Toolkit (Gordon &amp; Hannon 2010) with a minimum of 90 % of bases ≥ Q30 to retain a sequence and then transformed into Fasta format. A de novo chimera removal was performed using UCHIME (Edgar et al. 2011)</w:t>
      </w:r>
      <w:r w:rsidR="00F7121B" w:rsidRPr="00251411">
        <w:rPr>
          <w:rFonts w:ascii="Times New Roman" w:hAnsi="Times New Roman" w:cs="Times New Roman"/>
          <w:sz w:val="24"/>
          <w:szCs w:val="24"/>
          <w:lang w:val="en-US"/>
        </w:rPr>
        <w:t xml:space="preserve">. Samples for the separate markers were indexed with the same combination of dual indexes and then </w:t>
      </w:r>
      <w:proofErr w:type="spellStart"/>
      <w:r w:rsidR="00F7121B" w:rsidRPr="00251411">
        <w:rPr>
          <w:rFonts w:ascii="Times New Roman" w:hAnsi="Times New Roman" w:cs="Times New Roman"/>
          <w:sz w:val="24"/>
          <w:szCs w:val="24"/>
          <w:lang w:val="en-US"/>
        </w:rPr>
        <w:t>demultiplexed</w:t>
      </w:r>
      <w:proofErr w:type="spellEnd"/>
      <w:r w:rsidR="001E4EE1" w:rsidRPr="00251411">
        <w:rPr>
          <w:rFonts w:ascii="Times New Roman" w:hAnsi="Times New Roman" w:cs="Times New Roman"/>
          <w:sz w:val="24"/>
          <w:szCs w:val="24"/>
          <w:lang w:val="en-US"/>
        </w:rPr>
        <w:t xml:space="preserve"> by marker</w:t>
      </w:r>
      <w:r w:rsidR="00F7121B" w:rsidRPr="00251411">
        <w:rPr>
          <w:rFonts w:ascii="Times New Roman" w:hAnsi="Times New Roman" w:cs="Times New Roman"/>
          <w:sz w:val="24"/>
          <w:szCs w:val="24"/>
          <w:lang w:val="en-US"/>
        </w:rPr>
        <w:t xml:space="preserve"> using the forward and reverse primer sequences as indexes. PCR primer sequences were</w:t>
      </w:r>
      <w:r w:rsidRPr="00251411">
        <w:rPr>
          <w:rFonts w:ascii="Times New Roman" w:hAnsi="Times New Roman" w:cs="Times New Roman"/>
          <w:sz w:val="24"/>
          <w:szCs w:val="24"/>
          <w:lang w:val="en-US"/>
        </w:rPr>
        <w:t xml:space="preserve"> trimmed from the resulting </w:t>
      </w:r>
      <w:r w:rsidR="000E1F06" w:rsidRPr="00251411">
        <w:rPr>
          <w:rFonts w:ascii="Times New Roman" w:hAnsi="Times New Roman" w:cs="Times New Roman"/>
          <w:sz w:val="24"/>
          <w:szCs w:val="24"/>
          <w:lang w:val="en-US"/>
        </w:rPr>
        <w:t>Fasta</w:t>
      </w:r>
      <w:r w:rsidRPr="00251411">
        <w:rPr>
          <w:rFonts w:ascii="Times New Roman" w:hAnsi="Times New Roman" w:cs="Times New Roman"/>
          <w:sz w:val="24"/>
          <w:szCs w:val="24"/>
          <w:lang w:val="en-US"/>
        </w:rPr>
        <w:t xml:space="preserve"> files using a custom UNIX script. </w:t>
      </w:r>
    </w:p>
    <w:p w14:paraId="05F68FA9" w14:textId="57EB5BE5" w:rsidR="001A2770" w:rsidRPr="00251411" w:rsidRDefault="00900EE0"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We dereplicated the resulting sequences for each of the separate specimens with a custom UNIX script. The</w:t>
      </w:r>
      <w:r w:rsidR="001E4EE1" w:rsidRPr="00251411">
        <w:rPr>
          <w:rFonts w:ascii="Times New Roman" w:hAnsi="Times New Roman" w:cs="Times New Roman"/>
          <w:sz w:val="24"/>
          <w:szCs w:val="24"/>
          <w:lang w:val="en-US"/>
        </w:rPr>
        <w:t xml:space="preserve"> </w:t>
      </w:r>
      <w:proofErr w:type="spellStart"/>
      <w:r w:rsidR="001E4EE1" w:rsidRPr="00251411">
        <w:rPr>
          <w:rFonts w:ascii="Times New Roman" w:hAnsi="Times New Roman" w:cs="Times New Roman"/>
          <w:sz w:val="24"/>
          <w:szCs w:val="24"/>
          <w:lang w:val="en-US"/>
        </w:rPr>
        <w:t>dereplicated</w:t>
      </w:r>
      <w:proofErr w:type="spellEnd"/>
      <w:r w:rsidR="001E4EE1" w:rsidRPr="00251411">
        <w:rPr>
          <w:rFonts w:ascii="Times New Roman" w:hAnsi="Times New Roman" w:cs="Times New Roman"/>
          <w:sz w:val="24"/>
          <w:szCs w:val="24"/>
          <w:lang w:val="en-US"/>
        </w:rPr>
        <w:t xml:space="preserve"> sequences were</w:t>
      </w:r>
      <w:r w:rsidRPr="00251411">
        <w:rPr>
          <w:rFonts w:ascii="Times New Roman" w:hAnsi="Times New Roman" w:cs="Times New Roman"/>
          <w:sz w:val="24"/>
          <w:szCs w:val="24"/>
          <w:lang w:val="en-US"/>
        </w:rPr>
        <w:t xml:space="preserve"> blasted using </w:t>
      </w:r>
      <w:proofErr w:type="spellStart"/>
      <w:r w:rsidRPr="00251411">
        <w:rPr>
          <w:rFonts w:ascii="Times New Roman" w:hAnsi="Times New Roman" w:cs="Times New Roman"/>
          <w:sz w:val="24"/>
          <w:szCs w:val="24"/>
          <w:lang w:val="en-US"/>
        </w:rPr>
        <w:t>BLASTn</w:t>
      </w:r>
      <w:proofErr w:type="spellEnd"/>
      <w:r w:rsidRPr="00251411">
        <w:rPr>
          <w:rFonts w:ascii="Times New Roman" w:hAnsi="Times New Roman" w:cs="Times New Roman"/>
          <w:sz w:val="24"/>
          <w:szCs w:val="24"/>
          <w:lang w:val="en-US"/>
        </w:rPr>
        <w:t xml:space="preserve"> </w:t>
      </w:r>
      <w:r w:rsidR="008C1F11" w:rsidRPr="00251411">
        <w:rPr>
          <w:rFonts w:ascii="Times New Roman" w:hAnsi="Times New Roman" w:cs="Times New Roman"/>
          <w:sz w:val="24"/>
          <w:szCs w:val="24"/>
          <w:lang w:val="en-US"/>
        </w:rPr>
        <w:t>(</w:t>
      </w:r>
      <w:proofErr w:type="spellStart"/>
      <w:r w:rsidR="008E4C60" w:rsidRPr="00251411">
        <w:rPr>
          <w:rFonts w:ascii="Times New Roman" w:hAnsi="Times New Roman" w:cs="Times New Roman"/>
          <w:sz w:val="24"/>
          <w:szCs w:val="24"/>
          <w:lang w:val="en-US"/>
        </w:rPr>
        <w:t>Altschul</w:t>
      </w:r>
      <w:proofErr w:type="spellEnd"/>
      <w:r w:rsidR="008E4C60" w:rsidRPr="00251411">
        <w:rPr>
          <w:rFonts w:ascii="Times New Roman" w:hAnsi="Times New Roman" w:cs="Times New Roman"/>
          <w:sz w:val="24"/>
          <w:szCs w:val="24"/>
          <w:lang w:val="en-US"/>
        </w:rPr>
        <w:t xml:space="preserve"> et al. 1990</w:t>
      </w:r>
      <w:r w:rsidR="008C1F11" w:rsidRPr="00251411">
        <w:rPr>
          <w:rFonts w:ascii="Times New Roman" w:hAnsi="Times New Roman" w:cs="Times New Roman"/>
          <w:sz w:val="24"/>
          <w:szCs w:val="24"/>
          <w:lang w:val="en-US"/>
        </w:rPr>
        <w:t xml:space="preserve">) </w:t>
      </w:r>
      <w:r w:rsidRPr="00251411">
        <w:rPr>
          <w:rFonts w:ascii="Times New Roman" w:hAnsi="Times New Roman" w:cs="Times New Roman"/>
          <w:sz w:val="24"/>
          <w:szCs w:val="24"/>
          <w:lang w:val="en-US"/>
        </w:rPr>
        <w:t xml:space="preserve">against arthropod reference libraries for our 7 target genes, which were downloaded from </w:t>
      </w:r>
      <w:proofErr w:type="spellStart"/>
      <w:r w:rsidRPr="00251411">
        <w:rPr>
          <w:rFonts w:ascii="Times New Roman" w:hAnsi="Times New Roman" w:cs="Times New Roman"/>
          <w:sz w:val="24"/>
          <w:szCs w:val="24"/>
          <w:lang w:val="en-US"/>
        </w:rPr>
        <w:t>Genbank</w:t>
      </w:r>
      <w:proofErr w:type="spellEnd"/>
      <w:r w:rsidRPr="00251411">
        <w:rPr>
          <w:rFonts w:ascii="Times New Roman" w:hAnsi="Times New Roman" w:cs="Times New Roman"/>
          <w:sz w:val="24"/>
          <w:szCs w:val="24"/>
          <w:lang w:val="en-US"/>
        </w:rPr>
        <w:t xml:space="preserve"> </w:t>
      </w:r>
      <w:r w:rsidR="00B228AE" w:rsidRPr="00251411">
        <w:rPr>
          <w:rFonts w:ascii="Times New Roman" w:hAnsi="Times New Roman" w:cs="Times New Roman"/>
          <w:sz w:val="24"/>
          <w:szCs w:val="24"/>
          <w:lang w:val="en-US"/>
        </w:rPr>
        <w:t>(</w:t>
      </w:r>
      <w:r w:rsidR="0069505C" w:rsidRPr="00251411">
        <w:rPr>
          <w:rFonts w:ascii="Times New Roman" w:hAnsi="Times New Roman" w:cs="Times New Roman"/>
          <w:sz w:val="24"/>
          <w:szCs w:val="24"/>
          <w:lang w:val="en-US"/>
        </w:rPr>
        <w:t>Benson et al. 2013</w:t>
      </w:r>
      <w:r w:rsidR="00B228AE" w:rsidRPr="00251411">
        <w:rPr>
          <w:rFonts w:ascii="Times New Roman" w:hAnsi="Times New Roman" w:cs="Times New Roman"/>
          <w:sz w:val="24"/>
          <w:szCs w:val="24"/>
          <w:lang w:val="en-US"/>
        </w:rPr>
        <w:t>)</w:t>
      </w:r>
      <w:r w:rsidR="0069505C" w:rsidRPr="00251411">
        <w:rPr>
          <w:rFonts w:ascii="Times New Roman" w:hAnsi="Times New Roman" w:cs="Times New Roman"/>
          <w:sz w:val="24"/>
          <w:szCs w:val="24"/>
          <w:lang w:val="en-US"/>
        </w:rPr>
        <w:t xml:space="preserve"> </w:t>
      </w:r>
      <w:r w:rsidRPr="00251411">
        <w:rPr>
          <w:rFonts w:ascii="Times New Roman" w:hAnsi="Times New Roman" w:cs="Times New Roman"/>
          <w:sz w:val="24"/>
          <w:szCs w:val="24"/>
          <w:lang w:val="en-US"/>
        </w:rPr>
        <w:t xml:space="preserve">(See supplementary material). This step served to remove any contaminating non-arthropod sequences from the data and to properly assign the specimens taxonomically. </w:t>
      </w:r>
      <w:r w:rsidR="001A2770" w:rsidRPr="00251411">
        <w:rPr>
          <w:rFonts w:ascii="Times New Roman" w:hAnsi="Times New Roman" w:cs="Times New Roman"/>
          <w:sz w:val="24"/>
          <w:szCs w:val="24"/>
          <w:lang w:val="en-US"/>
        </w:rPr>
        <w:t xml:space="preserve">After this filtering step, protein coding genes were additionally translated </w:t>
      </w:r>
      <w:r w:rsidR="00B228AE" w:rsidRPr="00251411">
        <w:rPr>
          <w:rFonts w:ascii="Times New Roman" w:hAnsi="Times New Roman" w:cs="Times New Roman"/>
          <w:sz w:val="24"/>
          <w:szCs w:val="24"/>
          <w:lang w:val="en-US"/>
        </w:rPr>
        <w:t>in MEGA (</w:t>
      </w:r>
      <w:r w:rsidR="0069505C" w:rsidRPr="00251411">
        <w:rPr>
          <w:rFonts w:ascii="Times New Roman" w:hAnsi="Times New Roman" w:cs="Times New Roman"/>
          <w:sz w:val="24"/>
          <w:szCs w:val="24"/>
          <w:lang w:val="en-US"/>
        </w:rPr>
        <w:t>Tamura et al. 2007</w:t>
      </w:r>
      <w:r w:rsidR="00B228AE" w:rsidRPr="00251411">
        <w:rPr>
          <w:rFonts w:ascii="Times New Roman" w:hAnsi="Times New Roman" w:cs="Times New Roman"/>
          <w:sz w:val="24"/>
          <w:szCs w:val="24"/>
          <w:lang w:val="en-US"/>
        </w:rPr>
        <w:t>)</w:t>
      </w:r>
      <w:r w:rsidR="001E4EE1" w:rsidRPr="00251411">
        <w:rPr>
          <w:rFonts w:ascii="Times New Roman" w:hAnsi="Times New Roman" w:cs="Times New Roman"/>
          <w:sz w:val="24"/>
          <w:szCs w:val="24"/>
          <w:lang w:val="en-US"/>
        </w:rPr>
        <w:t>,</w:t>
      </w:r>
      <w:r w:rsidR="00B228AE" w:rsidRPr="00251411">
        <w:rPr>
          <w:rFonts w:ascii="Times New Roman" w:hAnsi="Times New Roman" w:cs="Times New Roman"/>
          <w:sz w:val="24"/>
          <w:szCs w:val="24"/>
          <w:lang w:val="en-US"/>
        </w:rPr>
        <w:t xml:space="preserve"> </w:t>
      </w:r>
      <w:r w:rsidR="001A2770" w:rsidRPr="00251411">
        <w:rPr>
          <w:rFonts w:ascii="Times New Roman" w:hAnsi="Times New Roman" w:cs="Times New Roman"/>
          <w:sz w:val="24"/>
          <w:szCs w:val="24"/>
          <w:lang w:val="en-US"/>
        </w:rPr>
        <w:t>to only retain those sequences, which contained a continuous reading frame. The properly assigned sequences for each gene and specimen were then aligned using ClustalW in MEGA under default parameters. Pair</w:t>
      </w:r>
      <w:r w:rsidR="007B63ED" w:rsidRPr="00251411">
        <w:rPr>
          <w:rFonts w:ascii="Times New Roman" w:hAnsi="Times New Roman" w:cs="Times New Roman"/>
          <w:sz w:val="24"/>
          <w:szCs w:val="24"/>
          <w:lang w:val="en-US"/>
        </w:rPr>
        <w:t>wise genetic distances were</w:t>
      </w:r>
      <w:r w:rsidR="001A2770" w:rsidRPr="00251411">
        <w:rPr>
          <w:rFonts w:ascii="Times New Roman" w:hAnsi="Times New Roman" w:cs="Times New Roman"/>
          <w:sz w:val="24"/>
          <w:szCs w:val="24"/>
          <w:lang w:val="en-US"/>
        </w:rPr>
        <w:t xml:space="preserve"> estimated between all specimens and markers. This served to compare the taxonomic resolution offered by the different markers. </w:t>
      </w:r>
    </w:p>
    <w:p w14:paraId="5EF20D0D" w14:textId="77777777" w:rsidR="00E8778B" w:rsidRPr="00251411" w:rsidRDefault="00E8778B" w:rsidP="00251411">
      <w:pPr>
        <w:spacing w:line="480" w:lineRule="auto"/>
        <w:jc w:val="both"/>
        <w:rPr>
          <w:rFonts w:ascii="Times New Roman" w:hAnsi="Times New Roman" w:cs="Times New Roman"/>
          <w:i/>
          <w:sz w:val="24"/>
          <w:szCs w:val="24"/>
          <w:lang w:val="en-US"/>
        </w:rPr>
      </w:pPr>
      <w:r w:rsidRPr="00251411">
        <w:rPr>
          <w:rFonts w:ascii="Times New Roman" w:hAnsi="Times New Roman" w:cs="Times New Roman"/>
          <w:i/>
          <w:sz w:val="24"/>
          <w:szCs w:val="24"/>
          <w:lang w:val="en-US"/>
        </w:rPr>
        <w:lastRenderedPageBreak/>
        <w:t>Quantification of relative abundances</w:t>
      </w:r>
    </w:p>
    <w:p w14:paraId="06EB9094" w14:textId="77777777" w:rsidR="00900EE0" w:rsidRPr="00251411" w:rsidRDefault="00E8778B"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Each of the previously generated alignments of referen</w:t>
      </w:r>
      <w:r w:rsidR="001E4EE1" w:rsidRPr="00251411">
        <w:rPr>
          <w:rFonts w:ascii="Times New Roman" w:hAnsi="Times New Roman" w:cs="Times New Roman"/>
          <w:sz w:val="24"/>
          <w:szCs w:val="24"/>
          <w:lang w:val="en-US"/>
        </w:rPr>
        <w:t>ce specimens per marker was</w:t>
      </w:r>
      <w:r w:rsidRPr="00251411">
        <w:rPr>
          <w:rFonts w:ascii="Times New Roman" w:hAnsi="Times New Roman" w:cs="Times New Roman"/>
          <w:sz w:val="24"/>
          <w:szCs w:val="24"/>
          <w:lang w:val="en-US"/>
        </w:rPr>
        <w:t xml:space="preserve"> </w:t>
      </w:r>
      <w:r w:rsidR="00900EE0" w:rsidRPr="00251411">
        <w:rPr>
          <w:rFonts w:ascii="Times New Roman" w:hAnsi="Times New Roman" w:cs="Times New Roman"/>
          <w:sz w:val="24"/>
          <w:szCs w:val="24"/>
          <w:lang w:val="en-US"/>
        </w:rPr>
        <w:t xml:space="preserve">used to create </w:t>
      </w:r>
      <w:r w:rsidRPr="00251411">
        <w:rPr>
          <w:rFonts w:ascii="Times New Roman" w:hAnsi="Times New Roman" w:cs="Times New Roman"/>
          <w:sz w:val="24"/>
          <w:szCs w:val="24"/>
          <w:lang w:val="en-US"/>
        </w:rPr>
        <w:t xml:space="preserve">seven </w:t>
      </w:r>
      <w:r w:rsidR="00900EE0" w:rsidRPr="00251411">
        <w:rPr>
          <w:rFonts w:ascii="Times New Roman" w:hAnsi="Times New Roman" w:cs="Times New Roman"/>
          <w:sz w:val="24"/>
          <w:szCs w:val="24"/>
          <w:lang w:val="en-US"/>
        </w:rPr>
        <w:t>new BLAST databases. Usin</w:t>
      </w:r>
      <w:r w:rsidR="001E4EE1" w:rsidRPr="00251411">
        <w:rPr>
          <w:rFonts w:ascii="Times New Roman" w:hAnsi="Times New Roman" w:cs="Times New Roman"/>
          <w:sz w:val="24"/>
          <w:szCs w:val="24"/>
          <w:lang w:val="en-US"/>
        </w:rPr>
        <w:t xml:space="preserve">g BLASTn against these databases, we </w:t>
      </w:r>
      <w:r w:rsidR="00900EE0" w:rsidRPr="00251411">
        <w:rPr>
          <w:rFonts w:ascii="Times New Roman" w:hAnsi="Times New Roman" w:cs="Times New Roman"/>
          <w:sz w:val="24"/>
          <w:szCs w:val="24"/>
          <w:lang w:val="en-US"/>
        </w:rPr>
        <w:t>quantified the abundance of reads for each of our target taxa and genes in the mock communities.</w:t>
      </w:r>
      <w:r w:rsidRPr="00251411">
        <w:rPr>
          <w:rFonts w:ascii="Times New Roman" w:hAnsi="Times New Roman" w:cs="Times New Roman"/>
          <w:sz w:val="24"/>
          <w:szCs w:val="24"/>
          <w:lang w:val="en-US"/>
        </w:rPr>
        <w:t xml:space="preserve"> </w:t>
      </w:r>
      <w:r w:rsidR="00FC2EE3" w:rsidRPr="00251411">
        <w:rPr>
          <w:rFonts w:ascii="Times New Roman" w:hAnsi="Times New Roman" w:cs="Times New Roman"/>
          <w:sz w:val="24"/>
          <w:szCs w:val="24"/>
          <w:lang w:val="en-US"/>
        </w:rPr>
        <w:t>Only the best BLAS</w:t>
      </w:r>
      <w:r w:rsidR="005A6602" w:rsidRPr="00251411">
        <w:rPr>
          <w:rFonts w:ascii="Times New Roman" w:hAnsi="Times New Roman" w:cs="Times New Roman"/>
          <w:sz w:val="24"/>
          <w:szCs w:val="24"/>
          <w:lang w:val="en-US"/>
        </w:rPr>
        <w:t xml:space="preserve">T </w:t>
      </w:r>
      <w:r w:rsidR="00FC2EE3" w:rsidRPr="00251411">
        <w:rPr>
          <w:rFonts w:ascii="Times New Roman" w:hAnsi="Times New Roman" w:cs="Times New Roman"/>
          <w:sz w:val="24"/>
          <w:szCs w:val="24"/>
          <w:lang w:val="en-US"/>
        </w:rPr>
        <w:t xml:space="preserve">hit was retained per sequence. </w:t>
      </w:r>
      <w:r w:rsidRPr="00251411">
        <w:rPr>
          <w:rFonts w:ascii="Times New Roman" w:hAnsi="Times New Roman" w:cs="Times New Roman"/>
          <w:sz w:val="24"/>
          <w:szCs w:val="24"/>
          <w:lang w:val="en-US"/>
        </w:rPr>
        <w:t>We used a minimum overlap and sequence similarity of 9</w:t>
      </w:r>
      <w:r w:rsidR="008E2D40" w:rsidRPr="00251411">
        <w:rPr>
          <w:rFonts w:ascii="Times New Roman" w:hAnsi="Times New Roman" w:cs="Times New Roman"/>
          <w:sz w:val="24"/>
          <w:szCs w:val="24"/>
          <w:lang w:val="en-US"/>
        </w:rPr>
        <w:t>8</w:t>
      </w:r>
      <w:r w:rsidRPr="00251411">
        <w:rPr>
          <w:rFonts w:ascii="Times New Roman" w:hAnsi="Times New Roman" w:cs="Times New Roman"/>
          <w:sz w:val="24"/>
          <w:szCs w:val="24"/>
          <w:lang w:val="en-US"/>
        </w:rPr>
        <w:t xml:space="preserve"> % to assign a sequence to the reference. Only community samples with more than 1,000 reads were used for the subsequent analyses. </w:t>
      </w:r>
    </w:p>
    <w:p w14:paraId="161643FA" w14:textId="77777777" w:rsidR="00B313E5" w:rsidRPr="00251411" w:rsidRDefault="008E7FBB" w:rsidP="00251411">
      <w:pPr>
        <w:spacing w:line="480" w:lineRule="auto"/>
        <w:jc w:val="both"/>
        <w:rPr>
          <w:rFonts w:ascii="Times New Roman" w:hAnsi="Times New Roman" w:cs="Times New Roman"/>
          <w:bCs/>
          <w:sz w:val="24"/>
          <w:szCs w:val="24"/>
          <w:lang w:val="en-US"/>
        </w:rPr>
      </w:pPr>
      <w:r w:rsidRPr="00251411">
        <w:rPr>
          <w:rFonts w:ascii="Times New Roman" w:hAnsi="Times New Roman" w:cs="Times New Roman"/>
          <w:sz w:val="24"/>
          <w:szCs w:val="24"/>
          <w:lang w:val="en-US"/>
        </w:rPr>
        <w:t xml:space="preserve">Overall, we quantified four different factors for our subsequent analyses. 1. The proportion of reference sequences, we could generate successfully from all 44 </w:t>
      </w:r>
      <w:r w:rsidR="00E947DF" w:rsidRPr="00251411">
        <w:rPr>
          <w:rFonts w:ascii="Times New Roman" w:hAnsi="Times New Roman" w:cs="Times New Roman"/>
          <w:sz w:val="24"/>
          <w:szCs w:val="24"/>
          <w:lang w:val="en-US"/>
        </w:rPr>
        <w:t xml:space="preserve">single </w:t>
      </w:r>
      <w:r w:rsidRPr="00251411">
        <w:rPr>
          <w:rFonts w:ascii="Times New Roman" w:hAnsi="Times New Roman" w:cs="Times New Roman"/>
          <w:sz w:val="24"/>
          <w:szCs w:val="24"/>
          <w:lang w:val="en-US"/>
        </w:rPr>
        <w:t xml:space="preserve">specimens per marker. 2. The proportion of samples, which could be recovered from </w:t>
      </w:r>
      <w:r w:rsidR="00E947DF" w:rsidRPr="00251411">
        <w:rPr>
          <w:rFonts w:ascii="Times New Roman" w:hAnsi="Times New Roman" w:cs="Times New Roman"/>
          <w:sz w:val="24"/>
          <w:szCs w:val="24"/>
          <w:lang w:val="en-US"/>
        </w:rPr>
        <w:t xml:space="preserve">sequencing </w:t>
      </w:r>
      <w:r w:rsidRPr="00251411">
        <w:rPr>
          <w:rFonts w:ascii="Times New Roman" w:hAnsi="Times New Roman" w:cs="Times New Roman"/>
          <w:sz w:val="24"/>
          <w:szCs w:val="24"/>
          <w:lang w:val="en-US"/>
        </w:rPr>
        <w:t>each mock community. These two measures allow</w:t>
      </w:r>
      <w:r w:rsidR="001A2770" w:rsidRPr="00251411">
        <w:rPr>
          <w:rFonts w:ascii="Times New Roman" w:hAnsi="Times New Roman" w:cs="Times New Roman"/>
          <w:sz w:val="24"/>
          <w:szCs w:val="24"/>
          <w:lang w:val="en-US"/>
        </w:rPr>
        <w:t>ed</w:t>
      </w:r>
      <w:r w:rsidRPr="00251411">
        <w:rPr>
          <w:rFonts w:ascii="Times New Roman" w:hAnsi="Times New Roman" w:cs="Times New Roman"/>
          <w:sz w:val="24"/>
          <w:szCs w:val="24"/>
          <w:lang w:val="en-US"/>
        </w:rPr>
        <w:t xml:space="preserve"> a general prediction of the suitability of the according markers for metabarcoding purposes and </w:t>
      </w:r>
      <w:r w:rsidR="001A2770" w:rsidRPr="00251411">
        <w:rPr>
          <w:rFonts w:ascii="Times New Roman" w:hAnsi="Times New Roman" w:cs="Times New Roman"/>
          <w:sz w:val="24"/>
          <w:szCs w:val="24"/>
          <w:lang w:val="en-US"/>
        </w:rPr>
        <w:t xml:space="preserve">possible taxonomic bias for markers. </w:t>
      </w:r>
      <w:r w:rsidRPr="00251411">
        <w:rPr>
          <w:rFonts w:ascii="Times New Roman" w:hAnsi="Times New Roman" w:cs="Times New Roman"/>
          <w:sz w:val="24"/>
          <w:szCs w:val="24"/>
          <w:lang w:val="en-US"/>
        </w:rPr>
        <w:t xml:space="preserve">3. By linear regression of the proportion of reads per specimen against the proportion of DNA of that specimen in each mock community, we identified a </w:t>
      </w:r>
      <w:r w:rsidRPr="00251411">
        <w:rPr>
          <w:rFonts w:ascii="Times New Roman" w:hAnsi="Times New Roman" w:cs="Times New Roman"/>
          <w:bCs/>
          <w:sz w:val="24"/>
          <w:szCs w:val="24"/>
          <w:lang w:val="en-US"/>
        </w:rPr>
        <w:t>coefficient of determination (R</w:t>
      </w:r>
      <w:r w:rsidRPr="00251411">
        <w:rPr>
          <w:rFonts w:ascii="Times New Roman" w:hAnsi="Times New Roman" w:cs="Times New Roman"/>
          <w:bCs/>
          <w:sz w:val="24"/>
          <w:szCs w:val="24"/>
          <w:vertAlign w:val="superscript"/>
          <w:lang w:val="en-US"/>
        </w:rPr>
        <w:t>2</w:t>
      </w:r>
      <w:r w:rsidRPr="00251411">
        <w:rPr>
          <w:rFonts w:ascii="Times New Roman" w:hAnsi="Times New Roman" w:cs="Times New Roman"/>
          <w:bCs/>
          <w:sz w:val="24"/>
          <w:szCs w:val="24"/>
          <w:lang w:val="en-US"/>
        </w:rPr>
        <w:t>) and the slope of the according regression line for each specimen and marker. Thereby R</w:t>
      </w:r>
      <w:r w:rsidRPr="00251411">
        <w:rPr>
          <w:rFonts w:ascii="Times New Roman" w:hAnsi="Times New Roman" w:cs="Times New Roman"/>
          <w:bCs/>
          <w:sz w:val="24"/>
          <w:szCs w:val="24"/>
          <w:vertAlign w:val="superscript"/>
          <w:lang w:val="en-US"/>
        </w:rPr>
        <w:t>2</w:t>
      </w:r>
      <w:r w:rsidRPr="00251411">
        <w:rPr>
          <w:rFonts w:ascii="Times New Roman" w:hAnsi="Times New Roman" w:cs="Times New Roman"/>
          <w:bCs/>
          <w:sz w:val="24"/>
          <w:szCs w:val="24"/>
          <w:lang w:val="en-US"/>
        </w:rPr>
        <w:t xml:space="preserve"> served as a measure of correlation/predictability of the amount of input DNA per taxon vs. the proportion of reads to recover. The slope on the other hand, served as a mea</w:t>
      </w:r>
      <w:r w:rsidR="00E8778B" w:rsidRPr="00251411">
        <w:rPr>
          <w:rFonts w:ascii="Times New Roman" w:hAnsi="Times New Roman" w:cs="Times New Roman"/>
          <w:bCs/>
          <w:sz w:val="24"/>
          <w:szCs w:val="24"/>
          <w:lang w:val="en-US"/>
        </w:rPr>
        <w:t>s</w:t>
      </w:r>
      <w:r w:rsidRPr="00251411">
        <w:rPr>
          <w:rFonts w:ascii="Times New Roman" w:hAnsi="Times New Roman" w:cs="Times New Roman"/>
          <w:bCs/>
          <w:sz w:val="24"/>
          <w:szCs w:val="24"/>
          <w:lang w:val="en-US"/>
        </w:rPr>
        <w:t xml:space="preserve">ure of fold change between the input proportion of DNA in the mock community and the resulting number of reads for that taxon. </w:t>
      </w:r>
      <w:r w:rsidR="000E1F06" w:rsidRPr="00251411">
        <w:rPr>
          <w:rFonts w:ascii="Times New Roman" w:hAnsi="Times New Roman" w:cs="Times New Roman"/>
          <w:bCs/>
          <w:sz w:val="24"/>
          <w:szCs w:val="24"/>
          <w:lang w:val="en-US"/>
        </w:rPr>
        <w:t>To accurately visualize</w:t>
      </w:r>
      <w:r w:rsidR="00FC2EE3" w:rsidRPr="00251411">
        <w:rPr>
          <w:rFonts w:ascii="Times New Roman" w:hAnsi="Times New Roman" w:cs="Times New Roman"/>
          <w:bCs/>
          <w:sz w:val="24"/>
          <w:szCs w:val="24"/>
          <w:lang w:val="en-US"/>
        </w:rPr>
        <w:t xml:space="preserve"> fold change, we divided -1 by all slope values below 1</w:t>
      </w:r>
      <w:r w:rsidR="00D90E55" w:rsidRPr="00251411">
        <w:rPr>
          <w:rFonts w:ascii="Times New Roman" w:hAnsi="Times New Roman" w:cs="Times New Roman"/>
          <w:bCs/>
          <w:sz w:val="24"/>
          <w:szCs w:val="24"/>
          <w:lang w:val="en-US"/>
        </w:rPr>
        <w:t xml:space="preserve"> and </w:t>
      </w:r>
      <w:proofErr w:type="spellStart"/>
      <w:r w:rsidR="00D90E55" w:rsidRPr="00251411">
        <w:rPr>
          <w:rFonts w:ascii="Times New Roman" w:hAnsi="Times New Roman" w:cs="Times New Roman"/>
          <w:bCs/>
          <w:sz w:val="24"/>
          <w:szCs w:val="24"/>
          <w:lang w:val="en-US"/>
        </w:rPr>
        <w:t>substracted</w:t>
      </w:r>
      <w:proofErr w:type="spellEnd"/>
      <w:r w:rsidR="00D90E55" w:rsidRPr="00251411">
        <w:rPr>
          <w:rFonts w:ascii="Times New Roman" w:hAnsi="Times New Roman" w:cs="Times New Roman"/>
          <w:bCs/>
          <w:sz w:val="24"/>
          <w:szCs w:val="24"/>
          <w:lang w:val="en-US"/>
        </w:rPr>
        <w:t xml:space="preserve"> 1 from all values equaling 1 or higher</w:t>
      </w:r>
      <w:r w:rsidR="00FC2EE3" w:rsidRPr="00251411">
        <w:rPr>
          <w:rFonts w:ascii="Times New Roman" w:hAnsi="Times New Roman" w:cs="Times New Roman"/>
          <w:bCs/>
          <w:sz w:val="24"/>
          <w:szCs w:val="24"/>
          <w:lang w:val="en-US"/>
        </w:rPr>
        <w:t>. This lead to a scale of fold change from negative (Slope &lt;</w:t>
      </w:r>
      <w:r w:rsidR="00D90E55" w:rsidRPr="00251411">
        <w:rPr>
          <w:rFonts w:ascii="Times New Roman" w:hAnsi="Times New Roman" w:cs="Times New Roman"/>
          <w:bCs/>
          <w:sz w:val="24"/>
          <w:szCs w:val="24"/>
          <w:lang w:val="en-US"/>
        </w:rPr>
        <w:t>0</w:t>
      </w:r>
      <w:r w:rsidR="00FC2EE3" w:rsidRPr="00251411">
        <w:rPr>
          <w:rFonts w:ascii="Times New Roman" w:hAnsi="Times New Roman" w:cs="Times New Roman"/>
          <w:bCs/>
          <w:sz w:val="24"/>
          <w:szCs w:val="24"/>
          <w:lang w:val="en-US"/>
        </w:rPr>
        <w:t>) to positive (Slope&gt;</w:t>
      </w:r>
      <w:r w:rsidR="00D90E55" w:rsidRPr="00251411">
        <w:rPr>
          <w:rFonts w:ascii="Times New Roman" w:hAnsi="Times New Roman" w:cs="Times New Roman"/>
          <w:bCs/>
          <w:sz w:val="24"/>
          <w:szCs w:val="24"/>
          <w:lang w:val="en-US"/>
        </w:rPr>
        <w:t>0</w:t>
      </w:r>
      <w:r w:rsidR="00FC2EE3" w:rsidRPr="00251411">
        <w:rPr>
          <w:rFonts w:ascii="Times New Roman" w:hAnsi="Times New Roman" w:cs="Times New Roman"/>
          <w:bCs/>
          <w:sz w:val="24"/>
          <w:szCs w:val="24"/>
          <w:lang w:val="en-US"/>
        </w:rPr>
        <w:t>)</w:t>
      </w:r>
      <w:r w:rsidR="00B228AE" w:rsidRPr="00251411">
        <w:rPr>
          <w:rFonts w:ascii="Times New Roman" w:hAnsi="Times New Roman" w:cs="Times New Roman"/>
          <w:bCs/>
          <w:sz w:val="24"/>
          <w:szCs w:val="24"/>
          <w:lang w:val="en-US"/>
        </w:rPr>
        <w:t xml:space="preserve"> in relation to </w:t>
      </w:r>
      <w:r w:rsidR="00E947DF" w:rsidRPr="00251411">
        <w:rPr>
          <w:rFonts w:ascii="Times New Roman" w:hAnsi="Times New Roman" w:cs="Times New Roman"/>
          <w:bCs/>
          <w:sz w:val="24"/>
          <w:szCs w:val="24"/>
          <w:lang w:val="en-US"/>
        </w:rPr>
        <w:t>a hypothetical perfect</w:t>
      </w:r>
      <w:r w:rsidR="00B228AE" w:rsidRPr="00251411">
        <w:rPr>
          <w:rFonts w:ascii="Times New Roman" w:hAnsi="Times New Roman" w:cs="Times New Roman"/>
          <w:bCs/>
          <w:sz w:val="24"/>
          <w:szCs w:val="24"/>
          <w:lang w:val="en-US"/>
        </w:rPr>
        <w:t xml:space="preserve"> correlation of input DNA exactly equaling output reads</w:t>
      </w:r>
      <w:r w:rsidR="00FC2EE3" w:rsidRPr="00251411">
        <w:rPr>
          <w:rFonts w:ascii="Times New Roman" w:hAnsi="Times New Roman" w:cs="Times New Roman"/>
          <w:bCs/>
          <w:sz w:val="24"/>
          <w:szCs w:val="24"/>
          <w:lang w:val="en-US"/>
        </w:rPr>
        <w:t>.</w:t>
      </w:r>
      <w:r w:rsidR="00B228AE" w:rsidRPr="00251411">
        <w:rPr>
          <w:rFonts w:ascii="Times New Roman" w:hAnsi="Times New Roman" w:cs="Times New Roman"/>
          <w:bCs/>
          <w:sz w:val="24"/>
          <w:szCs w:val="24"/>
          <w:lang w:val="en-US"/>
        </w:rPr>
        <w:t xml:space="preserve"> </w:t>
      </w:r>
      <w:r w:rsidR="001A2770" w:rsidRPr="00251411">
        <w:rPr>
          <w:rFonts w:ascii="Times New Roman" w:hAnsi="Times New Roman" w:cs="Times New Roman"/>
          <w:bCs/>
          <w:sz w:val="24"/>
          <w:szCs w:val="24"/>
          <w:lang w:val="en-US"/>
        </w:rPr>
        <w:t>4. Finally, we tested for an association of fold change and R</w:t>
      </w:r>
      <w:r w:rsidR="001A2770" w:rsidRPr="00251411">
        <w:rPr>
          <w:rFonts w:ascii="Times New Roman" w:hAnsi="Times New Roman" w:cs="Times New Roman"/>
          <w:bCs/>
          <w:sz w:val="24"/>
          <w:szCs w:val="24"/>
          <w:vertAlign w:val="superscript"/>
          <w:lang w:val="en-US"/>
        </w:rPr>
        <w:t>2</w:t>
      </w:r>
      <w:r w:rsidR="001A2770" w:rsidRPr="00251411">
        <w:rPr>
          <w:rFonts w:ascii="Times New Roman" w:hAnsi="Times New Roman" w:cs="Times New Roman"/>
          <w:bCs/>
          <w:sz w:val="24"/>
          <w:szCs w:val="24"/>
          <w:lang w:val="en-US"/>
        </w:rPr>
        <w:t xml:space="preserve"> with taxonomic groups, e.g. if the quantitative recovery of taxa was similar within taxonomic groups. </w:t>
      </w:r>
    </w:p>
    <w:p w14:paraId="6F3A88DC" w14:textId="77777777" w:rsidR="006E4471" w:rsidRPr="00251411" w:rsidRDefault="00D90E55" w:rsidP="00251411">
      <w:pPr>
        <w:spacing w:line="480" w:lineRule="auto"/>
        <w:jc w:val="both"/>
        <w:rPr>
          <w:rFonts w:ascii="Times New Roman" w:hAnsi="Times New Roman" w:cs="Times New Roman"/>
          <w:bCs/>
          <w:sz w:val="24"/>
          <w:szCs w:val="24"/>
          <w:lang w:val="en-US"/>
        </w:rPr>
      </w:pPr>
      <w:r w:rsidRPr="00251411">
        <w:rPr>
          <w:rFonts w:ascii="Times New Roman" w:hAnsi="Times New Roman" w:cs="Times New Roman"/>
          <w:bCs/>
          <w:sz w:val="24"/>
          <w:szCs w:val="24"/>
          <w:lang w:val="en-US"/>
        </w:rPr>
        <w:lastRenderedPageBreak/>
        <w:t xml:space="preserve">Based on the </w:t>
      </w:r>
      <w:r w:rsidR="008E2D40" w:rsidRPr="00251411">
        <w:rPr>
          <w:rFonts w:ascii="Times New Roman" w:hAnsi="Times New Roman" w:cs="Times New Roman"/>
          <w:bCs/>
          <w:sz w:val="24"/>
          <w:szCs w:val="24"/>
          <w:lang w:val="en-US"/>
        </w:rPr>
        <w:t>slopes of the regression line between input DNA and recovered reads, we devised correction factors to estimate the relative abundance of ta</w:t>
      </w:r>
      <w:r w:rsidR="00E947DF" w:rsidRPr="00251411">
        <w:rPr>
          <w:rFonts w:ascii="Times New Roman" w:hAnsi="Times New Roman" w:cs="Times New Roman"/>
          <w:bCs/>
          <w:sz w:val="24"/>
          <w:szCs w:val="24"/>
          <w:lang w:val="en-US"/>
        </w:rPr>
        <w:t>xa in our mock communities.</w:t>
      </w:r>
      <w:r w:rsidR="008E2D40" w:rsidRPr="00251411">
        <w:rPr>
          <w:rFonts w:ascii="Times New Roman" w:hAnsi="Times New Roman" w:cs="Times New Roman"/>
          <w:bCs/>
          <w:sz w:val="24"/>
          <w:szCs w:val="24"/>
          <w:lang w:val="en-US"/>
        </w:rPr>
        <w:t xml:space="preserve"> Out of 16 total mock communities, we chose </w:t>
      </w:r>
      <w:r w:rsidR="006E4471" w:rsidRPr="00251411">
        <w:rPr>
          <w:rFonts w:ascii="Times New Roman" w:hAnsi="Times New Roman" w:cs="Times New Roman"/>
          <w:bCs/>
          <w:sz w:val="24"/>
          <w:szCs w:val="24"/>
          <w:lang w:val="en-US"/>
        </w:rPr>
        <w:t xml:space="preserve">the first 5 and 10 and fitted a regression line for the correlation of input DNA and recovered reads. The recovered slope of the regression was then used to correct the estimated abundance of the respective taxon for the remaining six community samples. This was done by dividing the recovered proportion of reads per taxon and mock community by the taxon specific slope. </w:t>
      </w:r>
    </w:p>
    <w:p w14:paraId="33A16538" w14:textId="77777777" w:rsidR="006E52A4" w:rsidRPr="00251411" w:rsidRDefault="00E73483" w:rsidP="00251411">
      <w:pPr>
        <w:spacing w:line="480" w:lineRule="auto"/>
        <w:jc w:val="both"/>
        <w:rPr>
          <w:rFonts w:ascii="Times New Roman" w:hAnsi="Times New Roman" w:cs="Times New Roman"/>
          <w:b/>
          <w:sz w:val="24"/>
          <w:szCs w:val="24"/>
          <w:lang w:val="en-US"/>
        </w:rPr>
      </w:pPr>
      <w:r w:rsidRPr="00251411">
        <w:rPr>
          <w:rFonts w:ascii="Times New Roman" w:hAnsi="Times New Roman" w:cs="Times New Roman"/>
          <w:b/>
          <w:sz w:val="24"/>
          <w:szCs w:val="24"/>
          <w:lang w:val="en-US"/>
        </w:rPr>
        <w:t>Results</w:t>
      </w:r>
    </w:p>
    <w:p w14:paraId="51B4F494" w14:textId="77777777" w:rsidR="00C650A1" w:rsidRPr="00251411" w:rsidRDefault="00E8778B"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After quality trimming</w:t>
      </w:r>
      <w:r w:rsidR="00E947DF" w:rsidRPr="00251411">
        <w:rPr>
          <w:rFonts w:ascii="Times New Roman" w:hAnsi="Times New Roman" w:cs="Times New Roman"/>
          <w:sz w:val="24"/>
          <w:szCs w:val="24"/>
          <w:lang w:val="en-US"/>
        </w:rPr>
        <w:t>,</w:t>
      </w:r>
      <w:r w:rsidRPr="00251411">
        <w:rPr>
          <w:rFonts w:ascii="Times New Roman" w:hAnsi="Times New Roman" w:cs="Times New Roman"/>
          <w:sz w:val="24"/>
          <w:szCs w:val="24"/>
          <w:lang w:val="en-US"/>
        </w:rPr>
        <w:t xml:space="preserve"> we recovered between xxx and xxx reads per single specimen. </w:t>
      </w:r>
      <w:r w:rsidR="00B8219F" w:rsidRPr="00251411">
        <w:rPr>
          <w:rFonts w:ascii="Times New Roman" w:hAnsi="Times New Roman" w:cs="Times New Roman"/>
          <w:sz w:val="24"/>
          <w:szCs w:val="24"/>
          <w:lang w:val="en-US"/>
        </w:rPr>
        <w:t xml:space="preserve">We generally recovered reference sequences for a large fraction of the </w:t>
      </w:r>
      <w:r w:rsidR="00E947DF" w:rsidRPr="00251411">
        <w:rPr>
          <w:rFonts w:ascii="Times New Roman" w:hAnsi="Times New Roman" w:cs="Times New Roman"/>
          <w:sz w:val="24"/>
          <w:szCs w:val="24"/>
          <w:lang w:val="en-US"/>
        </w:rPr>
        <w:t>analyzed seven</w:t>
      </w:r>
      <w:r w:rsidR="001D3E91" w:rsidRPr="00251411">
        <w:rPr>
          <w:rFonts w:ascii="Times New Roman" w:hAnsi="Times New Roman" w:cs="Times New Roman"/>
          <w:sz w:val="24"/>
          <w:szCs w:val="24"/>
          <w:lang w:val="en-US"/>
        </w:rPr>
        <w:t xml:space="preserve"> markers. Between xxx and xxx % of all specimens could be assigned to the reference libraries. </w:t>
      </w:r>
      <w:r w:rsidR="00B8219F" w:rsidRPr="00251411">
        <w:rPr>
          <w:rFonts w:ascii="Times New Roman" w:hAnsi="Times New Roman" w:cs="Times New Roman"/>
          <w:sz w:val="24"/>
          <w:szCs w:val="24"/>
          <w:lang w:val="en-US"/>
        </w:rPr>
        <w:t xml:space="preserve">But </w:t>
      </w:r>
      <w:r w:rsidR="001D3E91" w:rsidRPr="00251411">
        <w:rPr>
          <w:rFonts w:ascii="Times New Roman" w:hAnsi="Times New Roman" w:cs="Times New Roman"/>
          <w:sz w:val="24"/>
          <w:szCs w:val="24"/>
          <w:lang w:val="en-US"/>
        </w:rPr>
        <w:t xml:space="preserve">we </w:t>
      </w:r>
      <w:r w:rsidR="00B8219F" w:rsidRPr="00251411">
        <w:rPr>
          <w:rFonts w:ascii="Times New Roman" w:hAnsi="Times New Roman" w:cs="Times New Roman"/>
          <w:sz w:val="24"/>
          <w:szCs w:val="24"/>
          <w:lang w:val="en-US"/>
        </w:rPr>
        <w:t>found considerable differences in sequencing success between different markers.</w:t>
      </w:r>
      <w:r w:rsidR="001D3E91" w:rsidRPr="00251411">
        <w:rPr>
          <w:rFonts w:ascii="Times New Roman" w:hAnsi="Times New Roman" w:cs="Times New Roman"/>
          <w:sz w:val="24"/>
          <w:szCs w:val="24"/>
          <w:lang w:val="en-US"/>
        </w:rPr>
        <w:t xml:space="preserve"> </w:t>
      </w:r>
      <w:r w:rsidR="000E1F06" w:rsidRPr="00251411">
        <w:rPr>
          <w:rFonts w:ascii="Times New Roman" w:hAnsi="Times New Roman" w:cs="Times New Roman"/>
          <w:sz w:val="24"/>
          <w:szCs w:val="24"/>
          <w:lang w:val="en-US"/>
        </w:rPr>
        <w:t>While</w:t>
      </w:r>
      <w:r w:rsidR="001D3E91" w:rsidRPr="00251411">
        <w:rPr>
          <w:rFonts w:ascii="Times New Roman" w:hAnsi="Times New Roman" w:cs="Times New Roman"/>
          <w:sz w:val="24"/>
          <w:szCs w:val="24"/>
          <w:lang w:val="en-US"/>
        </w:rPr>
        <w:t xml:space="preserve"> the </w:t>
      </w:r>
      <w:r w:rsidR="000E1F06" w:rsidRPr="00251411">
        <w:rPr>
          <w:rFonts w:ascii="Times New Roman" w:hAnsi="Times New Roman" w:cs="Times New Roman"/>
          <w:sz w:val="24"/>
          <w:szCs w:val="24"/>
          <w:lang w:val="en-US"/>
        </w:rPr>
        <w:t>nuclear marker</w:t>
      </w:r>
      <w:r w:rsidR="00E947DF" w:rsidRPr="00251411">
        <w:rPr>
          <w:rFonts w:ascii="Times New Roman" w:hAnsi="Times New Roman" w:cs="Times New Roman"/>
          <w:sz w:val="24"/>
          <w:szCs w:val="24"/>
          <w:lang w:val="en-US"/>
        </w:rPr>
        <w:t>s</w:t>
      </w:r>
      <w:r w:rsidR="000E1F06" w:rsidRPr="00251411">
        <w:rPr>
          <w:rFonts w:ascii="Times New Roman" w:hAnsi="Times New Roman" w:cs="Times New Roman"/>
          <w:sz w:val="24"/>
          <w:szCs w:val="24"/>
          <w:lang w:val="en-US"/>
        </w:rPr>
        <w:t xml:space="preserve"> and mitochondrial COI</w:t>
      </w:r>
      <w:r w:rsidR="001D3E91" w:rsidRPr="00251411">
        <w:rPr>
          <w:rFonts w:ascii="Times New Roman" w:hAnsi="Times New Roman" w:cs="Times New Roman"/>
          <w:sz w:val="24"/>
          <w:szCs w:val="24"/>
          <w:lang w:val="en-US"/>
        </w:rPr>
        <w:t xml:space="preserve"> all show more than 90% sequencing success, we could assign </w:t>
      </w:r>
      <w:r w:rsidR="000E1F06" w:rsidRPr="00251411">
        <w:rPr>
          <w:rFonts w:ascii="Times New Roman" w:hAnsi="Times New Roman" w:cs="Times New Roman"/>
          <w:sz w:val="24"/>
          <w:szCs w:val="24"/>
          <w:lang w:val="en-US"/>
        </w:rPr>
        <w:t>significantly less sequences for the mitoc</w:t>
      </w:r>
      <w:r w:rsidR="001D3E91" w:rsidRPr="00251411">
        <w:rPr>
          <w:rFonts w:ascii="Times New Roman" w:hAnsi="Times New Roman" w:cs="Times New Roman"/>
          <w:sz w:val="24"/>
          <w:szCs w:val="24"/>
          <w:lang w:val="en-US"/>
        </w:rPr>
        <w:t>hondrial 12s and Cytochrome B</w:t>
      </w:r>
      <w:r w:rsidR="00C650A1" w:rsidRPr="00251411">
        <w:rPr>
          <w:rFonts w:ascii="Times New Roman" w:hAnsi="Times New Roman" w:cs="Times New Roman"/>
          <w:sz w:val="24"/>
          <w:szCs w:val="24"/>
          <w:lang w:val="en-US"/>
        </w:rPr>
        <w:t xml:space="preserve">. </w:t>
      </w:r>
      <w:r w:rsidR="001D3E91" w:rsidRPr="00251411">
        <w:rPr>
          <w:rFonts w:ascii="Times New Roman" w:hAnsi="Times New Roman" w:cs="Times New Roman"/>
          <w:sz w:val="24"/>
          <w:szCs w:val="24"/>
          <w:lang w:val="en-US"/>
        </w:rPr>
        <w:t xml:space="preserve"> </w:t>
      </w:r>
      <w:r w:rsidR="00C650A1" w:rsidRPr="00251411">
        <w:rPr>
          <w:rFonts w:ascii="Times New Roman" w:hAnsi="Times New Roman" w:cs="Times New Roman"/>
          <w:sz w:val="24"/>
          <w:szCs w:val="24"/>
          <w:lang w:val="en-US"/>
        </w:rPr>
        <w:t xml:space="preserve">We found significant </w:t>
      </w:r>
      <w:r w:rsidR="005A6602" w:rsidRPr="00251411">
        <w:rPr>
          <w:rFonts w:ascii="Times New Roman" w:hAnsi="Times New Roman" w:cs="Times New Roman"/>
          <w:sz w:val="24"/>
          <w:szCs w:val="24"/>
          <w:lang w:val="en-US"/>
        </w:rPr>
        <w:t>differences in the average inter</w:t>
      </w:r>
      <w:r w:rsidR="00C650A1" w:rsidRPr="00251411">
        <w:rPr>
          <w:rFonts w:ascii="Times New Roman" w:hAnsi="Times New Roman" w:cs="Times New Roman"/>
          <w:sz w:val="24"/>
          <w:szCs w:val="24"/>
          <w:lang w:val="en-US"/>
        </w:rPr>
        <w:t xml:space="preserve">specific genetic distances between the analyzed markers. Nuclear </w:t>
      </w:r>
      <w:r w:rsidR="005A6602" w:rsidRPr="00251411">
        <w:rPr>
          <w:rFonts w:ascii="Times New Roman" w:hAnsi="Times New Roman" w:cs="Times New Roman"/>
          <w:sz w:val="24"/>
          <w:szCs w:val="24"/>
          <w:lang w:val="en-US"/>
        </w:rPr>
        <w:t>markers</w:t>
      </w:r>
      <w:r w:rsidR="00C650A1" w:rsidRPr="00251411">
        <w:rPr>
          <w:rFonts w:ascii="Times New Roman" w:hAnsi="Times New Roman" w:cs="Times New Roman"/>
          <w:sz w:val="24"/>
          <w:szCs w:val="24"/>
          <w:lang w:val="en-US"/>
        </w:rPr>
        <w:t xml:space="preserve"> show considerable less distance than mitochondrial ones, with ribosomal 18s being the most conserved and mitochondrial xxx the most variable one. </w:t>
      </w:r>
    </w:p>
    <w:p w14:paraId="2617A670" w14:textId="77777777" w:rsidR="00E947DF" w:rsidRPr="00251411" w:rsidRDefault="00C650A1"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With the Exception of two identical Lepidoptera sequences in the slowly evolving 18srDNA, all 44 arthropod specimens can be distinguished based on sequence divergence for all markers. Even for the fastest evolving marker, the lowest </w:t>
      </w:r>
      <w:r w:rsidR="005A6602" w:rsidRPr="00251411">
        <w:rPr>
          <w:rFonts w:ascii="Times New Roman" w:hAnsi="Times New Roman" w:cs="Times New Roman"/>
          <w:sz w:val="24"/>
          <w:szCs w:val="24"/>
          <w:lang w:val="en-US"/>
        </w:rPr>
        <w:t>distance</w:t>
      </w:r>
      <w:r w:rsidRPr="00251411">
        <w:rPr>
          <w:rFonts w:ascii="Times New Roman" w:hAnsi="Times New Roman" w:cs="Times New Roman"/>
          <w:sz w:val="24"/>
          <w:szCs w:val="24"/>
          <w:lang w:val="en-US"/>
        </w:rPr>
        <w:t xml:space="preserve"> between two taxa is xxx %, indicating fairly high d</w:t>
      </w:r>
      <w:r w:rsidR="00E947DF" w:rsidRPr="00251411">
        <w:rPr>
          <w:rFonts w:ascii="Times New Roman" w:hAnsi="Times New Roman" w:cs="Times New Roman"/>
          <w:sz w:val="24"/>
          <w:szCs w:val="24"/>
          <w:lang w:val="en-US"/>
        </w:rPr>
        <w:t>ivergence of all analyzed taxa.</w:t>
      </w:r>
      <w:r w:rsidRPr="00251411">
        <w:rPr>
          <w:rFonts w:ascii="Times New Roman" w:hAnsi="Times New Roman" w:cs="Times New Roman"/>
          <w:sz w:val="24"/>
          <w:szCs w:val="24"/>
          <w:lang w:val="en-US"/>
        </w:rPr>
        <w:t xml:space="preserve"> </w:t>
      </w:r>
    </w:p>
    <w:p w14:paraId="7458D3E7" w14:textId="798B648E" w:rsidR="00027853" w:rsidRPr="00251411" w:rsidRDefault="00027853" w:rsidP="00251411">
      <w:pPr>
        <w:spacing w:line="480" w:lineRule="auto"/>
        <w:jc w:val="both"/>
        <w:rPr>
          <w:rFonts w:ascii="Times New Roman" w:hAnsi="Times New Roman" w:cs="Times New Roman"/>
          <w:i/>
          <w:szCs w:val="24"/>
          <w:lang w:val="en-US"/>
        </w:rPr>
      </w:pPr>
      <w:r w:rsidRPr="00251411">
        <w:rPr>
          <w:rFonts w:ascii="Times New Roman" w:hAnsi="Times New Roman" w:cs="Times New Roman"/>
          <w:i/>
          <w:szCs w:val="24"/>
          <w:lang w:val="en-US"/>
        </w:rPr>
        <w:t>Table 2</w:t>
      </w:r>
      <w:r w:rsidR="002F0F88" w:rsidRPr="00251411">
        <w:rPr>
          <w:rFonts w:ascii="Times New Roman" w:hAnsi="Times New Roman" w:cs="Times New Roman"/>
          <w:i/>
          <w:szCs w:val="24"/>
          <w:lang w:val="en-US"/>
        </w:rPr>
        <w:t xml:space="preserve"> Summary of the results for the eight different primer combinations. The table shows the number of successfully sequenced taxa for the reference library and of recovered taxa from mock communities. </w:t>
      </w:r>
      <w:r w:rsidR="00BC79F5" w:rsidRPr="00251411">
        <w:rPr>
          <w:rFonts w:ascii="Times New Roman" w:hAnsi="Times New Roman" w:cs="Times New Roman"/>
          <w:i/>
          <w:szCs w:val="24"/>
          <w:lang w:val="en-US"/>
        </w:rPr>
        <w:t xml:space="preserve">The average genetic distance between taxa, the coefficient of determination and slope of </w:t>
      </w:r>
      <w:r w:rsidR="00BC79F5" w:rsidRPr="00251411">
        <w:rPr>
          <w:rFonts w:ascii="Times New Roman" w:hAnsi="Times New Roman" w:cs="Times New Roman"/>
          <w:i/>
          <w:szCs w:val="24"/>
          <w:lang w:val="en-US"/>
        </w:rPr>
        <w:lastRenderedPageBreak/>
        <w:t>the association of the proportion of input DNA and recovered reads per taxon are shown including their standard deviation.</w:t>
      </w:r>
    </w:p>
    <w:tbl>
      <w:tblPr>
        <w:tblStyle w:val="TableGrid"/>
        <w:tblW w:w="0" w:type="auto"/>
        <w:jc w:val="center"/>
        <w:tblLook w:val="04A0" w:firstRow="1" w:lastRow="0" w:firstColumn="1" w:lastColumn="0" w:noHBand="0" w:noVBand="1"/>
      </w:tblPr>
      <w:tblGrid>
        <w:gridCol w:w="2268"/>
        <w:gridCol w:w="900"/>
        <w:gridCol w:w="900"/>
        <w:gridCol w:w="900"/>
        <w:gridCol w:w="1350"/>
        <w:gridCol w:w="1260"/>
        <w:gridCol w:w="1710"/>
      </w:tblGrid>
      <w:tr w:rsidR="00E947DF" w:rsidRPr="00251411" w14:paraId="423C0A8E" w14:textId="77777777" w:rsidTr="00E947DF">
        <w:trPr>
          <w:trHeight w:val="247"/>
          <w:jc w:val="center"/>
        </w:trPr>
        <w:tc>
          <w:tcPr>
            <w:tcW w:w="2268" w:type="dxa"/>
          </w:tcPr>
          <w:p w14:paraId="0EC62E1F" w14:textId="77777777" w:rsidR="00E947DF" w:rsidRPr="00251411" w:rsidRDefault="00E947DF" w:rsidP="00251411">
            <w:pPr>
              <w:spacing w:line="480" w:lineRule="auto"/>
              <w:jc w:val="center"/>
              <w:rPr>
                <w:rFonts w:cs="Times New Roman"/>
                <w:b/>
                <w:sz w:val="18"/>
                <w:szCs w:val="18"/>
                <w:lang w:val="en-US"/>
              </w:rPr>
            </w:pPr>
            <w:r w:rsidRPr="00251411">
              <w:rPr>
                <w:rFonts w:cs="Times New Roman"/>
                <w:b/>
                <w:sz w:val="18"/>
                <w:szCs w:val="18"/>
                <w:lang w:val="en-US"/>
              </w:rPr>
              <w:t>Primer combination</w:t>
            </w:r>
          </w:p>
        </w:tc>
        <w:tc>
          <w:tcPr>
            <w:tcW w:w="900" w:type="dxa"/>
          </w:tcPr>
          <w:p w14:paraId="63E40FA2" w14:textId="77777777" w:rsidR="00E947DF" w:rsidRPr="00251411" w:rsidRDefault="00E947DF" w:rsidP="00251411">
            <w:pPr>
              <w:spacing w:line="480" w:lineRule="auto"/>
              <w:jc w:val="center"/>
              <w:rPr>
                <w:rFonts w:cs="Times New Roman"/>
                <w:b/>
                <w:sz w:val="18"/>
                <w:szCs w:val="18"/>
                <w:lang w:val="en-US"/>
              </w:rPr>
            </w:pPr>
            <w:r w:rsidRPr="00251411">
              <w:rPr>
                <w:rFonts w:cs="Times New Roman"/>
                <w:b/>
                <w:sz w:val="18"/>
                <w:szCs w:val="18"/>
                <w:lang w:val="en-US"/>
              </w:rPr>
              <w:t>Gene</w:t>
            </w:r>
          </w:p>
        </w:tc>
        <w:tc>
          <w:tcPr>
            <w:tcW w:w="900" w:type="dxa"/>
          </w:tcPr>
          <w:p w14:paraId="3F38B8C8" w14:textId="77777777" w:rsidR="00E947DF" w:rsidRPr="00251411" w:rsidRDefault="00E947DF" w:rsidP="00251411">
            <w:pPr>
              <w:spacing w:line="480" w:lineRule="auto"/>
              <w:jc w:val="center"/>
              <w:rPr>
                <w:rFonts w:cs="Times New Roman"/>
                <w:b/>
                <w:sz w:val="18"/>
                <w:szCs w:val="18"/>
                <w:lang w:val="en-US"/>
              </w:rPr>
            </w:pPr>
            <w:r w:rsidRPr="00251411">
              <w:rPr>
                <w:rFonts w:cs="Times New Roman"/>
                <w:b/>
                <w:sz w:val="18"/>
                <w:szCs w:val="18"/>
                <w:lang w:val="en-US"/>
              </w:rPr>
              <w:t># single</w:t>
            </w:r>
          </w:p>
        </w:tc>
        <w:tc>
          <w:tcPr>
            <w:tcW w:w="900" w:type="dxa"/>
          </w:tcPr>
          <w:p w14:paraId="7E159EF4" w14:textId="77777777" w:rsidR="00E947DF" w:rsidRPr="00251411" w:rsidRDefault="00E947DF" w:rsidP="00251411">
            <w:pPr>
              <w:spacing w:line="480" w:lineRule="auto"/>
              <w:jc w:val="center"/>
              <w:rPr>
                <w:rFonts w:cs="Times New Roman"/>
                <w:b/>
                <w:sz w:val="18"/>
                <w:szCs w:val="18"/>
                <w:lang w:val="en-US"/>
              </w:rPr>
            </w:pPr>
            <w:r w:rsidRPr="00251411">
              <w:rPr>
                <w:rFonts w:cs="Times New Roman"/>
                <w:b/>
                <w:sz w:val="18"/>
                <w:szCs w:val="18"/>
                <w:lang w:val="en-US"/>
              </w:rPr>
              <w:t># pools</w:t>
            </w:r>
          </w:p>
        </w:tc>
        <w:tc>
          <w:tcPr>
            <w:tcW w:w="1350" w:type="dxa"/>
          </w:tcPr>
          <w:p w14:paraId="1E7FEFBA" w14:textId="77777777" w:rsidR="00E947DF" w:rsidRPr="00251411" w:rsidRDefault="00E947DF" w:rsidP="00251411">
            <w:pPr>
              <w:spacing w:line="480" w:lineRule="auto"/>
              <w:jc w:val="center"/>
              <w:rPr>
                <w:rFonts w:cs="Times New Roman"/>
                <w:b/>
                <w:sz w:val="18"/>
                <w:szCs w:val="18"/>
                <w:lang w:val="en-US"/>
              </w:rPr>
            </w:pPr>
            <w:r w:rsidRPr="00251411">
              <w:rPr>
                <w:rFonts w:cs="Times New Roman"/>
                <w:b/>
                <w:sz w:val="18"/>
                <w:szCs w:val="18"/>
                <w:lang w:val="en-US"/>
              </w:rPr>
              <w:t>R2</w:t>
            </w:r>
          </w:p>
        </w:tc>
        <w:tc>
          <w:tcPr>
            <w:tcW w:w="1260" w:type="dxa"/>
          </w:tcPr>
          <w:p w14:paraId="2D1C7A6E" w14:textId="77777777" w:rsidR="00E947DF" w:rsidRPr="00251411" w:rsidRDefault="00E947DF" w:rsidP="00251411">
            <w:pPr>
              <w:spacing w:line="480" w:lineRule="auto"/>
              <w:jc w:val="center"/>
              <w:rPr>
                <w:rFonts w:cs="Times New Roman"/>
                <w:b/>
                <w:sz w:val="18"/>
                <w:szCs w:val="18"/>
                <w:lang w:val="en-US"/>
              </w:rPr>
            </w:pPr>
            <w:r w:rsidRPr="00251411">
              <w:rPr>
                <w:rFonts w:cs="Times New Roman"/>
                <w:b/>
                <w:sz w:val="18"/>
                <w:szCs w:val="18"/>
                <w:lang w:val="en-US"/>
              </w:rPr>
              <w:t>Slope</w:t>
            </w:r>
          </w:p>
        </w:tc>
        <w:tc>
          <w:tcPr>
            <w:tcW w:w="1710" w:type="dxa"/>
          </w:tcPr>
          <w:p w14:paraId="389188DB" w14:textId="77777777" w:rsidR="00E947DF" w:rsidRPr="00251411" w:rsidRDefault="00E947DF" w:rsidP="00251411">
            <w:pPr>
              <w:spacing w:line="480" w:lineRule="auto"/>
              <w:jc w:val="center"/>
              <w:rPr>
                <w:rFonts w:cs="Times New Roman"/>
                <w:b/>
                <w:sz w:val="18"/>
                <w:szCs w:val="18"/>
                <w:lang w:val="en-US"/>
              </w:rPr>
            </w:pPr>
            <w:r w:rsidRPr="00251411">
              <w:rPr>
                <w:rFonts w:cs="Times New Roman"/>
                <w:b/>
                <w:sz w:val="18"/>
                <w:szCs w:val="18"/>
                <w:lang w:val="en-US"/>
              </w:rPr>
              <w:t>Distance</w:t>
            </w:r>
          </w:p>
        </w:tc>
      </w:tr>
      <w:tr w:rsidR="00E947DF" w:rsidRPr="00251411" w14:paraId="258E2998" w14:textId="77777777" w:rsidTr="00E947DF">
        <w:trPr>
          <w:trHeight w:val="484"/>
          <w:jc w:val="center"/>
        </w:trPr>
        <w:tc>
          <w:tcPr>
            <w:tcW w:w="2268" w:type="dxa"/>
          </w:tcPr>
          <w:p w14:paraId="146DD0FD"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ArF1</w:t>
            </w:r>
            <w:r w:rsidRPr="00251411">
              <w:rPr>
                <w:rFonts w:cs="Times New Roman"/>
                <w:sz w:val="18"/>
                <w:szCs w:val="18"/>
                <w:vertAlign w:val="superscript"/>
                <w:lang w:val="en-US"/>
              </w:rPr>
              <w:t>1</w:t>
            </w:r>
            <w:r w:rsidRPr="00251411">
              <w:rPr>
                <w:rFonts w:cs="Times New Roman"/>
                <w:sz w:val="18"/>
                <w:szCs w:val="18"/>
                <w:lang w:val="en-US"/>
              </w:rPr>
              <w:t>/</w:t>
            </w:r>
            <w:r w:rsidRPr="00251411">
              <w:rPr>
                <w:rFonts w:eastAsia="Times New Roman" w:cs="Times New Roman"/>
                <w:color w:val="000000"/>
                <w:sz w:val="18"/>
                <w:szCs w:val="18"/>
              </w:rPr>
              <w:t xml:space="preserve"> Fol-degen-rev</w:t>
            </w:r>
            <w:r w:rsidRPr="00251411">
              <w:rPr>
                <w:rFonts w:eastAsia="Times New Roman" w:cs="Times New Roman"/>
                <w:color w:val="000000"/>
                <w:sz w:val="18"/>
                <w:szCs w:val="18"/>
                <w:vertAlign w:val="superscript"/>
              </w:rPr>
              <w:t>2</w:t>
            </w:r>
          </w:p>
        </w:tc>
        <w:tc>
          <w:tcPr>
            <w:tcW w:w="900" w:type="dxa"/>
          </w:tcPr>
          <w:p w14:paraId="53F746DC"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COI</w:t>
            </w:r>
          </w:p>
        </w:tc>
        <w:tc>
          <w:tcPr>
            <w:tcW w:w="900" w:type="dxa"/>
          </w:tcPr>
          <w:p w14:paraId="506654AA"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42</w:t>
            </w:r>
          </w:p>
        </w:tc>
        <w:tc>
          <w:tcPr>
            <w:tcW w:w="900" w:type="dxa"/>
          </w:tcPr>
          <w:p w14:paraId="00CAE96F"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39</w:t>
            </w:r>
          </w:p>
        </w:tc>
        <w:tc>
          <w:tcPr>
            <w:tcW w:w="1350" w:type="dxa"/>
          </w:tcPr>
          <w:p w14:paraId="0369FB7A"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0.734 ± 0.167</w:t>
            </w:r>
          </w:p>
        </w:tc>
        <w:tc>
          <w:tcPr>
            <w:tcW w:w="1260" w:type="dxa"/>
          </w:tcPr>
          <w:p w14:paraId="13E13AFC"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1.059 ± 1.164</w:t>
            </w:r>
          </w:p>
        </w:tc>
        <w:tc>
          <w:tcPr>
            <w:tcW w:w="1710" w:type="dxa"/>
          </w:tcPr>
          <w:p w14:paraId="42A09558" w14:textId="77777777" w:rsidR="00E947DF" w:rsidRPr="00251411" w:rsidRDefault="00E947DF" w:rsidP="00251411">
            <w:pPr>
              <w:spacing w:line="480" w:lineRule="auto"/>
              <w:jc w:val="center"/>
              <w:rPr>
                <w:rFonts w:cs="Times New Roman"/>
                <w:sz w:val="18"/>
                <w:szCs w:val="18"/>
                <w:lang w:val="en-US"/>
              </w:rPr>
            </w:pPr>
          </w:p>
        </w:tc>
      </w:tr>
      <w:tr w:rsidR="00E947DF" w:rsidRPr="00251411" w14:paraId="1A67ADA0" w14:textId="77777777" w:rsidTr="00E947DF">
        <w:trPr>
          <w:trHeight w:val="489"/>
          <w:jc w:val="center"/>
        </w:trPr>
        <w:tc>
          <w:tcPr>
            <w:tcW w:w="2268" w:type="dxa"/>
          </w:tcPr>
          <w:p w14:paraId="59DE62FD" w14:textId="77777777" w:rsidR="00E947DF" w:rsidRPr="00251411" w:rsidRDefault="00E947DF" w:rsidP="00251411">
            <w:pPr>
              <w:spacing w:line="480" w:lineRule="auto"/>
              <w:jc w:val="center"/>
              <w:rPr>
                <w:rFonts w:cs="Times New Roman"/>
                <w:sz w:val="18"/>
                <w:szCs w:val="18"/>
                <w:lang w:val="en-US"/>
              </w:rPr>
            </w:pPr>
            <w:r w:rsidRPr="00251411">
              <w:rPr>
                <w:rFonts w:eastAsia="Times New Roman" w:cs="Times New Roman"/>
                <w:color w:val="000000"/>
                <w:sz w:val="18"/>
                <w:szCs w:val="18"/>
              </w:rPr>
              <w:t>mlCOIintF</w:t>
            </w:r>
            <w:r w:rsidRPr="00251411">
              <w:rPr>
                <w:rFonts w:eastAsia="Times New Roman" w:cs="Times New Roman"/>
                <w:color w:val="000000"/>
                <w:sz w:val="18"/>
                <w:szCs w:val="18"/>
                <w:vertAlign w:val="superscript"/>
              </w:rPr>
              <w:t>3</w:t>
            </w:r>
            <w:r w:rsidRPr="00251411">
              <w:rPr>
                <w:rFonts w:cs="Times New Roman"/>
                <w:sz w:val="18"/>
                <w:szCs w:val="18"/>
                <w:lang w:val="en-US"/>
              </w:rPr>
              <w:t>/</w:t>
            </w:r>
            <w:r w:rsidRPr="00251411">
              <w:rPr>
                <w:rFonts w:eastAsia="Times New Roman" w:cs="Times New Roman"/>
                <w:color w:val="000000"/>
                <w:sz w:val="18"/>
                <w:szCs w:val="18"/>
              </w:rPr>
              <w:t xml:space="preserve"> Fol-degen-rev</w:t>
            </w:r>
            <w:r w:rsidRPr="00251411">
              <w:rPr>
                <w:rFonts w:eastAsia="Times New Roman" w:cs="Times New Roman"/>
                <w:color w:val="000000"/>
                <w:sz w:val="18"/>
                <w:szCs w:val="18"/>
                <w:vertAlign w:val="superscript"/>
              </w:rPr>
              <w:t>2</w:t>
            </w:r>
          </w:p>
        </w:tc>
        <w:tc>
          <w:tcPr>
            <w:tcW w:w="900" w:type="dxa"/>
          </w:tcPr>
          <w:p w14:paraId="43887BA5"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COI</w:t>
            </w:r>
          </w:p>
        </w:tc>
        <w:tc>
          <w:tcPr>
            <w:tcW w:w="900" w:type="dxa"/>
          </w:tcPr>
          <w:p w14:paraId="65FC4CD2"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42</w:t>
            </w:r>
          </w:p>
        </w:tc>
        <w:tc>
          <w:tcPr>
            <w:tcW w:w="900" w:type="dxa"/>
          </w:tcPr>
          <w:p w14:paraId="1B1BF300"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40</w:t>
            </w:r>
          </w:p>
        </w:tc>
        <w:tc>
          <w:tcPr>
            <w:tcW w:w="1350" w:type="dxa"/>
          </w:tcPr>
          <w:p w14:paraId="1A461142"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0.882 ± 0.105</w:t>
            </w:r>
          </w:p>
        </w:tc>
        <w:tc>
          <w:tcPr>
            <w:tcW w:w="1260" w:type="dxa"/>
          </w:tcPr>
          <w:p w14:paraId="0D10C4AE"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0.986 ± 0.841</w:t>
            </w:r>
          </w:p>
        </w:tc>
        <w:tc>
          <w:tcPr>
            <w:tcW w:w="1710" w:type="dxa"/>
          </w:tcPr>
          <w:p w14:paraId="5756076C" w14:textId="77777777" w:rsidR="00E947DF" w:rsidRPr="00251411" w:rsidRDefault="00E947DF" w:rsidP="00251411">
            <w:pPr>
              <w:spacing w:line="480" w:lineRule="auto"/>
              <w:jc w:val="center"/>
              <w:rPr>
                <w:rFonts w:cs="Times New Roman"/>
                <w:sz w:val="18"/>
                <w:szCs w:val="18"/>
                <w:lang w:val="en-US"/>
              </w:rPr>
            </w:pPr>
          </w:p>
        </w:tc>
      </w:tr>
      <w:tr w:rsidR="00E947DF" w:rsidRPr="00251411" w14:paraId="29780582" w14:textId="77777777" w:rsidTr="00E947DF">
        <w:trPr>
          <w:trHeight w:val="489"/>
          <w:jc w:val="center"/>
        </w:trPr>
        <w:tc>
          <w:tcPr>
            <w:tcW w:w="2268" w:type="dxa"/>
          </w:tcPr>
          <w:p w14:paraId="167CA27A" w14:textId="77777777" w:rsidR="00E947DF" w:rsidRPr="00251411" w:rsidRDefault="00E947DF" w:rsidP="00251411">
            <w:pPr>
              <w:spacing w:line="480" w:lineRule="auto"/>
              <w:jc w:val="center"/>
              <w:rPr>
                <w:rFonts w:cs="Times New Roman"/>
                <w:sz w:val="18"/>
                <w:szCs w:val="18"/>
                <w:vertAlign w:val="superscript"/>
                <w:lang w:val="en-US"/>
              </w:rPr>
            </w:pPr>
            <w:r w:rsidRPr="00251411">
              <w:rPr>
                <w:rFonts w:cs="Times New Roman"/>
                <w:sz w:val="18"/>
                <w:szCs w:val="18"/>
                <w:lang w:val="en-US"/>
              </w:rPr>
              <w:t>12sai/12sbi</w:t>
            </w:r>
            <w:r w:rsidRPr="00251411">
              <w:rPr>
                <w:rFonts w:cs="Times New Roman"/>
                <w:sz w:val="18"/>
                <w:szCs w:val="18"/>
                <w:vertAlign w:val="superscript"/>
                <w:lang w:val="en-US"/>
              </w:rPr>
              <w:t>4</w:t>
            </w:r>
          </w:p>
        </w:tc>
        <w:tc>
          <w:tcPr>
            <w:tcW w:w="900" w:type="dxa"/>
          </w:tcPr>
          <w:p w14:paraId="4671E382"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12srDNA</w:t>
            </w:r>
          </w:p>
        </w:tc>
        <w:tc>
          <w:tcPr>
            <w:tcW w:w="900" w:type="dxa"/>
          </w:tcPr>
          <w:p w14:paraId="1A31CD1E"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30</w:t>
            </w:r>
          </w:p>
        </w:tc>
        <w:tc>
          <w:tcPr>
            <w:tcW w:w="900" w:type="dxa"/>
          </w:tcPr>
          <w:p w14:paraId="0396B80B"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14</w:t>
            </w:r>
          </w:p>
        </w:tc>
        <w:tc>
          <w:tcPr>
            <w:tcW w:w="1350" w:type="dxa"/>
          </w:tcPr>
          <w:p w14:paraId="481F1DB1"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0.640 ± 0.189</w:t>
            </w:r>
          </w:p>
        </w:tc>
        <w:tc>
          <w:tcPr>
            <w:tcW w:w="1260" w:type="dxa"/>
          </w:tcPr>
          <w:p w14:paraId="6CC2E2C5"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2.467 ± 2.817</w:t>
            </w:r>
          </w:p>
        </w:tc>
        <w:tc>
          <w:tcPr>
            <w:tcW w:w="1710" w:type="dxa"/>
          </w:tcPr>
          <w:p w14:paraId="0B8286BF" w14:textId="77777777" w:rsidR="00E947DF" w:rsidRPr="00251411" w:rsidRDefault="00E947DF" w:rsidP="00251411">
            <w:pPr>
              <w:spacing w:line="480" w:lineRule="auto"/>
              <w:jc w:val="center"/>
              <w:rPr>
                <w:rFonts w:cs="Times New Roman"/>
                <w:sz w:val="18"/>
                <w:szCs w:val="18"/>
                <w:lang w:val="en-US"/>
              </w:rPr>
            </w:pPr>
          </w:p>
        </w:tc>
      </w:tr>
      <w:tr w:rsidR="00E947DF" w:rsidRPr="00251411" w14:paraId="01F8B1CA" w14:textId="77777777" w:rsidTr="00E947DF">
        <w:trPr>
          <w:trHeight w:val="484"/>
          <w:jc w:val="center"/>
        </w:trPr>
        <w:tc>
          <w:tcPr>
            <w:tcW w:w="2268" w:type="dxa"/>
          </w:tcPr>
          <w:p w14:paraId="7C7827EF" w14:textId="77777777" w:rsidR="00E947DF" w:rsidRPr="00251411" w:rsidRDefault="00E947DF" w:rsidP="00251411">
            <w:pPr>
              <w:spacing w:line="480" w:lineRule="auto"/>
              <w:jc w:val="center"/>
              <w:rPr>
                <w:rFonts w:cs="Times New Roman"/>
                <w:sz w:val="18"/>
                <w:szCs w:val="18"/>
                <w:vertAlign w:val="superscript"/>
                <w:lang w:val="en-US"/>
              </w:rPr>
            </w:pPr>
            <w:r w:rsidRPr="00251411">
              <w:rPr>
                <w:rFonts w:cs="Times New Roman"/>
                <w:sz w:val="18"/>
                <w:szCs w:val="18"/>
                <w:lang w:val="en-US"/>
              </w:rPr>
              <w:t>CB3/CB4</w:t>
            </w:r>
            <w:r w:rsidRPr="00251411">
              <w:rPr>
                <w:rFonts w:cs="Times New Roman"/>
                <w:sz w:val="18"/>
                <w:szCs w:val="18"/>
                <w:vertAlign w:val="superscript"/>
                <w:lang w:val="en-US"/>
              </w:rPr>
              <w:t>5</w:t>
            </w:r>
          </w:p>
        </w:tc>
        <w:tc>
          <w:tcPr>
            <w:tcW w:w="900" w:type="dxa"/>
          </w:tcPr>
          <w:p w14:paraId="28A1089E" w14:textId="77777777" w:rsidR="00E947DF" w:rsidRPr="00251411" w:rsidRDefault="00E947DF" w:rsidP="00251411">
            <w:pPr>
              <w:spacing w:line="480" w:lineRule="auto"/>
              <w:jc w:val="center"/>
              <w:rPr>
                <w:rFonts w:cs="Times New Roman"/>
                <w:sz w:val="18"/>
                <w:szCs w:val="18"/>
                <w:lang w:val="en-US"/>
              </w:rPr>
            </w:pPr>
            <w:proofErr w:type="spellStart"/>
            <w:r w:rsidRPr="00251411">
              <w:rPr>
                <w:rFonts w:cs="Times New Roman"/>
                <w:sz w:val="18"/>
                <w:szCs w:val="18"/>
                <w:lang w:val="en-US"/>
              </w:rPr>
              <w:t>CytB</w:t>
            </w:r>
            <w:proofErr w:type="spellEnd"/>
          </w:p>
        </w:tc>
        <w:tc>
          <w:tcPr>
            <w:tcW w:w="900" w:type="dxa"/>
          </w:tcPr>
          <w:p w14:paraId="44D45490"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32</w:t>
            </w:r>
          </w:p>
        </w:tc>
        <w:tc>
          <w:tcPr>
            <w:tcW w:w="900" w:type="dxa"/>
          </w:tcPr>
          <w:p w14:paraId="20BCF6E0"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29</w:t>
            </w:r>
          </w:p>
        </w:tc>
        <w:tc>
          <w:tcPr>
            <w:tcW w:w="1350" w:type="dxa"/>
          </w:tcPr>
          <w:p w14:paraId="0C57ABB2"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0.553 ± 0.232</w:t>
            </w:r>
          </w:p>
        </w:tc>
        <w:tc>
          <w:tcPr>
            <w:tcW w:w="1260" w:type="dxa"/>
          </w:tcPr>
          <w:p w14:paraId="1A62879C"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1.018 ± 1.720</w:t>
            </w:r>
          </w:p>
        </w:tc>
        <w:tc>
          <w:tcPr>
            <w:tcW w:w="1710" w:type="dxa"/>
          </w:tcPr>
          <w:p w14:paraId="50F92B23" w14:textId="77777777" w:rsidR="00E947DF" w:rsidRPr="00251411" w:rsidRDefault="00E947DF" w:rsidP="00251411">
            <w:pPr>
              <w:spacing w:line="480" w:lineRule="auto"/>
              <w:jc w:val="center"/>
              <w:rPr>
                <w:rFonts w:cs="Times New Roman"/>
                <w:sz w:val="18"/>
                <w:szCs w:val="18"/>
                <w:lang w:val="en-US"/>
              </w:rPr>
            </w:pPr>
          </w:p>
        </w:tc>
      </w:tr>
      <w:tr w:rsidR="00E947DF" w:rsidRPr="00251411" w14:paraId="07652294" w14:textId="77777777" w:rsidTr="00E947DF">
        <w:trPr>
          <w:trHeight w:val="489"/>
          <w:jc w:val="center"/>
        </w:trPr>
        <w:tc>
          <w:tcPr>
            <w:tcW w:w="2268" w:type="dxa"/>
          </w:tcPr>
          <w:p w14:paraId="3CC93E37" w14:textId="77777777" w:rsidR="00E947DF" w:rsidRPr="00251411" w:rsidRDefault="00E947DF" w:rsidP="00251411">
            <w:pPr>
              <w:spacing w:line="480" w:lineRule="auto"/>
              <w:jc w:val="center"/>
              <w:rPr>
                <w:rFonts w:cs="Times New Roman"/>
                <w:sz w:val="18"/>
                <w:szCs w:val="18"/>
                <w:vertAlign w:val="superscript"/>
                <w:lang w:val="en-US"/>
              </w:rPr>
            </w:pPr>
            <w:r w:rsidRPr="00251411">
              <w:rPr>
                <w:rFonts w:cs="Times New Roman"/>
                <w:sz w:val="18"/>
                <w:szCs w:val="18"/>
                <w:lang w:val="en-US"/>
              </w:rPr>
              <w:t>28srDNA</w:t>
            </w:r>
            <w:r w:rsidRPr="00251411">
              <w:rPr>
                <w:rFonts w:cs="Times New Roman"/>
                <w:sz w:val="18"/>
                <w:szCs w:val="18"/>
                <w:vertAlign w:val="superscript"/>
                <w:lang w:val="en-US"/>
              </w:rPr>
              <w:t>6</w:t>
            </w:r>
          </w:p>
        </w:tc>
        <w:tc>
          <w:tcPr>
            <w:tcW w:w="900" w:type="dxa"/>
          </w:tcPr>
          <w:p w14:paraId="0F64A7CA"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28srDNA</w:t>
            </w:r>
          </w:p>
        </w:tc>
        <w:tc>
          <w:tcPr>
            <w:tcW w:w="900" w:type="dxa"/>
          </w:tcPr>
          <w:p w14:paraId="2385B8C4"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39</w:t>
            </w:r>
          </w:p>
        </w:tc>
        <w:tc>
          <w:tcPr>
            <w:tcW w:w="900" w:type="dxa"/>
          </w:tcPr>
          <w:p w14:paraId="5C0DFC83"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35</w:t>
            </w:r>
          </w:p>
        </w:tc>
        <w:tc>
          <w:tcPr>
            <w:tcW w:w="1350" w:type="dxa"/>
          </w:tcPr>
          <w:p w14:paraId="1F9D081B"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0.805 ± 0.185</w:t>
            </w:r>
          </w:p>
        </w:tc>
        <w:tc>
          <w:tcPr>
            <w:tcW w:w="1260" w:type="dxa"/>
          </w:tcPr>
          <w:p w14:paraId="664CB778"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1.058 ± 1.118</w:t>
            </w:r>
          </w:p>
        </w:tc>
        <w:tc>
          <w:tcPr>
            <w:tcW w:w="1710" w:type="dxa"/>
          </w:tcPr>
          <w:p w14:paraId="28275142" w14:textId="77777777" w:rsidR="00E947DF" w:rsidRPr="00251411" w:rsidRDefault="00E947DF" w:rsidP="00251411">
            <w:pPr>
              <w:spacing w:line="480" w:lineRule="auto"/>
              <w:jc w:val="center"/>
              <w:rPr>
                <w:rFonts w:cs="Times New Roman"/>
                <w:sz w:val="18"/>
                <w:szCs w:val="18"/>
                <w:lang w:val="en-US"/>
              </w:rPr>
            </w:pPr>
          </w:p>
        </w:tc>
      </w:tr>
      <w:tr w:rsidR="00E947DF" w:rsidRPr="00251411" w14:paraId="37CAFAD8" w14:textId="77777777" w:rsidTr="00E947DF">
        <w:trPr>
          <w:trHeight w:val="489"/>
          <w:jc w:val="center"/>
        </w:trPr>
        <w:tc>
          <w:tcPr>
            <w:tcW w:w="2268" w:type="dxa"/>
          </w:tcPr>
          <w:p w14:paraId="4DEC33D3" w14:textId="77777777" w:rsidR="00E947DF" w:rsidRPr="00251411" w:rsidRDefault="00E947DF" w:rsidP="00251411">
            <w:pPr>
              <w:spacing w:line="480" w:lineRule="auto"/>
              <w:jc w:val="center"/>
              <w:rPr>
                <w:rFonts w:cs="Times New Roman"/>
                <w:sz w:val="18"/>
                <w:szCs w:val="18"/>
                <w:vertAlign w:val="superscript"/>
                <w:lang w:val="en-US"/>
              </w:rPr>
            </w:pPr>
            <w:r w:rsidRPr="00251411">
              <w:rPr>
                <w:rFonts w:eastAsia="Times New Roman" w:cs="Times New Roman"/>
                <w:color w:val="000000"/>
                <w:sz w:val="18"/>
                <w:szCs w:val="18"/>
                <w:lang w:val="en-US"/>
              </w:rPr>
              <w:t>18s_2F/18s_4R</w:t>
            </w:r>
            <w:r w:rsidRPr="00251411">
              <w:rPr>
                <w:rFonts w:eastAsia="Times New Roman" w:cs="Times New Roman"/>
                <w:color w:val="000000"/>
                <w:sz w:val="18"/>
                <w:szCs w:val="18"/>
                <w:vertAlign w:val="superscript"/>
                <w:lang w:val="en-US"/>
              </w:rPr>
              <w:t>6</w:t>
            </w:r>
          </w:p>
        </w:tc>
        <w:tc>
          <w:tcPr>
            <w:tcW w:w="900" w:type="dxa"/>
          </w:tcPr>
          <w:p w14:paraId="798CF7FF"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18srDNA</w:t>
            </w:r>
          </w:p>
        </w:tc>
        <w:tc>
          <w:tcPr>
            <w:tcW w:w="900" w:type="dxa"/>
          </w:tcPr>
          <w:p w14:paraId="3012E361"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41</w:t>
            </w:r>
          </w:p>
        </w:tc>
        <w:tc>
          <w:tcPr>
            <w:tcW w:w="900" w:type="dxa"/>
          </w:tcPr>
          <w:p w14:paraId="5FA9CFE3"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39</w:t>
            </w:r>
          </w:p>
        </w:tc>
        <w:tc>
          <w:tcPr>
            <w:tcW w:w="1350" w:type="dxa"/>
          </w:tcPr>
          <w:p w14:paraId="10991487"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0.839 ± 0.173</w:t>
            </w:r>
          </w:p>
        </w:tc>
        <w:tc>
          <w:tcPr>
            <w:tcW w:w="1260" w:type="dxa"/>
          </w:tcPr>
          <w:p w14:paraId="5BB54972"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0.972 ± 0.975</w:t>
            </w:r>
          </w:p>
        </w:tc>
        <w:tc>
          <w:tcPr>
            <w:tcW w:w="1710" w:type="dxa"/>
          </w:tcPr>
          <w:p w14:paraId="54CF826A" w14:textId="77777777" w:rsidR="00E947DF" w:rsidRPr="00251411" w:rsidRDefault="00E947DF" w:rsidP="00251411">
            <w:pPr>
              <w:spacing w:line="480" w:lineRule="auto"/>
              <w:jc w:val="center"/>
              <w:rPr>
                <w:rFonts w:cs="Times New Roman"/>
                <w:sz w:val="18"/>
                <w:szCs w:val="18"/>
                <w:lang w:val="en-US"/>
              </w:rPr>
            </w:pPr>
          </w:p>
        </w:tc>
      </w:tr>
      <w:tr w:rsidR="00E947DF" w:rsidRPr="00251411" w14:paraId="5C625DB9" w14:textId="77777777" w:rsidTr="00E947DF">
        <w:trPr>
          <w:trHeight w:val="484"/>
          <w:jc w:val="center"/>
        </w:trPr>
        <w:tc>
          <w:tcPr>
            <w:tcW w:w="2268" w:type="dxa"/>
          </w:tcPr>
          <w:p w14:paraId="0105FE40" w14:textId="77777777" w:rsidR="00E947DF" w:rsidRPr="00251411" w:rsidRDefault="00E947DF" w:rsidP="00251411">
            <w:pPr>
              <w:spacing w:line="480" w:lineRule="auto"/>
              <w:jc w:val="center"/>
              <w:rPr>
                <w:rFonts w:cs="Times New Roman"/>
                <w:sz w:val="18"/>
                <w:szCs w:val="18"/>
                <w:vertAlign w:val="superscript"/>
                <w:lang w:val="en-US"/>
              </w:rPr>
            </w:pPr>
            <w:r w:rsidRPr="00251411">
              <w:rPr>
                <w:color w:val="000000"/>
                <w:sz w:val="18"/>
                <w:szCs w:val="18"/>
              </w:rPr>
              <w:t>SSU_FO4/SSU_R22</w:t>
            </w:r>
            <w:r w:rsidRPr="00251411">
              <w:rPr>
                <w:color w:val="000000"/>
                <w:sz w:val="18"/>
                <w:szCs w:val="18"/>
                <w:vertAlign w:val="superscript"/>
              </w:rPr>
              <w:t>7</w:t>
            </w:r>
          </w:p>
        </w:tc>
        <w:tc>
          <w:tcPr>
            <w:tcW w:w="900" w:type="dxa"/>
          </w:tcPr>
          <w:p w14:paraId="5DF77F31"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18srDNA</w:t>
            </w:r>
          </w:p>
        </w:tc>
        <w:tc>
          <w:tcPr>
            <w:tcW w:w="900" w:type="dxa"/>
          </w:tcPr>
          <w:p w14:paraId="7AD75F81"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42</w:t>
            </w:r>
          </w:p>
        </w:tc>
        <w:tc>
          <w:tcPr>
            <w:tcW w:w="900" w:type="dxa"/>
          </w:tcPr>
          <w:p w14:paraId="3377C1F6"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40</w:t>
            </w:r>
          </w:p>
        </w:tc>
        <w:tc>
          <w:tcPr>
            <w:tcW w:w="1350" w:type="dxa"/>
          </w:tcPr>
          <w:p w14:paraId="1458DC00"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0.863 ± 0.156</w:t>
            </w:r>
          </w:p>
        </w:tc>
        <w:tc>
          <w:tcPr>
            <w:tcW w:w="1260" w:type="dxa"/>
          </w:tcPr>
          <w:p w14:paraId="2FFCB97A"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0.988 ± 1.098</w:t>
            </w:r>
          </w:p>
        </w:tc>
        <w:tc>
          <w:tcPr>
            <w:tcW w:w="1710" w:type="dxa"/>
          </w:tcPr>
          <w:p w14:paraId="0D64501F" w14:textId="77777777" w:rsidR="00E947DF" w:rsidRPr="00251411" w:rsidRDefault="00E947DF" w:rsidP="00251411">
            <w:pPr>
              <w:spacing w:line="480" w:lineRule="auto"/>
              <w:jc w:val="center"/>
              <w:rPr>
                <w:rFonts w:cs="Times New Roman"/>
                <w:sz w:val="18"/>
                <w:szCs w:val="18"/>
                <w:lang w:val="en-US"/>
              </w:rPr>
            </w:pPr>
          </w:p>
        </w:tc>
      </w:tr>
      <w:tr w:rsidR="00E947DF" w:rsidRPr="00251411" w14:paraId="5FAB2714" w14:textId="77777777" w:rsidTr="00E947DF">
        <w:trPr>
          <w:trHeight w:val="489"/>
          <w:jc w:val="center"/>
        </w:trPr>
        <w:tc>
          <w:tcPr>
            <w:tcW w:w="2268" w:type="dxa"/>
          </w:tcPr>
          <w:p w14:paraId="44B25F58" w14:textId="77777777" w:rsidR="00E947DF" w:rsidRPr="00251411" w:rsidRDefault="00E947DF" w:rsidP="00251411">
            <w:pPr>
              <w:spacing w:line="480" w:lineRule="auto"/>
              <w:jc w:val="center"/>
              <w:rPr>
                <w:rFonts w:cs="Times New Roman"/>
                <w:sz w:val="18"/>
                <w:szCs w:val="18"/>
                <w:vertAlign w:val="superscript"/>
                <w:lang w:val="en-US"/>
              </w:rPr>
            </w:pPr>
            <w:r w:rsidRPr="00251411">
              <w:rPr>
                <w:rFonts w:cs="Times New Roman"/>
                <w:sz w:val="18"/>
                <w:szCs w:val="18"/>
                <w:lang w:val="en-US"/>
              </w:rPr>
              <w:t>H3aF/H3aR</w:t>
            </w:r>
            <w:r w:rsidRPr="00251411">
              <w:rPr>
                <w:rFonts w:cs="Times New Roman"/>
                <w:sz w:val="18"/>
                <w:szCs w:val="18"/>
                <w:vertAlign w:val="superscript"/>
                <w:lang w:val="en-US"/>
              </w:rPr>
              <w:t>8</w:t>
            </w:r>
          </w:p>
        </w:tc>
        <w:tc>
          <w:tcPr>
            <w:tcW w:w="900" w:type="dxa"/>
          </w:tcPr>
          <w:p w14:paraId="0A008458"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Histone H3</w:t>
            </w:r>
          </w:p>
        </w:tc>
        <w:tc>
          <w:tcPr>
            <w:tcW w:w="900" w:type="dxa"/>
          </w:tcPr>
          <w:p w14:paraId="50E1E17C"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39</w:t>
            </w:r>
          </w:p>
        </w:tc>
        <w:tc>
          <w:tcPr>
            <w:tcW w:w="900" w:type="dxa"/>
          </w:tcPr>
          <w:p w14:paraId="049430C3"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29</w:t>
            </w:r>
          </w:p>
        </w:tc>
        <w:tc>
          <w:tcPr>
            <w:tcW w:w="1350" w:type="dxa"/>
          </w:tcPr>
          <w:p w14:paraId="441F4CBB"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0.539 ± 0.269</w:t>
            </w:r>
          </w:p>
        </w:tc>
        <w:tc>
          <w:tcPr>
            <w:tcW w:w="1260" w:type="dxa"/>
          </w:tcPr>
          <w:p w14:paraId="7FCF7BFE"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1.213 ± 1.021</w:t>
            </w:r>
          </w:p>
        </w:tc>
        <w:tc>
          <w:tcPr>
            <w:tcW w:w="1710" w:type="dxa"/>
          </w:tcPr>
          <w:p w14:paraId="55D4CC36" w14:textId="77777777" w:rsidR="00E947DF" w:rsidRPr="00251411" w:rsidRDefault="00E947DF" w:rsidP="00251411">
            <w:pPr>
              <w:spacing w:line="480" w:lineRule="auto"/>
              <w:jc w:val="center"/>
              <w:rPr>
                <w:rFonts w:cs="Times New Roman"/>
                <w:sz w:val="18"/>
                <w:szCs w:val="18"/>
                <w:lang w:val="en-US"/>
              </w:rPr>
            </w:pPr>
          </w:p>
        </w:tc>
      </w:tr>
    </w:tbl>
    <w:p w14:paraId="440726F2" w14:textId="77777777" w:rsidR="001012D5" w:rsidRPr="00251411" w:rsidRDefault="001012D5" w:rsidP="00251411">
      <w:pPr>
        <w:spacing w:line="480" w:lineRule="auto"/>
        <w:jc w:val="both"/>
        <w:rPr>
          <w:rFonts w:ascii="Times New Roman" w:hAnsi="Times New Roman" w:cs="Times New Roman"/>
          <w:sz w:val="24"/>
          <w:szCs w:val="24"/>
          <w:lang w:val="en-US"/>
        </w:rPr>
      </w:pPr>
    </w:p>
    <w:p w14:paraId="616DF558" w14:textId="77777777" w:rsidR="00546654" w:rsidRPr="00251411" w:rsidRDefault="00295A8F"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On average, we recovered xxx reads per mock community sample, with all samples having more than 1,000 reads. Our </w:t>
      </w:r>
      <w:r w:rsidR="00AF28FC" w:rsidRPr="00251411">
        <w:rPr>
          <w:rFonts w:ascii="Times New Roman" w:hAnsi="Times New Roman" w:cs="Times New Roman"/>
          <w:sz w:val="24"/>
          <w:szCs w:val="24"/>
          <w:lang w:val="en-US"/>
        </w:rPr>
        <w:t>analysis</w:t>
      </w:r>
      <w:r w:rsidRPr="00251411">
        <w:rPr>
          <w:rFonts w:ascii="Times New Roman" w:hAnsi="Times New Roman" w:cs="Times New Roman"/>
          <w:sz w:val="24"/>
          <w:szCs w:val="24"/>
          <w:lang w:val="en-US"/>
        </w:rPr>
        <w:t xml:space="preserve"> for the recovery of different taxa from mock communities found a generally high recovery rate for all </w:t>
      </w:r>
      <w:r w:rsidR="000E1F06" w:rsidRPr="00251411">
        <w:rPr>
          <w:rFonts w:ascii="Times New Roman" w:hAnsi="Times New Roman" w:cs="Times New Roman"/>
          <w:sz w:val="24"/>
          <w:szCs w:val="24"/>
          <w:lang w:val="en-US"/>
        </w:rPr>
        <w:t>markers</w:t>
      </w:r>
      <w:r w:rsidR="00546654" w:rsidRPr="00251411">
        <w:rPr>
          <w:rFonts w:ascii="Times New Roman" w:hAnsi="Times New Roman" w:cs="Times New Roman"/>
          <w:sz w:val="24"/>
          <w:szCs w:val="24"/>
          <w:lang w:val="en-US"/>
        </w:rPr>
        <w:t xml:space="preserve">. </w:t>
      </w:r>
      <w:r w:rsidRPr="00251411">
        <w:rPr>
          <w:rFonts w:ascii="Times New Roman" w:hAnsi="Times New Roman" w:cs="Times New Roman"/>
          <w:sz w:val="24"/>
          <w:szCs w:val="24"/>
          <w:lang w:val="en-US"/>
        </w:rPr>
        <w:t xml:space="preserve"> </w:t>
      </w:r>
      <w:r w:rsidR="00546654" w:rsidRPr="00251411">
        <w:rPr>
          <w:rFonts w:ascii="Times New Roman" w:hAnsi="Times New Roman" w:cs="Times New Roman"/>
          <w:sz w:val="24"/>
          <w:szCs w:val="24"/>
          <w:lang w:val="en-US"/>
        </w:rPr>
        <w:t>Between</w:t>
      </w:r>
      <w:r w:rsidRPr="00251411">
        <w:rPr>
          <w:rFonts w:ascii="Times New Roman" w:hAnsi="Times New Roman" w:cs="Times New Roman"/>
          <w:sz w:val="24"/>
          <w:szCs w:val="24"/>
          <w:lang w:val="en-US"/>
        </w:rPr>
        <w:t xml:space="preserve"> xxx % in xxx to x% </w:t>
      </w:r>
      <w:r w:rsidR="00546654" w:rsidRPr="00251411">
        <w:rPr>
          <w:rFonts w:ascii="Times New Roman" w:hAnsi="Times New Roman" w:cs="Times New Roman"/>
          <w:sz w:val="24"/>
          <w:szCs w:val="24"/>
          <w:lang w:val="en-US"/>
        </w:rPr>
        <w:t xml:space="preserve">of the species can be recovered from the mock communities. Mitochondrial </w:t>
      </w:r>
      <w:r w:rsidR="000E1F06" w:rsidRPr="00251411">
        <w:rPr>
          <w:rFonts w:ascii="Times New Roman" w:hAnsi="Times New Roman" w:cs="Times New Roman"/>
          <w:sz w:val="24"/>
          <w:szCs w:val="24"/>
          <w:lang w:val="en-US"/>
        </w:rPr>
        <w:t>COI</w:t>
      </w:r>
      <w:r w:rsidR="00546654" w:rsidRPr="00251411">
        <w:rPr>
          <w:rFonts w:ascii="Times New Roman" w:hAnsi="Times New Roman" w:cs="Times New Roman"/>
          <w:sz w:val="24"/>
          <w:szCs w:val="24"/>
          <w:lang w:val="en-US"/>
        </w:rPr>
        <w:t xml:space="preserve"> and </w:t>
      </w:r>
      <w:r w:rsidR="000E1F06" w:rsidRPr="00251411">
        <w:rPr>
          <w:rFonts w:ascii="Times New Roman" w:hAnsi="Times New Roman" w:cs="Times New Roman"/>
          <w:sz w:val="24"/>
          <w:szCs w:val="24"/>
          <w:lang w:val="en-US"/>
        </w:rPr>
        <w:t>nuclear</w:t>
      </w:r>
      <w:r w:rsidR="00546654" w:rsidRPr="00251411">
        <w:rPr>
          <w:rFonts w:ascii="Times New Roman" w:hAnsi="Times New Roman" w:cs="Times New Roman"/>
          <w:sz w:val="24"/>
          <w:szCs w:val="24"/>
          <w:lang w:val="en-US"/>
        </w:rPr>
        <w:t xml:space="preserve"> ribosoma</w:t>
      </w:r>
      <w:r w:rsidR="006B0B5F" w:rsidRPr="00251411">
        <w:rPr>
          <w:rFonts w:ascii="Times New Roman" w:hAnsi="Times New Roman" w:cs="Times New Roman"/>
          <w:sz w:val="24"/>
          <w:szCs w:val="24"/>
          <w:lang w:val="en-US"/>
        </w:rPr>
        <w:t>l</w:t>
      </w:r>
      <w:r w:rsidR="00546654" w:rsidRPr="00251411">
        <w:rPr>
          <w:rFonts w:ascii="Times New Roman" w:hAnsi="Times New Roman" w:cs="Times New Roman"/>
          <w:sz w:val="24"/>
          <w:szCs w:val="24"/>
          <w:lang w:val="en-US"/>
        </w:rPr>
        <w:t xml:space="preserve"> markers </w:t>
      </w:r>
      <w:r w:rsidR="006B0B5F" w:rsidRPr="00251411">
        <w:rPr>
          <w:rFonts w:ascii="Times New Roman" w:hAnsi="Times New Roman" w:cs="Times New Roman"/>
          <w:sz w:val="24"/>
          <w:szCs w:val="24"/>
          <w:lang w:val="en-US"/>
        </w:rPr>
        <w:t xml:space="preserve">allow the recovery of significantly more taxa </w:t>
      </w:r>
      <w:r w:rsidR="00546654" w:rsidRPr="00251411">
        <w:rPr>
          <w:rFonts w:ascii="Times New Roman" w:hAnsi="Times New Roman" w:cs="Times New Roman"/>
          <w:sz w:val="24"/>
          <w:szCs w:val="24"/>
          <w:lang w:val="en-US"/>
        </w:rPr>
        <w:t>then H3, 12s and C</w:t>
      </w:r>
      <w:r w:rsidR="006B0B5F" w:rsidRPr="00251411">
        <w:rPr>
          <w:rFonts w:ascii="Times New Roman" w:hAnsi="Times New Roman" w:cs="Times New Roman"/>
          <w:sz w:val="24"/>
          <w:szCs w:val="24"/>
          <w:lang w:val="en-US"/>
        </w:rPr>
        <w:t>y</w:t>
      </w:r>
      <w:r w:rsidR="00546654" w:rsidRPr="00251411">
        <w:rPr>
          <w:rFonts w:ascii="Times New Roman" w:hAnsi="Times New Roman" w:cs="Times New Roman"/>
          <w:sz w:val="24"/>
          <w:szCs w:val="24"/>
          <w:lang w:val="en-US"/>
        </w:rPr>
        <w:t xml:space="preserve">tochrome B. </w:t>
      </w:r>
    </w:p>
    <w:p w14:paraId="526A0C3B" w14:textId="77777777" w:rsidR="00296295" w:rsidRPr="00251411" w:rsidRDefault="00296295"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noProof/>
          <w:sz w:val="24"/>
          <w:szCs w:val="24"/>
          <w:lang w:val="en-US"/>
        </w:rPr>
        <w:lastRenderedPageBreak/>
        <w:drawing>
          <wp:inline distT="0" distB="0" distL="0" distR="0" wp14:anchorId="1766C670" wp14:editId="5CD77B9F">
            <wp:extent cx="2769870" cy="2769870"/>
            <wp:effectExtent l="0" t="0" r="0" b="0"/>
            <wp:docPr id="1" name="Picture 1" descr="C:\Users\HK\Desktop\Metabrcoding_Paper_Final_Talbles\Rplot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K\Desktop\Metabrcoding_Paper_Final_Talbles\Rplot0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69870" cy="2769870"/>
                    </a:xfrm>
                    <a:prstGeom prst="rect">
                      <a:avLst/>
                    </a:prstGeom>
                    <a:noFill/>
                    <a:ln>
                      <a:noFill/>
                    </a:ln>
                  </pic:spPr>
                </pic:pic>
              </a:graphicData>
            </a:graphic>
          </wp:inline>
        </w:drawing>
      </w:r>
    </w:p>
    <w:p w14:paraId="4964166A" w14:textId="77777777" w:rsidR="00EA71E1" w:rsidRPr="00251411" w:rsidRDefault="00EA71E1"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object w:dxaOrig="8641" w:dyaOrig="4320" w14:anchorId="51AE60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in" o:ole="">
            <v:imagedata r:id="rId7" o:title=""/>
          </v:shape>
          <o:OLEObject Type="Embed" ProgID="AcroExch.Document.DC" ShapeID="_x0000_i1025" DrawAspect="Content" ObjectID="_1528282471" r:id="rId8"/>
        </w:object>
      </w:r>
    </w:p>
    <w:p w14:paraId="1FBCB853" w14:textId="33ACCCA6" w:rsidR="003C1E9E" w:rsidRPr="00251411" w:rsidRDefault="006B0B5F"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For almost all analyzed taxa and markers we find a clear association of the amount of input DNA and the proportion of recovered reads. </w:t>
      </w:r>
      <w:r w:rsidR="003C1E9E" w:rsidRPr="00251411">
        <w:rPr>
          <w:rFonts w:ascii="Times New Roman" w:hAnsi="Times New Roman" w:cs="Times New Roman"/>
          <w:sz w:val="24"/>
          <w:szCs w:val="24"/>
          <w:lang w:val="en-US"/>
        </w:rPr>
        <w:t>However,</w:t>
      </w:r>
      <w:r w:rsidRPr="00251411">
        <w:rPr>
          <w:rFonts w:ascii="Times New Roman" w:hAnsi="Times New Roman" w:cs="Times New Roman"/>
          <w:sz w:val="24"/>
          <w:szCs w:val="24"/>
          <w:lang w:val="en-US"/>
        </w:rPr>
        <w:t xml:space="preserve"> the different markers perform very different in the estimation of </w:t>
      </w:r>
      <w:r w:rsidR="00B078F3" w:rsidRPr="00251411">
        <w:rPr>
          <w:rFonts w:ascii="Times New Roman" w:hAnsi="Times New Roman" w:cs="Times New Roman"/>
          <w:sz w:val="24"/>
          <w:szCs w:val="24"/>
          <w:lang w:val="en-US"/>
        </w:rPr>
        <w:t>relative</w:t>
      </w:r>
      <w:r w:rsidRPr="00251411">
        <w:rPr>
          <w:rFonts w:ascii="Times New Roman" w:hAnsi="Times New Roman" w:cs="Times New Roman"/>
          <w:sz w:val="24"/>
          <w:szCs w:val="24"/>
          <w:lang w:val="en-US"/>
        </w:rPr>
        <w:t xml:space="preserve"> </w:t>
      </w:r>
      <w:r w:rsidR="00B078F3" w:rsidRPr="00251411">
        <w:rPr>
          <w:rFonts w:ascii="Times New Roman" w:hAnsi="Times New Roman" w:cs="Times New Roman"/>
          <w:sz w:val="24"/>
          <w:szCs w:val="24"/>
          <w:lang w:val="en-US"/>
        </w:rPr>
        <w:t>abundances</w:t>
      </w:r>
      <w:r w:rsidRPr="00251411">
        <w:rPr>
          <w:rFonts w:ascii="Times New Roman" w:hAnsi="Times New Roman" w:cs="Times New Roman"/>
          <w:sz w:val="24"/>
          <w:szCs w:val="24"/>
          <w:lang w:val="en-US"/>
        </w:rPr>
        <w:t xml:space="preserve"> of taxa in mock communities. The coefficient of determination </w:t>
      </w:r>
      <w:r w:rsidR="00B078F3" w:rsidRPr="00251411">
        <w:rPr>
          <w:rFonts w:ascii="Times New Roman" w:hAnsi="Times New Roman" w:cs="Times New Roman"/>
          <w:sz w:val="24"/>
          <w:szCs w:val="24"/>
          <w:lang w:val="en-US"/>
        </w:rPr>
        <w:t>ranges</w:t>
      </w:r>
      <w:r w:rsidRPr="00251411">
        <w:rPr>
          <w:rFonts w:ascii="Times New Roman" w:hAnsi="Times New Roman" w:cs="Times New Roman"/>
          <w:sz w:val="24"/>
          <w:szCs w:val="24"/>
          <w:lang w:val="en-US"/>
        </w:rPr>
        <w:t xml:space="preserve"> from xxx for xxx to xxx. </w:t>
      </w:r>
      <w:r w:rsidR="003C1E9E" w:rsidRPr="00251411">
        <w:rPr>
          <w:rFonts w:ascii="Times New Roman" w:hAnsi="Times New Roman" w:cs="Times New Roman"/>
          <w:sz w:val="24"/>
          <w:szCs w:val="24"/>
          <w:lang w:val="en-US"/>
        </w:rPr>
        <w:t xml:space="preserve">12s, H3 and </w:t>
      </w:r>
      <w:r w:rsidR="00B078F3" w:rsidRPr="00251411">
        <w:rPr>
          <w:rFonts w:ascii="Times New Roman" w:hAnsi="Times New Roman" w:cs="Times New Roman"/>
          <w:sz w:val="24"/>
          <w:szCs w:val="24"/>
          <w:lang w:val="en-US"/>
        </w:rPr>
        <w:t>Cytochrome</w:t>
      </w:r>
      <w:r w:rsidR="003C1E9E" w:rsidRPr="00251411">
        <w:rPr>
          <w:rFonts w:ascii="Times New Roman" w:hAnsi="Times New Roman" w:cs="Times New Roman"/>
          <w:sz w:val="24"/>
          <w:szCs w:val="24"/>
          <w:lang w:val="en-US"/>
        </w:rPr>
        <w:t xml:space="preserve"> B perform signi</w:t>
      </w:r>
      <w:r w:rsidR="000E1F06" w:rsidRPr="00251411">
        <w:rPr>
          <w:rFonts w:ascii="Times New Roman" w:hAnsi="Times New Roman" w:cs="Times New Roman"/>
          <w:sz w:val="24"/>
          <w:szCs w:val="24"/>
          <w:lang w:val="en-US"/>
        </w:rPr>
        <w:t xml:space="preserve">ficantly </w:t>
      </w:r>
      <w:r w:rsidR="003C1E9E" w:rsidRPr="00251411">
        <w:rPr>
          <w:rFonts w:ascii="Times New Roman" w:hAnsi="Times New Roman" w:cs="Times New Roman"/>
          <w:sz w:val="24"/>
          <w:szCs w:val="24"/>
          <w:lang w:val="en-US"/>
        </w:rPr>
        <w:t>worse than t</w:t>
      </w:r>
      <w:r w:rsidR="00F1454C" w:rsidRPr="00251411">
        <w:rPr>
          <w:rFonts w:ascii="Times New Roman" w:hAnsi="Times New Roman" w:cs="Times New Roman"/>
          <w:sz w:val="24"/>
          <w:szCs w:val="24"/>
          <w:lang w:val="en-US"/>
        </w:rPr>
        <w:t xml:space="preserve">he other markers, followed by </w:t>
      </w:r>
      <w:commentRangeStart w:id="1"/>
      <w:r w:rsidR="00F1454C" w:rsidRPr="00251411">
        <w:rPr>
          <w:rFonts w:ascii="Times New Roman" w:hAnsi="Times New Roman" w:cs="Times New Roman"/>
          <w:sz w:val="24"/>
          <w:szCs w:val="24"/>
          <w:lang w:val="en-US"/>
        </w:rPr>
        <w:t>Ar</w:t>
      </w:r>
      <w:r w:rsidR="003C1E9E" w:rsidRPr="00251411">
        <w:rPr>
          <w:rFonts w:ascii="Times New Roman" w:hAnsi="Times New Roman" w:cs="Times New Roman"/>
          <w:sz w:val="24"/>
          <w:szCs w:val="24"/>
          <w:lang w:val="en-US"/>
        </w:rPr>
        <w:t>F</w:t>
      </w:r>
      <w:r w:rsidR="00F1454C" w:rsidRPr="00251411">
        <w:rPr>
          <w:rFonts w:ascii="Times New Roman" w:hAnsi="Times New Roman" w:cs="Times New Roman"/>
          <w:sz w:val="24"/>
          <w:szCs w:val="24"/>
          <w:lang w:val="en-US"/>
        </w:rPr>
        <w:t>1</w:t>
      </w:r>
      <w:commentRangeEnd w:id="1"/>
      <w:r w:rsidR="00F1454C" w:rsidRPr="00251411">
        <w:rPr>
          <w:rStyle w:val="CommentReference"/>
        </w:rPr>
        <w:commentReference w:id="1"/>
      </w:r>
      <w:r w:rsidR="00F1454C" w:rsidRPr="00251411">
        <w:rPr>
          <w:rFonts w:ascii="Times New Roman" w:hAnsi="Times New Roman" w:cs="Times New Roman"/>
          <w:sz w:val="24"/>
          <w:szCs w:val="24"/>
          <w:lang w:val="en-US"/>
        </w:rPr>
        <w:t>. T</w:t>
      </w:r>
      <w:r w:rsidR="003C1E9E" w:rsidRPr="00251411">
        <w:rPr>
          <w:rFonts w:ascii="Times New Roman" w:hAnsi="Times New Roman" w:cs="Times New Roman"/>
          <w:sz w:val="24"/>
          <w:szCs w:val="24"/>
          <w:lang w:val="en-US"/>
        </w:rPr>
        <w:t xml:space="preserve">he mitochondrial COI marker </w:t>
      </w:r>
      <w:r w:rsidR="000E1F06" w:rsidRPr="00251411">
        <w:rPr>
          <w:rFonts w:ascii="Times New Roman" w:hAnsi="Times New Roman" w:cs="Times New Roman"/>
          <w:sz w:val="24"/>
          <w:szCs w:val="24"/>
          <w:lang w:val="en-US"/>
        </w:rPr>
        <w:t>MCO</w:t>
      </w:r>
      <w:r w:rsidR="003C1E9E" w:rsidRPr="00251411">
        <w:rPr>
          <w:rFonts w:ascii="Times New Roman" w:hAnsi="Times New Roman" w:cs="Times New Roman"/>
          <w:sz w:val="24"/>
          <w:szCs w:val="24"/>
          <w:lang w:val="en-US"/>
        </w:rPr>
        <w:t xml:space="preserve"> and </w:t>
      </w:r>
      <w:r w:rsidR="000E1F06" w:rsidRPr="00251411">
        <w:rPr>
          <w:rFonts w:ascii="Times New Roman" w:hAnsi="Times New Roman" w:cs="Times New Roman"/>
          <w:sz w:val="24"/>
          <w:szCs w:val="24"/>
          <w:lang w:val="en-US"/>
        </w:rPr>
        <w:t>nuclear</w:t>
      </w:r>
      <w:r w:rsidR="00F1454C" w:rsidRPr="00251411">
        <w:rPr>
          <w:rFonts w:ascii="Times New Roman" w:hAnsi="Times New Roman" w:cs="Times New Roman"/>
          <w:sz w:val="24"/>
          <w:szCs w:val="24"/>
          <w:lang w:val="en-US"/>
        </w:rPr>
        <w:t xml:space="preserve"> ribosomal markers </w:t>
      </w:r>
      <w:r w:rsidR="003C1E9E" w:rsidRPr="00251411">
        <w:rPr>
          <w:rFonts w:ascii="Times New Roman" w:hAnsi="Times New Roman" w:cs="Times New Roman"/>
          <w:sz w:val="24"/>
          <w:szCs w:val="24"/>
          <w:lang w:val="en-US"/>
        </w:rPr>
        <w:t xml:space="preserve">show </w:t>
      </w:r>
      <w:r w:rsidR="00F1454C" w:rsidRPr="00251411">
        <w:rPr>
          <w:rFonts w:ascii="Times New Roman" w:hAnsi="Times New Roman" w:cs="Times New Roman"/>
          <w:sz w:val="24"/>
          <w:szCs w:val="24"/>
          <w:lang w:val="en-US"/>
        </w:rPr>
        <w:t>the highest</w:t>
      </w:r>
      <w:r w:rsidR="003C1E9E" w:rsidRPr="00251411">
        <w:rPr>
          <w:rFonts w:ascii="Times New Roman" w:hAnsi="Times New Roman" w:cs="Times New Roman"/>
          <w:sz w:val="24"/>
          <w:szCs w:val="24"/>
          <w:lang w:val="en-US"/>
        </w:rPr>
        <w:t xml:space="preserve"> </w:t>
      </w:r>
      <w:r w:rsidR="007F5F02" w:rsidRPr="00251411">
        <w:rPr>
          <w:rFonts w:ascii="Times New Roman" w:hAnsi="Times New Roman" w:cs="Times New Roman"/>
          <w:sz w:val="24"/>
          <w:szCs w:val="24"/>
          <w:lang w:val="en-US"/>
        </w:rPr>
        <w:t>R</w:t>
      </w:r>
      <w:r w:rsidR="007F5F02" w:rsidRPr="00251411">
        <w:rPr>
          <w:rFonts w:ascii="Times New Roman" w:hAnsi="Times New Roman" w:cs="Times New Roman"/>
          <w:sz w:val="24"/>
          <w:szCs w:val="24"/>
          <w:vertAlign w:val="superscript"/>
          <w:lang w:val="en-US"/>
        </w:rPr>
        <w:t>2</w:t>
      </w:r>
      <w:r w:rsidR="00B14DF3" w:rsidRPr="00251411">
        <w:rPr>
          <w:rFonts w:ascii="Times New Roman" w:hAnsi="Times New Roman" w:cs="Times New Roman"/>
          <w:sz w:val="24"/>
          <w:szCs w:val="24"/>
          <w:lang w:val="en-US"/>
        </w:rPr>
        <w:t xml:space="preserve"> values. T</w:t>
      </w:r>
      <w:r w:rsidR="003C1E9E" w:rsidRPr="00251411">
        <w:rPr>
          <w:rFonts w:ascii="Times New Roman" w:hAnsi="Times New Roman" w:cs="Times New Roman"/>
          <w:sz w:val="24"/>
          <w:szCs w:val="24"/>
          <w:lang w:val="en-US"/>
        </w:rPr>
        <w:t xml:space="preserve">he </w:t>
      </w:r>
      <w:r w:rsidR="000E1F06" w:rsidRPr="00251411">
        <w:rPr>
          <w:rFonts w:ascii="Times New Roman" w:hAnsi="Times New Roman" w:cs="Times New Roman"/>
          <w:sz w:val="24"/>
          <w:szCs w:val="24"/>
          <w:lang w:val="en-US"/>
        </w:rPr>
        <w:t>highest</w:t>
      </w:r>
      <w:r w:rsidR="003C1E9E" w:rsidRPr="00251411">
        <w:rPr>
          <w:rFonts w:ascii="Times New Roman" w:hAnsi="Times New Roman" w:cs="Times New Roman"/>
          <w:sz w:val="24"/>
          <w:szCs w:val="24"/>
          <w:lang w:val="en-US"/>
        </w:rPr>
        <w:t xml:space="preserve"> average </w:t>
      </w:r>
      <w:r w:rsidR="000E1F06" w:rsidRPr="00251411">
        <w:rPr>
          <w:rFonts w:ascii="Times New Roman" w:hAnsi="Times New Roman" w:cs="Times New Roman"/>
          <w:sz w:val="24"/>
          <w:szCs w:val="24"/>
          <w:lang w:val="en-US"/>
        </w:rPr>
        <w:t>R</w:t>
      </w:r>
      <w:r w:rsidR="000E1F06" w:rsidRPr="00251411">
        <w:rPr>
          <w:rFonts w:ascii="Times New Roman" w:hAnsi="Times New Roman" w:cs="Times New Roman"/>
          <w:sz w:val="24"/>
          <w:szCs w:val="24"/>
          <w:vertAlign w:val="superscript"/>
          <w:lang w:val="en-US"/>
        </w:rPr>
        <w:t>2</w:t>
      </w:r>
      <w:r w:rsidR="000E1F06" w:rsidRPr="00251411">
        <w:rPr>
          <w:rFonts w:ascii="Times New Roman" w:hAnsi="Times New Roman" w:cs="Times New Roman"/>
          <w:sz w:val="24"/>
          <w:szCs w:val="24"/>
          <w:lang w:val="en-US"/>
        </w:rPr>
        <w:t xml:space="preserve"> </w:t>
      </w:r>
      <w:r w:rsidR="003C1E9E" w:rsidRPr="00251411">
        <w:rPr>
          <w:rFonts w:ascii="Times New Roman" w:hAnsi="Times New Roman" w:cs="Times New Roman"/>
          <w:sz w:val="24"/>
          <w:szCs w:val="24"/>
          <w:lang w:val="en-US"/>
        </w:rPr>
        <w:t xml:space="preserve">is found for MCO, with </w:t>
      </w:r>
      <w:r w:rsidR="000E1F06" w:rsidRPr="00251411">
        <w:rPr>
          <w:rFonts w:ascii="Times New Roman" w:hAnsi="Times New Roman" w:cs="Times New Roman"/>
          <w:sz w:val="24"/>
          <w:szCs w:val="24"/>
          <w:lang w:val="en-US"/>
        </w:rPr>
        <w:t>R</w:t>
      </w:r>
      <w:r w:rsidR="000E1F06" w:rsidRPr="00251411">
        <w:rPr>
          <w:rFonts w:ascii="Times New Roman" w:hAnsi="Times New Roman" w:cs="Times New Roman"/>
          <w:sz w:val="24"/>
          <w:szCs w:val="24"/>
          <w:vertAlign w:val="superscript"/>
          <w:lang w:val="en-US"/>
        </w:rPr>
        <w:t>2</w:t>
      </w:r>
      <w:r w:rsidR="003C1E9E" w:rsidRPr="00251411">
        <w:rPr>
          <w:rFonts w:ascii="Times New Roman" w:hAnsi="Times New Roman" w:cs="Times New Roman"/>
          <w:sz w:val="24"/>
          <w:szCs w:val="24"/>
          <w:lang w:val="en-US"/>
        </w:rPr>
        <w:t xml:space="preserve"> of close </w:t>
      </w:r>
      <w:r w:rsidR="000E1F06" w:rsidRPr="00251411">
        <w:rPr>
          <w:rFonts w:ascii="Times New Roman" w:hAnsi="Times New Roman" w:cs="Times New Roman"/>
          <w:sz w:val="24"/>
          <w:szCs w:val="24"/>
          <w:lang w:val="en-US"/>
        </w:rPr>
        <w:t>to</w:t>
      </w:r>
      <w:r w:rsidR="003C1E9E" w:rsidRPr="00251411">
        <w:rPr>
          <w:rFonts w:ascii="Times New Roman" w:hAnsi="Times New Roman" w:cs="Times New Roman"/>
          <w:sz w:val="24"/>
          <w:szCs w:val="24"/>
          <w:lang w:val="en-US"/>
        </w:rPr>
        <w:t xml:space="preserve"> 1 for many taxa. Irrespective of the amount </w:t>
      </w:r>
      <w:r w:rsidR="003C1E9E" w:rsidRPr="00251411">
        <w:rPr>
          <w:rFonts w:ascii="Times New Roman" w:hAnsi="Times New Roman" w:cs="Times New Roman"/>
          <w:sz w:val="24"/>
          <w:szCs w:val="24"/>
          <w:lang w:val="en-US"/>
        </w:rPr>
        <w:lastRenderedPageBreak/>
        <w:t xml:space="preserve">of input of the target taxon or other taxa in the community, our experiment shows a very pronounced positive association of read counts and input </w:t>
      </w:r>
      <w:r w:rsidR="000E1F06" w:rsidRPr="00251411">
        <w:rPr>
          <w:rFonts w:ascii="Times New Roman" w:hAnsi="Times New Roman" w:cs="Times New Roman"/>
          <w:sz w:val="24"/>
          <w:szCs w:val="24"/>
          <w:lang w:val="en-US"/>
        </w:rPr>
        <w:t>DNA</w:t>
      </w:r>
      <w:r w:rsidR="003C1E9E" w:rsidRPr="00251411">
        <w:rPr>
          <w:rFonts w:ascii="Times New Roman" w:hAnsi="Times New Roman" w:cs="Times New Roman"/>
          <w:sz w:val="24"/>
          <w:szCs w:val="24"/>
          <w:lang w:val="en-US"/>
        </w:rPr>
        <w:t xml:space="preserve"> quantity. </w:t>
      </w:r>
    </w:p>
    <w:p w14:paraId="25F81D7F" w14:textId="77777777" w:rsidR="003E7F71" w:rsidRPr="00251411" w:rsidRDefault="005A6602"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This association is, however,</w:t>
      </w:r>
      <w:r w:rsidR="003C1E9E" w:rsidRPr="00251411">
        <w:rPr>
          <w:rFonts w:ascii="Times New Roman" w:hAnsi="Times New Roman" w:cs="Times New Roman"/>
          <w:sz w:val="24"/>
          <w:szCs w:val="24"/>
          <w:lang w:val="en-US"/>
        </w:rPr>
        <w:t xml:space="preserve"> complicated by the slope of the regression </w:t>
      </w:r>
      <w:r w:rsidRPr="00251411">
        <w:rPr>
          <w:rFonts w:ascii="Times New Roman" w:hAnsi="Times New Roman" w:cs="Times New Roman"/>
          <w:sz w:val="24"/>
          <w:szCs w:val="24"/>
          <w:lang w:val="en-US"/>
        </w:rPr>
        <w:t>line,</w:t>
      </w:r>
      <w:r w:rsidR="00B67749" w:rsidRPr="00251411">
        <w:rPr>
          <w:rFonts w:ascii="Times New Roman" w:hAnsi="Times New Roman" w:cs="Times New Roman"/>
          <w:sz w:val="24"/>
          <w:szCs w:val="24"/>
          <w:lang w:val="en-US"/>
        </w:rPr>
        <w:t xml:space="preserve"> </w:t>
      </w:r>
      <w:r w:rsidR="00CF4725" w:rsidRPr="00251411">
        <w:rPr>
          <w:rFonts w:ascii="Times New Roman" w:hAnsi="Times New Roman" w:cs="Times New Roman"/>
          <w:sz w:val="24"/>
          <w:szCs w:val="24"/>
          <w:lang w:val="en-US"/>
        </w:rPr>
        <w:t xml:space="preserve">e.g. the fold change between proportions of input DNA and recovered reads. </w:t>
      </w:r>
      <w:r w:rsidRPr="00251411">
        <w:rPr>
          <w:rFonts w:ascii="Times New Roman" w:hAnsi="Times New Roman" w:cs="Times New Roman"/>
          <w:sz w:val="24"/>
          <w:szCs w:val="24"/>
          <w:lang w:val="en-US"/>
        </w:rPr>
        <w:t>Except</w:t>
      </w:r>
      <w:r w:rsidR="00B67749" w:rsidRPr="00251411">
        <w:rPr>
          <w:rFonts w:ascii="Times New Roman" w:hAnsi="Times New Roman" w:cs="Times New Roman"/>
          <w:sz w:val="24"/>
          <w:szCs w:val="24"/>
          <w:lang w:val="en-US"/>
        </w:rPr>
        <w:t xml:space="preserve"> for 12s, which shows a significantly increased </w:t>
      </w:r>
      <w:r w:rsidR="007F5F02" w:rsidRPr="00251411">
        <w:rPr>
          <w:rFonts w:ascii="Times New Roman" w:hAnsi="Times New Roman" w:cs="Times New Roman"/>
          <w:sz w:val="24"/>
          <w:szCs w:val="24"/>
          <w:lang w:val="en-US"/>
        </w:rPr>
        <w:t>fold change</w:t>
      </w:r>
      <w:r w:rsidR="00B67749" w:rsidRPr="00251411">
        <w:rPr>
          <w:rFonts w:ascii="Times New Roman" w:hAnsi="Times New Roman" w:cs="Times New Roman"/>
          <w:sz w:val="24"/>
          <w:szCs w:val="24"/>
          <w:lang w:val="en-US"/>
        </w:rPr>
        <w:t xml:space="preserve">, the observed slopes are not </w:t>
      </w:r>
      <w:r w:rsidRPr="00251411">
        <w:rPr>
          <w:rFonts w:ascii="Times New Roman" w:hAnsi="Times New Roman" w:cs="Times New Roman"/>
          <w:sz w:val="24"/>
          <w:szCs w:val="24"/>
          <w:lang w:val="en-US"/>
        </w:rPr>
        <w:t>significantly</w:t>
      </w:r>
      <w:r w:rsidR="002D07EB" w:rsidRPr="00251411">
        <w:rPr>
          <w:rFonts w:ascii="Times New Roman" w:hAnsi="Times New Roman" w:cs="Times New Roman"/>
          <w:sz w:val="24"/>
          <w:szCs w:val="24"/>
          <w:lang w:val="en-US"/>
        </w:rPr>
        <w:t xml:space="preserve"> different between markers</w:t>
      </w:r>
      <w:r w:rsidR="003C1E9E" w:rsidRPr="00251411">
        <w:rPr>
          <w:rFonts w:ascii="Times New Roman" w:hAnsi="Times New Roman" w:cs="Times New Roman"/>
          <w:sz w:val="24"/>
          <w:szCs w:val="24"/>
          <w:lang w:val="en-US"/>
        </w:rPr>
        <w:t xml:space="preserve">. </w:t>
      </w:r>
      <w:r w:rsidR="00CF4725" w:rsidRPr="00251411">
        <w:rPr>
          <w:rFonts w:ascii="Times New Roman" w:hAnsi="Times New Roman" w:cs="Times New Roman"/>
          <w:sz w:val="24"/>
          <w:szCs w:val="24"/>
          <w:lang w:val="en-US"/>
        </w:rPr>
        <w:t>S</w:t>
      </w:r>
      <w:r w:rsidR="00B67749" w:rsidRPr="00251411">
        <w:rPr>
          <w:rFonts w:ascii="Times New Roman" w:hAnsi="Times New Roman" w:cs="Times New Roman"/>
          <w:sz w:val="24"/>
          <w:szCs w:val="24"/>
          <w:lang w:val="en-US"/>
        </w:rPr>
        <w:t xml:space="preserve">till the </w:t>
      </w:r>
      <w:r w:rsidR="00CF4725" w:rsidRPr="00251411">
        <w:rPr>
          <w:rFonts w:ascii="Times New Roman" w:hAnsi="Times New Roman" w:cs="Times New Roman"/>
          <w:sz w:val="24"/>
          <w:szCs w:val="24"/>
          <w:lang w:val="en-US"/>
        </w:rPr>
        <w:t xml:space="preserve">fold </w:t>
      </w:r>
      <w:r w:rsidR="003E7F71" w:rsidRPr="00251411">
        <w:rPr>
          <w:rFonts w:ascii="Times New Roman" w:hAnsi="Times New Roman" w:cs="Times New Roman"/>
          <w:sz w:val="24"/>
          <w:szCs w:val="24"/>
          <w:lang w:val="en-US"/>
        </w:rPr>
        <w:t>change</w:t>
      </w:r>
      <w:r w:rsidR="00B67749" w:rsidRPr="00251411">
        <w:rPr>
          <w:rFonts w:ascii="Times New Roman" w:hAnsi="Times New Roman" w:cs="Times New Roman"/>
          <w:sz w:val="24"/>
          <w:szCs w:val="24"/>
          <w:lang w:val="en-US"/>
        </w:rPr>
        <w:t xml:space="preserve"> var</w:t>
      </w:r>
      <w:r w:rsidR="003E7F71" w:rsidRPr="00251411">
        <w:rPr>
          <w:rFonts w:ascii="Times New Roman" w:hAnsi="Times New Roman" w:cs="Times New Roman"/>
          <w:sz w:val="24"/>
          <w:szCs w:val="24"/>
          <w:lang w:val="en-US"/>
        </w:rPr>
        <w:t>ies from xxx - xxx</w:t>
      </w:r>
      <w:r w:rsidR="00B67749" w:rsidRPr="00251411">
        <w:rPr>
          <w:rFonts w:ascii="Times New Roman" w:hAnsi="Times New Roman" w:cs="Times New Roman"/>
          <w:sz w:val="24"/>
          <w:szCs w:val="24"/>
          <w:lang w:val="en-US"/>
        </w:rPr>
        <w:t xml:space="preserve"> between different taxa</w:t>
      </w:r>
      <w:r w:rsidR="003E7F71" w:rsidRPr="00251411">
        <w:rPr>
          <w:rFonts w:ascii="Times New Roman" w:hAnsi="Times New Roman" w:cs="Times New Roman"/>
          <w:sz w:val="24"/>
          <w:szCs w:val="24"/>
          <w:lang w:val="en-US"/>
        </w:rPr>
        <w:t>. T</w:t>
      </w:r>
      <w:r w:rsidR="00B67749" w:rsidRPr="00251411">
        <w:rPr>
          <w:rFonts w:ascii="Times New Roman" w:hAnsi="Times New Roman" w:cs="Times New Roman"/>
          <w:sz w:val="24"/>
          <w:szCs w:val="24"/>
          <w:lang w:val="en-US"/>
        </w:rPr>
        <w:t xml:space="preserve">his corresponds to </w:t>
      </w:r>
      <w:r w:rsidR="00CF4725" w:rsidRPr="00251411">
        <w:rPr>
          <w:rFonts w:ascii="Times New Roman" w:hAnsi="Times New Roman" w:cs="Times New Roman"/>
          <w:sz w:val="24"/>
          <w:szCs w:val="24"/>
          <w:lang w:val="en-US"/>
        </w:rPr>
        <w:t xml:space="preserve">up to </w:t>
      </w:r>
      <w:r w:rsidR="00B67749" w:rsidRPr="00251411">
        <w:rPr>
          <w:rFonts w:ascii="Times New Roman" w:hAnsi="Times New Roman" w:cs="Times New Roman"/>
          <w:sz w:val="24"/>
          <w:szCs w:val="24"/>
          <w:lang w:val="en-US"/>
        </w:rPr>
        <w:t xml:space="preserve">two orders of magnitude </w:t>
      </w:r>
      <w:r w:rsidRPr="00251411">
        <w:rPr>
          <w:rFonts w:ascii="Times New Roman" w:hAnsi="Times New Roman" w:cs="Times New Roman"/>
          <w:sz w:val="24"/>
          <w:szCs w:val="24"/>
          <w:lang w:val="en-US"/>
        </w:rPr>
        <w:t>differences</w:t>
      </w:r>
      <w:r w:rsidR="00B67749" w:rsidRPr="00251411">
        <w:rPr>
          <w:rFonts w:ascii="Times New Roman" w:hAnsi="Times New Roman" w:cs="Times New Roman"/>
          <w:sz w:val="24"/>
          <w:szCs w:val="24"/>
          <w:lang w:val="en-US"/>
        </w:rPr>
        <w:t xml:space="preserve"> in the fold change difference between the amount of </w:t>
      </w:r>
      <w:r w:rsidRPr="00251411">
        <w:rPr>
          <w:rFonts w:ascii="Times New Roman" w:hAnsi="Times New Roman" w:cs="Times New Roman"/>
          <w:sz w:val="24"/>
          <w:szCs w:val="24"/>
          <w:lang w:val="en-US"/>
        </w:rPr>
        <w:t>input DNA</w:t>
      </w:r>
      <w:r w:rsidR="00B67749" w:rsidRPr="00251411">
        <w:rPr>
          <w:rFonts w:ascii="Times New Roman" w:hAnsi="Times New Roman" w:cs="Times New Roman"/>
          <w:sz w:val="24"/>
          <w:szCs w:val="24"/>
          <w:lang w:val="en-US"/>
        </w:rPr>
        <w:t xml:space="preserve"> and the </w:t>
      </w:r>
      <w:r w:rsidRPr="00251411">
        <w:rPr>
          <w:rFonts w:ascii="Times New Roman" w:hAnsi="Times New Roman" w:cs="Times New Roman"/>
          <w:sz w:val="24"/>
          <w:szCs w:val="24"/>
          <w:lang w:val="en-US"/>
        </w:rPr>
        <w:t>proportion</w:t>
      </w:r>
      <w:r w:rsidR="00B67749" w:rsidRPr="00251411">
        <w:rPr>
          <w:rFonts w:ascii="Times New Roman" w:hAnsi="Times New Roman" w:cs="Times New Roman"/>
          <w:sz w:val="24"/>
          <w:szCs w:val="24"/>
          <w:lang w:val="en-US"/>
        </w:rPr>
        <w:t xml:space="preserve"> of reco</w:t>
      </w:r>
      <w:r w:rsidR="00140636" w:rsidRPr="00251411">
        <w:rPr>
          <w:rFonts w:ascii="Times New Roman" w:hAnsi="Times New Roman" w:cs="Times New Roman"/>
          <w:sz w:val="24"/>
          <w:szCs w:val="24"/>
          <w:lang w:val="en-US"/>
        </w:rPr>
        <w:t>vered reads for different taxa</w:t>
      </w:r>
      <w:r w:rsidR="003E7F71" w:rsidRPr="00251411">
        <w:rPr>
          <w:rFonts w:ascii="Times New Roman" w:hAnsi="Times New Roman" w:cs="Times New Roman"/>
          <w:sz w:val="24"/>
          <w:szCs w:val="24"/>
          <w:lang w:val="en-US"/>
        </w:rPr>
        <w:t>. S</w:t>
      </w:r>
      <w:r w:rsidR="00CF4725" w:rsidRPr="00251411">
        <w:rPr>
          <w:rFonts w:ascii="Times New Roman" w:hAnsi="Times New Roman" w:cs="Times New Roman"/>
          <w:sz w:val="24"/>
          <w:szCs w:val="24"/>
          <w:lang w:val="en-US"/>
        </w:rPr>
        <w:t>uch outliers are rare and the fold change generally is comparable between taxa and its mean fairly narrowly distributed around 0-fold change</w:t>
      </w:r>
      <w:r w:rsidR="003E7F71" w:rsidRPr="00251411">
        <w:rPr>
          <w:rFonts w:ascii="Times New Roman" w:hAnsi="Times New Roman" w:cs="Times New Roman"/>
          <w:sz w:val="24"/>
          <w:szCs w:val="24"/>
          <w:lang w:val="en-US"/>
        </w:rPr>
        <w:t>.</w:t>
      </w:r>
      <w:r w:rsidR="00CF4725" w:rsidRPr="00251411">
        <w:rPr>
          <w:rFonts w:ascii="Times New Roman" w:hAnsi="Times New Roman" w:cs="Times New Roman"/>
          <w:sz w:val="24"/>
          <w:szCs w:val="24"/>
          <w:lang w:val="en-US"/>
        </w:rPr>
        <w:t xml:space="preserve"> </w:t>
      </w:r>
      <w:r w:rsidR="003E7F71" w:rsidRPr="00251411">
        <w:rPr>
          <w:rFonts w:ascii="Times New Roman" w:hAnsi="Times New Roman" w:cs="Times New Roman"/>
          <w:sz w:val="24"/>
          <w:szCs w:val="24"/>
          <w:lang w:val="en-US"/>
        </w:rPr>
        <w:t xml:space="preserve">Nevertheless, even small differences in fold-change make an accurate prediction of the relative abundance of taxa in a community sample impossible. </w:t>
      </w:r>
    </w:p>
    <w:p w14:paraId="3A9066B5" w14:textId="77777777" w:rsidR="001F3FC2" w:rsidRPr="00251411" w:rsidRDefault="003E7F71" w:rsidP="00251411">
      <w:pPr>
        <w:spacing w:line="480" w:lineRule="auto"/>
        <w:jc w:val="both"/>
        <w:rPr>
          <w:rFonts w:ascii="Times New Roman" w:hAnsi="Times New Roman" w:cs="Times New Roman"/>
          <w:sz w:val="24"/>
          <w:szCs w:val="24"/>
          <w:lang w:val="en-US"/>
        </w:rPr>
      </w:pPr>
      <w:commentRangeStart w:id="2"/>
      <w:r w:rsidRPr="00251411">
        <w:rPr>
          <w:rFonts w:ascii="Times New Roman" w:hAnsi="Times New Roman" w:cs="Times New Roman"/>
          <w:sz w:val="24"/>
          <w:szCs w:val="24"/>
          <w:lang w:val="en-US"/>
        </w:rPr>
        <w:t>A</w:t>
      </w:r>
      <w:r w:rsidR="00560A5F" w:rsidRPr="00251411">
        <w:rPr>
          <w:rFonts w:ascii="Times New Roman" w:hAnsi="Times New Roman" w:cs="Times New Roman"/>
          <w:sz w:val="24"/>
          <w:szCs w:val="24"/>
          <w:lang w:val="en-US"/>
        </w:rPr>
        <w:t xml:space="preserve"> potential reme</w:t>
      </w:r>
      <w:r w:rsidR="00CB39C9" w:rsidRPr="00251411">
        <w:rPr>
          <w:rFonts w:ascii="Times New Roman" w:hAnsi="Times New Roman" w:cs="Times New Roman"/>
          <w:sz w:val="24"/>
          <w:szCs w:val="24"/>
          <w:lang w:val="en-US"/>
        </w:rPr>
        <w:t xml:space="preserve">dy </w:t>
      </w:r>
      <w:r w:rsidR="00560A5F" w:rsidRPr="00251411">
        <w:rPr>
          <w:rFonts w:ascii="Times New Roman" w:hAnsi="Times New Roman" w:cs="Times New Roman"/>
          <w:sz w:val="24"/>
          <w:szCs w:val="24"/>
          <w:lang w:val="en-US"/>
        </w:rPr>
        <w:t>provi</w:t>
      </w:r>
      <w:r w:rsidR="00CB39C9" w:rsidRPr="00251411">
        <w:rPr>
          <w:rFonts w:ascii="Times New Roman" w:hAnsi="Times New Roman" w:cs="Times New Roman"/>
          <w:sz w:val="24"/>
          <w:szCs w:val="24"/>
          <w:lang w:val="en-US"/>
        </w:rPr>
        <w:t>ded by</w:t>
      </w:r>
      <w:r w:rsidR="00560A5F" w:rsidRPr="00251411">
        <w:rPr>
          <w:rFonts w:ascii="Times New Roman" w:hAnsi="Times New Roman" w:cs="Times New Roman"/>
          <w:sz w:val="24"/>
          <w:szCs w:val="24"/>
          <w:lang w:val="en-US"/>
        </w:rPr>
        <w:t xml:space="preserve"> an analysis of higher taxonomic groups separately.</w:t>
      </w:r>
      <w:r w:rsidR="006D2E40" w:rsidRPr="00251411">
        <w:rPr>
          <w:rFonts w:ascii="Times New Roman" w:hAnsi="Times New Roman" w:cs="Times New Roman"/>
          <w:sz w:val="24"/>
          <w:szCs w:val="24"/>
          <w:lang w:val="en-US"/>
        </w:rPr>
        <w:t xml:space="preserve"> </w:t>
      </w:r>
      <w:r w:rsidR="00560A5F" w:rsidRPr="00251411">
        <w:rPr>
          <w:rFonts w:ascii="Times New Roman" w:hAnsi="Times New Roman" w:cs="Times New Roman"/>
          <w:sz w:val="24"/>
          <w:szCs w:val="24"/>
          <w:lang w:val="en-US"/>
        </w:rPr>
        <w:t xml:space="preserve">Our data </w:t>
      </w:r>
      <w:r w:rsidR="006D2E40" w:rsidRPr="00251411">
        <w:rPr>
          <w:rFonts w:ascii="Times New Roman" w:hAnsi="Times New Roman" w:cs="Times New Roman"/>
          <w:sz w:val="24"/>
          <w:szCs w:val="24"/>
          <w:lang w:val="en-US"/>
        </w:rPr>
        <w:t>s</w:t>
      </w:r>
      <w:r w:rsidR="00560A5F" w:rsidRPr="00251411">
        <w:rPr>
          <w:rFonts w:ascii="Times New Roman" w:hAnsi="Times New Roman" w:cs="Times New Roman"/>
          <w:sz w:val="24"/>
          <w:szCs w:val="24"/>
          <w:lang w:val="en-US"/>
        </w:rPr>
        <w:t xml:space="preserve">uggests, that the coefficient of determination as well as the fold change </w:t>
      </w:r>
      <w:r w:rsidR="006D2E40" w:rsidRPr="00251411">
        <w:rPr>
          <w:rFonts w:ascii="Times New Roman" w:hAnsi="Times New Roman" w:cs="Times New Roman"/>
          <w:sz w:val="24"/>
          <w:szCs w:val="24"/>
          <w:lang w:val="en-US"/>
        </w:rPr>
        <w:t>are comparable within higher</w:t>
      </w:r>
      <w:r w:rsidRPr="00251411">
        <w:rPr>
          <w:rFonts w:ascii="Times New Roman" w:hAnsi="Times New Roman" w:cs="Times New Roman"/>
          <w:sz w:val="24"/>
          <w:szCs w:val="24"/>
          <w:lang w:val="en-US"/>
        </w:rPr>
        <w:t xml:space="preserve"> taxonomic groups, e.g. orders.</w:t>
      </w:r>
      <w:r w:rsidR="00560A5F" w:rsidRPr="00251411">
        <w:rPr>
          <w:rFonts w:ascii="Times New Roman" w:hAnsi="Times New Roman" w:cs="Times New Roman"/>
          <w:sz w:val="24"/>
          <w:szCs w:val="24"/>
          <w:lang w:val="en-US"/>
        </w:rPr>
        <w:t xml:space="preserve"> </w:t>
      </w:r>
      <w:r w:rsidR="006D2E40" w:rsidRPr="00251411">
        <w:rPr>
          <w:rFonts w:ascii="Times New Roman" w:hAnsi="Times New Roman" w:cs="Times New Roman"/>
          <w:sz w:val="24"/>
          <w:szCs w:val="24"/>
          <w:lang w:val="en-US"/>
        </w:rPr>
        <w:t xml:space="preserve">Moreover, different markers perform differentially well in separate orders. By analyzing separate orders, the variation of fold change </w:t>
      </w:r>
      <w:r w:rsidR="007C31A8" w:rsidRPr="00251411">
        <w:rPr>
          <w:rFonts w:ascii="Times New Roman" w:hAnsi="Times New Roman" w:cs="Times New Roman"/>
          <w:sz w:val="24"/>
          <w:szCs w:val="24"/>
          <w:lang w:val="en-US"/>
        </w:rPr>
        <w:t>between amount of</w:t>
      </w:r>
      <w:r w:rsidR="006D2E40" w:rsidRPr="00251411">
        <w:rPr>
          <w:rFonts w:ascii="Times New Roman" w:hAnsi="Times New Roman" w:cs="Times New Roman"/>
          <w:sz w:val="24"/>
          <w:szCs w:val="24"/>
          <w:lang w:val="en-US"/>
        </w:rPr>
        <w:t xml:space="preserve"> input DNA and recovered reads can be reduced considerably. </w:t>
      </w:r>
      <w:r w:rsidR="007C31A8" w:rsidRPr="00251411">
        <w:rPr>
          <w:rFonts w:ascii="Times New Roman" w:hAnsi="Times New Roman" w:cs="Times New Roman"/>
          <w:sz w:val="24"/>
          <w:szCs w:val="24"/>
          <w:lang w:val="en-US"/>
        </w:rPr>
        <w:t xml:space="preserve">Diptera. e.g. generally show a higher fold change than other taxa, but within the group the variation of fold change is narrow. </w:t>
      </w:r>
      <w:commentRangeEnd w:id="2"/>
      <w:r w:rsidR="00B14DF3" w:rsidRPr="00251411">
        <w:rPr>
          <w:rStyle w:val="CommentReference"/>
        </w:rPr>
        <w:commentReference w:id="2"/>
      </w:r>
    </w:p>
    <w:p w14:paraId="50C0F1DD" w14:textId="77777777" w:rsidR="00BD3747" w:rsidRPr="00251411" w:rsidRDefault="00BD3747" w:rsidP="00251411">
      <w:pPr>
        <w:pStyle w:val="Caption"/>
        <w:keepNext/>
        <w:spacing w:line="480" w:lineRule="auto"/>
      </w:pPr>
      <w:r w:rsidRPr="00251411">
        <w:t xml:space="preserve">Tabelle </w:t>
      </w:r>
      <w:fldSimple w:instr=" SEQ Tabelle \* ARABIC ">
        <w:r w:rsidRPr="00251411">
          <w:rPr>
            <w:noProof/>
          </w:rPr>
          <w:t>2</w:t>
        </w:r>
      </w:fldSimple>
    </w:p>
    <w:tbl>
      <w:tblPr>
        <w:tblStyle w:val="TableGrid"/>
        <w:tblW w:w="0" w:type="auto"/>
        <w:jc w:val="center"/>
        <w:tblLook w:val="04A0" w:firstRow="1" w:lastRow="0" w:firstColumn="1" w:lastColumn="0" w:noHBand="0" w:noVBand="1"/>
      </w:tblPr>
      <w:tblGrid>
        <w:gridCol w:w="1101"/>
        <w:gridCol w:w="2197"/>
        <w:gridCol w:w="1440"/>
        <w:gridCol w:w="2254"/>
        <w:gridCol w:w="1836"/>
      </w:tblGrid>
      <w:tr w:rsidR="00CB2D63" w:rsidRPr="00251411" w14:paraId="6E435CB5" w14:textId="77777777" w:rsidTr="00BD3747">
        <w:trPr>
          <w:trHeight w:val="481"/>
          <w:jc w:val="center"/>
        </w:trPr>
        <w:tc>
          <w:tcPr>
            <w:tcW w:w="1101" w:type="dxa"/>
          </w:tcPr>
          <w:p w14:paraId="150B8966" w14:textId="77777777" w:rsidR="00CB2D63" w:rsidRPr="00251411" w:rsidRDefault="00CB2D63" w:rsidP="00251411">
            <w:pPr>
              <w:spacing w:line="480" w:lineRule="auto"/>
              <w:jc w:val="center"/>
              <w:rPr>
                <w:rFonts w:cs="Times New Roman"/>
                <w:b/>
                <w:sz w:val="18"/>
                <w:szCs w:val="18"/>
                <w:lang w:val="en-US"/>
              </w:rPr>
            </w:pPr>
            <w:r w:rsidRPr="00251411">
              <w:rPr>
                <w:rFonts w:cs="Times New Roman"/>
                <w:b/>
                <w:sz w:val="18"/>
                <w:szCs w:val="18"/>
                <w:lang w:val="en-US"/>
              </w:rPr>
              <w:t>Taxon</w:t>
            </w:r>
          </w:p>
        </w:tc>
        <w:tc>
          <w:tcPr>
            <w:tcW w:w="2197" w:type="dxa"/>
          </w:tcPr>
          <w:p w14:paraId="76A2C6EC" w14:textId="77777777" w:rsidR="00BD3747" w:rsidRPr="00251411" w:rsidRDefault="00CB2D63" w:rsidP="00251411">
            <w:pPr>
              <w:spacing w:line="480" w:lineRule="auto"/>
              <w:jc w:val="center"/>
              <w:rPr>
                <w:rFonts w:eastAsia="Times New Roman" w:cs="Times New Roman"/>
                <w:b/>
                <w:color w:val="000000"/>
                <w:sz w:val="18"/>
                <w:szCs w:val="18"/>
              </w:rPr>
            </w:pPr>
            <w:proofErr w:type="spellStart"/>
            <w:r w:rsidRPr="00251411">
              <w:rPr>
                <w:rFonts w:eastAsia="Times New Roman" w:cs="Times New Roman"/>
                <w:b/>
                <w:color w:val="000000"/>
                <w:sz w:val="18"/>
                <w:szCs w:val="18"/>
              </w:rPr>
              <w:t>mlCOIintF</w:t>
            </w:r>
            <w:proofErr w:type="spellEnd"/>
            <w:r w:rsidRPr="00251411">
              <w:rPr>
                <w:rFonts w:cs="Times New Roman"/>
                <w:b/>
                <w:sz w:val="18"/>
                <w:szCs w:val="18"/>
                <w:lang w:val="en-US"/>
              </w:rPr>
              <w:t>/</w:t>
            </w:r>
          </w:p>
          <w:p w14:paraId="5DB646C4" w14:textId="77777777" w:rsidR="00CB2D63" w:rsidRPr="00251411" w:rsidRDefault="00CB2D63" w:rsidP="00251411">
            <w:pPr>
              <w:spacing w:line="480" w:lineRule="auto"/>
              <w:jc w:val="center"/>
              <w:rPr>
                <w:rFonts w:cs="Times New Roman"/>
                <w:b/>
                <w:sz w:val="18"/>
                <w:szCs w:val="18"/>
                <w:lang w:val="en-US"/>
              </w:rPr>
            </w:pPr>
            <w:proofErr w:type="spellStart"/>
            <w:r w:rsidRPr="00251411">
              <w:rPr>
                <w:rFonts w:eastAsia="Times New Roman" w:cs="Times New Roman"/>
                <w:b/>
                <w:color w:val="000000"/>
                <w:sz w:val="18"/>
                <w:szCs w:val="18"/>
              </w:rPr>
              <w:t>Fol</w:t>
            </w:r>
            <w:proofErr w:type="spellEnd"/>
            <w:r w:rsidRPr="00251411">
              <w:rPr>
                <w:rFonts w:eastAsia="Times New Roman" w:cs="Times New Roman"/>
                <w:b/>
                <w:color w:val="000000"/>
                <w:sz w:val="18"/>
                <w:szCs w:val="18"/>
              </w:rPr>
              <w:t>-degen-</w:t>
            </w:r>
            <w:proofErr w:type="spellStart"/>
            <w:r w:rsidRPr="00251411">
              <w:rPr>
                <w:rFonts w:eastAsia="Times New Roman" w:cs="Times New Roman"/>
                <w:b/>
                <w:color w:val="000000"/>
                <w:sz w:val="18"/>
                <w:szCs w:val="18"/>
              </w:rPr>
              <w:t>rev</w:t>
            </w:r>
            <w:proofErr w:type="spellEnd"/>
          </w:p>
        </w:tc>
        <w:tc>
          <w:tcPr>
            <w:tcW w:w="1440" w:type="dxa"/>
          </w:tcPr>
          <w:p w14:paraId="34C5B0EF" w14:textId="77777777" w:rsidR="00BD3747" w:rsidRPr="00251411" w:rsidRDefault="00CB2D63" w:rsidP="00251411">
            <w:pPr>
              <w:spacing w:line="480" w:lineRule="auto"/>
              <w:jc w:val="center"/>
              <w:rPr>
                <w:rFonts w:eastAsia="Times New Roman" w:cs="Times New Roman"/>
                <w:b/>
                <w:color w:val="000000"/>
                <w:sz w:val="18"/>
                <w:szCs w:val="18"/>
              </w:rPr>
            </w:pPr>
            <w:proofErr w:type="spellStart"/>
            <w:r w:rsidRPr="00251411">
              <w:rPr>
                <w:rFonts w:eastAsia="Times New Roman" w:cs="Times New Roman"/>
                <w:b/>
                <w:color w:val="000000"/>
                <w:sz w:val="18"/>
                <w:szCs w:val="18"/>
              </w:rPr>
              <w:t>mlCOIintF</w:t>
            </w:r>
            <w:proofErr w:type="spellEnd"/>
            <w:r w:rsidRPr="00251411">
              <w:rPr>
                <w:rFonts w:cs="Times New Roman"/>
                <w:b/>
                <w:sz w:val="18"/>
                <w:szCs w:val="18"/>
                <w:lang w:val="en-US"/>
              </w:rPr>
              <w:t>/</w:t>
            </w:r>
          </w:p>
          <w:p w14:paraId="1F219199" w14:textId="77777777" w:rsidR="00CB2D63" w:rsidRPr="00251411" w:rsidRDefault="00CB2D63" w:rsidP="00251411">
            <w:pPr>
              <w:spacing w:line="480" w:lineRule="auto"/>
              <w:jc w:val="center"/>
              <w:rPr>
                <w:rFonts w:cs="Times New Roman"/>
                <w:b/>
                <w:sz w:val="18"/>
                <w:szCs w:val="18"/>
                <w:lang w:val="en-US"/>
              </w:rPr>
            </w:pPr>
            <w:proofErr w:type="spellStart"/>
            <w:r w:rsidRPr="00251411">
              <w:rPr>
                <w:rFonts w:eastAsia="Times New Roman" w:cs="Times New Roman"/>
                <w:b/>
                <w:color w:val="000000"/>
                <w:sz w:val="18"/>
                <w:szCs w:val="18"/>
              </w:rPr>
              <w:t>Fol</w:t>
            </w:r>
            <w:proofErr w:type="spellEnd"/>
            <w:r w:rsidRPr="00251411">
              <w:rPr>
                <w:rFonts w:eastAsia="Times New Roman" w:cs="Times New Roman"/>
                <w:b/>
                <w:color w:val="000000"/>
                <w:sz w:val="18"/>
                <w:szCs w:val="18"/>
              </w:rPr>
              <w:t>-degen-</w:t>
            </w:r>
            <w:proofErr w:type="spellStart"/>
            <w:r w:rsidRPr="00251411">
              <w:rPr>
                <w:rFonts w:eastAsia="Times New Roman" w:cs="Times New Roman"/>
                <w:b/>
                <w:color w:val="000000"/>
                <w:sz w:val="18"/>
                <w:szCs w:val="18"/>
              </w:rPr>
              <w:t>rev</w:t>
            </w:r>
            <w:proofErr w:type="spellEnd"/>
          </w:p>
        </w:tc>
        <w:tc>
          <w:tcPr>
            <w:tcW w:w="2254" w:type="dxa"/>
          </w:tcPr>
          <w:p w14:paraId="65DB6D13" w14:textId="77777777" w:rsidR="00BD3747" w:rsidRPr="00251411" w:rsidRDefault="00CB2D63" w:rsidP="00251411">
            <w:pPr>
              <w:spacing w:line="480" w:lineRule="auto"/>
              <w:jc w:val="center"/>
              <w:rPr>
                <w:b/>
                <w:color w:val="000000"/>
                <w:sz w:val="18"/>
                <w:szCs w:val="18"/>
              </w:rPr>
            </w:pPr>
            <w:r w:rsidRPr="00251411">
              <w:rPr>
                <w:b/>
                <w:color w:val="000000"/>
                <w:sz w:val="18"/>
                <w:szCs w:val="18"/>
              </w:rPr>
              <w:t>SSU_FO4/</w:t>
            </w:r>
          </w:p>
          <w:p w14:paraId="2DF47195" w14:textId="77777777" w:rsidR="00CB2D63" w:rsidRPr="00251411" w:rsidRDefault="00CB2D63" w:rsidP="00251411">
            <w:pPr>
              <w:spacing w:line="480" w:lineRule="auto"/>
              <w:jc w:val="center"/>
              <w:rPr>
                <w:rFonts w:cs="Times New Roman"/>
                <w:b/>
                <w:sz w:val="18"/>
                <w:szCs w:val="18"/>
                <w:lang w:val="en-US"/>
              </w:rPr>
            </w:pPr>
            <w:r w:rsidRPr="00251411">
              <w:rPr>
                <w:b/>
                <w:color w:val="000000"/>
                <w:sz w:val="18"/>
                <w:szCs w:val="18"/>
              </w:rPr>
              <w:t>SSU_R22</w:t>
            </w:r>
          </w:p>
        </w:tc>
        <w:tc>
          <w:tcPr>
            <w:tcW w:w="1836" w:type="dxa"/>
          </w:tcPr>
          <w:p w14:paraId="15B62863" w14:textId="77777777" w:rsidR="00BD3747" w:rsidRPr="00251411" w:rsidRDefault="00CB2D63" w:rsidP="00251411">
            <w:pPr>
              <w:spacing w:line="480" w:lineRule="auto"/>
              <w:jc w:val="center"/>
              <w:rPr>
                <w:b/>
                <w:color w:val="000000"/>
                <w:sz w:val="18"/>
                <w:szCs w:val="18"/>
              </w:rPr>
            </w:pPr>
            <w:r w:rsidRPr="00251411">
              <w:rPr>
                <w:b/>
                <w:color w:val="000000"/>
                <w:sz w:val="18"/>
                <w:szCs w:val="18"/>
              </w:rPr>
              <w:t>SSU_FO4/</w:t>
            </w:r>
          </w:p>
          <w:p w14:paraId="08382DD8" w14:textId="77777777" w:rsidR="00CB2D63" w:rsidRPr="00251411" w:rsidRDefault="00CB2D63" w:rsidP="00251411">
            <w:pPr>
              <w:spacing w:line="480" w:lineRule="auto"/>
              <w:jc w:val="center"/>
              <w:rPr>
                <w:rFonts w:cs="Times New Roman"/>
                <w:b/>
                <w:sz w:val="18"/>
                <w:szCs w:val="18"/>
                <w:lang w:val="en-US"/>
              </w:rPr>
            </w:pPr>
            <w:r w:rsidRPr="00251411">
              <w:rPr>
                <w:b/>
                <w:color w:val="000000"/>
                <w:sz w:val="18"/>
                <w:szCs w:val="18"/>
              </w:rPr>
              <w:t>SSU_R22</w:t>
            </w:r>
          </w:p>
        </w:tc>
      </w:tr>
      <w:tr w:rsidR="00CB2D63" w:rsidRPr="00251411" w14:paraId="45A07C88" w14:textId="77777777" w:rsidTr="00BD3747">
        <w:trPr>
          <w:trHeight w:val="406"/>
          <w:jc w:val="center"/>
        </w:trPr>
        <w:tc>
          <w:tcPr>
            <w:tcW w:w="1101" w:type="dxa"/>
          </w:tcPr>
          <w:p w14:paraId="29487029" w14:textId="77777777" w:rsidR="00CB2D63" w:rsidRPr="00251411" w:rsidRDefault="00CB2D63" w:rsidP="00251411">
            <w:pPr>
              <w:spacing w:line="480" w:lineRule="auto"/>
              <w:jc w:val="center"/>
              <w:rPr>
                <w:rFonts w:eastAsia="Times New Roman" w:cs="Times New Roman"/>
                <w:color w:val="000000"/>
                <w:sz w:val="18"/>
                <w:szCs w:val="18"/>
              </w:rPr>
            </w:pPr>
            <w:proofErr w:type="spellStart"/>
            <w:r w:rsidRPr="00251411">
              <w:rPr>
                <w:rFonts w:eastAsia="Times New Roman" w:cs="Times New Roman"/>
                <w:color w:val="000000"/>
                <w:sz w:val="18"/>
                <w:szCs w:val="18"/>
              </w:rPr>
              <w:t>Araneae</w:t>
            </w:r>
            <w:proofErr w:type="spellEnd"/>
          </w:p>
        </w:tc>
        <w:tc>
          <w:tcPr>
            <w:tcW w:w="2197" w:type="dxa"/>
          </w:tcPr>
          <w:p w14:paraId="5B0397A8" w14:textId="77777777" w:rsidR="00CB2D63" w:rsidRPr="00251411" w:rsidRDefault="00BD3747" w:rsidP="00251411">
            <w:pPr>
              <w:spacing w:line="480" w:lineRule="auto"/>
              <w:jc w:val="center"/>
              <w:rPr>
                <w:rFonts w:cs="Times New Roman"/>
                <w:sz w:val="18"/>
                <w:szCs w:val="18"/>
                <w:lang w:val="en-US"/>
              </w:rPr>
            </w:pPr>
            <w:r w:rsidRPr="00251411">
              <w:rPr>
                <w:rFonts w:eastAsia="Times New Roman" w:cs="Times New Roman"/>
                <w:color w:val="000000"/>
                <w:sz w:val="18"/>
                <w:szCs w:val="18"/>
                <w:lang w:val="en-US"/>
              </w:rPr>
              <w:t xml:space="preserve">0.767 </w:t>
            </w:r>
            <w:r w:rsidRPr="00251411">
              <w:rPr>
                <w:rFonts w:cs="Times New Roman"/>
                <w:sz w:val="18"/>
                <w:szCs w:val="18"/>
                <w:lang w:val="en-US"/>
              </w:rPr>
              <w:t xml:space="preserve">± </w:t>
            </w:r>
            <w:r w:rsidRPr="00251411">
              <w:rPr>
                <w:rFonts w:eastAsia="Times New Roman" w:cs="Times New Roman"/>
                <w:color w:val="000000"/>
                <w:sz w:val="18"/>
                <w:szCs w:val="18"/>
                <w:lang w:val="en-US"/>
              </w:rPr>
              <w:t>0.183</w:t>
            </w:r>
          </w:p>
        </w:tc>
        <w:tc>
          <w:tcPr>
            <w:tcW w:w="1440" w:type="dxa"/>
          </w:tcPr>
          <w:p w14:paraId="33DDDBCD" w14:textId="77777777" w:rsidR="00CB2D63" w:rsidRPr="00251411" w:rsidRDefault="00BD3747" w:rsidP="00251411">
            <w:pPr>
              <w:spacing w:line="480" w:lineRule="auto"/>
              <w:jc w:val="center"/>
              <w:rPr>
                <w:rFonts w:cs="Times New Roman"/>
                <w:sz w:val="18"/>
                <w:szCs w:val="18"/>
                <w:lang w:val="en-US"/>
              </w:rPr>
            </w:pPr>
            <w:r w:rsidRPr="00251411">
              <w:rPr>
                <w:rFonts w:eastAsia="Times New Roman" w:cs="Times New Roman"/>
                <w:color w:val="000000"/>
                <w:sz w:val="18"/>
                <w:szCs w:val="18"/>
                <w:lang w:val="en-US"/>
              </w:rPr>
              <w:t xml:space="preserve">0.271 </w:t>
            </w:r>
            <w:r w:rsidRPr="00251411">
              <w:rPr>
                <w:rFonts w:cs="Times New Roman"/>
                <w:sz w:val="18"/>
                <w:szCs w:val="18"/>
                <w:lang w:val="en-US"/>
              </w:rPr>
              <w:t xml:space="preserve">± </w:t>
            </w:r>
            <w:r w:rsidRPr="00251411">
              <w:rPr>
                <w:rFonts w:eastAsia="Times New Roman" w:cs="Times New Roman"/>
                <w:color w:val="000000"/>
                <w:sz w:val="18"/>
                <w:szCs w:val="18"/>
                <w:lang w:val="en-US"/>
              </w:rPr>
              <w:t>0.184</w:t>
            </w:r>
          </w:p>
        </w:tc>
        <w:tc>
          <w:tcPr>
            <w:tcW w:w="2254" w:type="dxa"/>
          </w:tcPr>
          <w:p w14:paraId="61462428" w14:textId="77777777" w:rsidR="00CB2D63" w:rsidRPr="00251411" w:rsidRDefault="00BD3747" w:rsidP="00251411">
            <w:pPr>
              <w:spacing w:line="480" w:lineRule="auto"/>
              <w:jc w:val="center"/>
              <w:rPr>
                <w:rFonts w:cs="Times New Roman"/>
                <w:sz w:val="18"/>
                <w:szCs w:val="18"/>
                <w:lang w:val="en-US"/>
              </w:rPr>
            </w:pPr>
            <w:r w:rsidRPr="00251411">
              <w:rPr>
                <w:rFonts w:eastAsia="Times New Roman" w:cs="Times New Roman"/>
                <w:color w:val="000000"/>
                <w:sz w:val="18"/>
                <w:szCs w:val="18"/>
                <w:lang w:val="en-US"/>
              </w:rPr>
              <w:t xml:space="preserve">0.843 </w:t>
            </w:r>
            <w:r w:rsidRPr="00251411">
              <w:rPr>
                <w:rFonts w:cs="Times New Roman"/>
                <w:sz w:val="18"/>
                <w:szCs w:val="18"/>
                <w:lang w:val="en-US"/>
              </w:rPr>
              <w:t xml:space="preserve">± </w:t>
            </w:r>
            <w:r w:rsidRPr="00251411">
              <w:rPr>
                <w:rFonts w:eastAsia="Times New Roman" w:cs="Times New Roman"/>
                <w:color w:val="000000"/>
                <w:sz w:val="18"/>
                <w:szCs w:val="18"/>
                <w:lang w:val="en-US"/>
              </w:rPr>
              <w:t>0.099</w:t>
            </w:r>
          </w:p>
        </w:tc>
        <w:tc>
          <w:tcPr>
            <w:tcW w:w="1836" w:type="dxa"/>
          </w:tcPr>
          <w:p w14:paraId="5AE606D2" w14:textId="77777777" w:rsidR="00CB2D63" w:rsidRPr="00251411" w:rsidRDefault="00BD3747" w:rsidP="00251411">
            <w:pPr>
              <w:spacing w:line="480" w:lineRule="auto"/>
              <w:jc w:val="center"/>
              <w:rPr>
                <w:rFonts w:cs="Times New Roman"/>
                <w:sz w:val="18"/>
                <w:szCs w:val="18"/>
                <w:lang w:val="en-US"/>
              </w:rPr>
            </w:pPr>
            <w:r w:rsidRPr="00251411">
              <w:rPr>
                <w:rFonts w:eastAsia="Times New Roman" w:cs="Times New Roman"/>
                <w:color w:val="000000"/>
                <w:sz w:val="18"/>
                <w:szCs w:val="18"/>
                <w:lang w:val="en-US"/>
              </w:rPr>
              <w:t xml:space="preserve">0.945 </w:t>
            </w:r>
            <w:r w:rsidRPr="00251411">
              <w:rPr>
                <w:rFonts w:cs="Times New Roman"/>
                <w:sz w:val="18"/>
                <w:szCs w:val="18"/>
                <w:lang w:val="en-US"/>
              </w:rPr>
              <w:t xml:space="preserve">± </w:t>
            </w:r>
            <w:r w:rsidRPr="00251411">
              <w:rPr>
                <w:rFonts w:eastAsia="Times New Roman" w:cs="Times New Roman"/>
                <w:color w:val="000000"/>
                <w:sz w:val="18"/>
                <w:szCs w:val="18"/>
                <w:lang w:val="en-US"/>
              </w:rPr>
              <w:t>0.842</w:t>
            </w:r>
          </w:p>
        </w:tc>
      </w:tr>
      <w:tr w:rsidR="00CB2D63" w:rsidRPr="00251411" w14:paraId="29DB5435" w14:textId="77777777" w:rsidTr="00BD3747">
        <w:trPr>
          <w:trHeight w:val="406"/>
          <w:jc w:val="center"/>
        </w:trPr>
        <w:tc>
          <w:tcPr>
            <w:tcW w:w="1101" w:type="dxa"/>
          </w:tcPr>
          <w:p w14:paraId="38D649DE" w14:textId="77777777" w:rsidR="00CB2D63" w:rsidRPr="00251411" w:rsidRDefault="00CB2D63" w:rsidP="00251411">
            <w:pPr>
              <w:spacing w:line="480" w:lineRule="auto"/>
              <w:jc w:val="center"/>
              <w:rPr>
                <w:rFonts w:cs="Times New Roman"/>
                <w:sz w:val="18"/>
                <w:szCs w:val="18"/>
                <w:lang w:val="en-US"/>
              </w:rPr>
            </w:pPr>
            <w:proofErr w:type="spellStart"/>
            <w:r w:rsidRPr="00251411">
              <w:rPr>
                <w:rFonts w:eastAsia="Times New Roman" w:cs="Times New Roman"/>
                <w:color w:val="000000"/>
                <w:sz w:val="18"/>
                <w:szCs w:val="18"/>
              </w:rPr>
              <w:t>Diptera</w:t>
            </w:r>
            <w:proofErr w:type="spellEnd"/>
          </w:p>
        </w:tc>
        <w:tc>
          <w:tcPr>
            <w:tcW w:w="2197" w:type="dxa"/>
          </w:tcPr>
          <w:p w14:paraId="0FDCA909" w14:textId="77777777" w:rsidR="00CB2D63" w:rsidRPr="00251411" w:rsidRDefault="00BD3747" w:rsidP="00251411">
            <w:pPr>
              <w:spacing w:line="480" w:lineRule="auto"/>
              <w:jc w:val="center"/>
              <w:rPr>
                <w:rFonts w:cs="Times New Roman"/>
                <w:sz w:val="18"/>
                <w:szCs w:val="18"/>
                <w:lang w:val="en-US"/>
              </w:rPr>
            </w:pPr>
            <w:r w:rsidRPr="00251411">
              <w:rPr>
                <w:rFonts w:eastAsia="Times New Roman" w:cs="Times New Roman"/>
                <w:color w:val="000000"/>
                <w:sz w:val="18"/>
                <w:szCs w:val="18"/>
                <w:lang w:val="en-US"/>
              </w:rPr>
              <w:t xml:space="preserve">0.914 </w:t>
            </w:r>
            <w:r w:rsidRPr="00251411">
              <w:rPr>
                <w:rFonts w:cs="Times New Roman"/>
                <w:sz w:val="18"/>
                <w:szCs w:val="18"/>
                <w:lang w:val="en-US"/>
              </w:rPr>
              <w:t xml:space="preserve">± </w:t>
            </w:r>
            <w:r w:rsidRPr="00251411">
              <w:rPr>
                <w:rFonts w:eastAsia="Times New Roman" w:cs="Times New Roman"/>
                <w:color w:val="000000"/>
                <w:sz w:val="18"/>
                <w:szCs w:val="18"/>
                <w:lang w:val="en-US"/>
              </w:rPr>
              <w:t>0.031</w:t>
            </w:r>
          </w:p>
        </w:tc>
        <w:tc>
          <w:tcPr>
            <w:tcW w:w="1440" w:type="dxa"/>
          </w:tcPr>
          <w:p w14:paraId="1F4D7A84" w14:textId="77777777" w:rsidR="00CB2D63" w:rsidRPr="00251411" w:rsidRDefault="00BD3747" w:rsidP="00251411">
            <w:pPr>
              <w:spacing w:line="480" w:lineRule="auto"/>
              <w:jc w:val="center"/>
              <w:rPr>
                <w:rFonts w:cs="Times New Roman"/>
                <w:sz w:val="18"/>
                <w:szCs w:val="18"/>
                <w:lang w:val="en-US"/>
              </w:rPr>
            </w:pPr>
            <w:r w:rsidRPr="00251411">
              <w:rPr>
                <w:rFonts w:eastAsia="Times New Roman" w:cs="Times New Roman"/>
                <w:color w:val="000000"/>
                <w:sz w:val="18"/>
                <w:szCs w:val="18"/>
                <w:lang w:val="en-US"/>
              </w:rPr>
              <w:t xml:space="preserve">2.725 </w:t>
            </w:r>
            <w:r w:rsidRPr="00251411">
              <w:rPr>
                <w:rFonts w:cs="Times New Roman"/>
                <w:sz w:val="18"/>
                <w:szCs w:val="18"/>
                <w:lang w:val="en-US"/>
              </w:rPr>
              <w:t xml:space="preserve">± </w:t>
            </w:r>
            <w:r w:rsidRPr="00251411">
              <w:rPr>
                <w:rFonts w:eastAsia="Times New Roman" w:cs="Times New Roman"/>
                <w:color w:val="000000"/>
                <w:sz w:val="18"/>
                <w:szCs w:val="18"/>
                <w:lang w:val="en-US"/>
              </w:rPr>
              <w:t>0.277</w:t>
            </w:r>
          </w:p>
        </w:tc>
        <w:tc>
          <w:tcPr>
            <w:tcW w:w="2254" w:type="dxa"/>
          </w:tcPr>
          <w:p w14:paraId="7A61CEED" w14:textId="77777777" w:rsidR="00CB2D63" w:rsidRPr="00251411" w:rsidRDefault="00BD3747" w:rsidP="00251411">
            <w:pPr>
              <w:spacing w:line="480" w:lineRule="auto"/>
              <w:jc w:val="center"/>
              <w:rPr>
                <w:rFonts w:cs="Times New Roman"/>
                <w:sz w:val="18"/>
                <w:szCs w:val="18"/>
                <w:lang w:val="en-US"/>
              </w:rPr>
            </w:pPr>
            <w:r w:rsidRPr="00251411">
              <w:rPr>
                <w:rFonts w:eastAsia="Times New Roman" w:cs="Times New Roman"/>
                <w:color w:val="000000"/>
                <w:sz w:val="18"/>
                <w:szCs w:val="18"/>
                <w:lang w:val="en-US"/>
              </w:rPr>
              <w:t xml:space="preserve">0.881 </w:t>
            </w:r>
            <w:r w:rsidRPr="00251411">
              <w:rPr>
                <w:rFonts w:cs="Times New Roman"/>
                <w:sz w:val="18"/>
                <w:szCs w:val="18"/>
                <w:lang w:val="en-US"/>
              </w:rPr>
              <w:t xml:space="preserve">± </w:t>
            </w:r>
            <w:r w:rsidRPr="00251411">
              <w:rPr>
                <w:rFonts w:eastAsia="Times New Roman" w:cs="Times New Roman"/>
                <w:color w:val="000000"/>
                <w:sz w:val="18"/>
                <w:szCs w:val="18"/>
                <w:lang w:val="en-US"/>
              </w:rPr>
              <w:t>0.078</w:t>
            </w:r>
          </w:p>
        </w:tc>
        <w:tc>
          <w:tcPr>
            <w:tcW w:w="1836" w:type="dxa"/>
          </w:tcPr>
          <w:p w14:paraId="154C440D" w14:textId="77777777" w:rsidR="00CB2D63" w:rsidRPr="00251411" w:rsidRDefault="00BD3747" w:rsidP="00251411">
            <w:pPr>
              <w:spacing w:line="480" w:lineRule="auto"/>
              <w:jc w:val="center"/>
              <w:rPr>
                <w:rFonts w:cs="Times New Roman"/>
                <w:sz w:val="18"/>
                <w:szCs w:val="18"/>
              </w:rPr>
            </w:pPr>
            <w:r w:rsidRPr="00251411">
              <w:rPr>
                <w:rFonts w:eastAsia="Times New Roman" w:cs="Times New Roman"/>
                <w:color w:val="000000"/>
                <w:sz w:val="18"/>
                <w:szCs w:val="18"/>
                <w:lang w:val="en-US"/>
              </w:rPr>
              <w:t xml:space="preserve">2.552 </w:t>
            </w:r>
            <w:r w:rsidRPr="00251411">
              <w:rPr>
                <w:rFonts w:cs="Times New Roman"/>
                <w:sz w:val="18"/>
                <w:szCs w:val="18"/>
                <w:lang w:val="en-US"/>
              </w:rPr>
              <w:t xml:space="preserve">± </w:t>
            </w:r>
            <w:r w:rsidRPr="00251411">
              <w:rPr>
                <w:rFonts w:eastAsia="Times New Roman" w:cs="Times New Roman"/>
                <w:color w:val="000000"/>
                <w:sz w:val="18"/>
                <w:szCs w:val="18"/>
                <w:lang w:val="en-US"/>
              </w:rPr>
              <w:t>2.198</w:t>
            </w:r>
          </w:p>
        </w:tc>
      </w:tr>
      <w:tr w:rsidR="00CB2D63" w:rsidRPr="00251411" w14:paraId="058B3AE0" w14:textId="77777777" w:rsidTr="00BD3747">
        <w:trPr>
          <w:trHeight w:val="406"/>
          <w:jc w:val="center"/>
        </w:trPr>
        <w:tc>
          <w:tcPr>
            <w:tcW w:w="1101" w:type="dxa"/>
          </w:tcPr>
          <w:p w14:paraId="5E3A328B" w14:textId="77777777" w:rsidR="00CB2D63" w:rsidRPr="00251411" w:rsidRDefault="00CB2D63" w:rsidP="00251411">
            <w:pPr>
              <w:spacing w:line="480" w:lineRule="auto"/>
              <w:jc w:val="center"/>
              <w:rPr>
                <w:rFonts w:eastAsia="Times New Roman" w:cs="Times New Roman"/>
                <w:color w:val="000000"/>
                <w:sz w:val="18"/>
                <w:szCs w:val="18"/>
              </w:rPr>
            </w:pPr>
            <w:proofErr w:type="spellStart"/>
            <w:r w:rsidRPr="00251411">
              <w:rPr>
                <w:rFonts w:eastAsia="Times New Roman" w:cs="Times New Roman"/>
                <w:color w:val="000000"/>
                <w:sz w:val="18"/>
                <w:szCs w:val="18"/>
              </w:rPr>
              <w:t>Coleoptera</w:t>
            </w:r>
            <w:proofErr w:type="spellEnd"/>
          </w:p>
        </w:tc>
        <w:tc>
          <w:tcPr>
            <w:tcW w:w="2197" w:type="dxa"/>
          </w:tcPr>
          <w:p w14:paraId="79B1EEA9" w14:textId="77777777" w:rsidR="00CB2D63" w:rsidRPr="00251411" w:rsidRDefault="00BD3747" w:rsidP="00251411">
            <w:pPr>
              <w:spacing w:line="480" w:lineRule="auto"/>
              <w:jc w:val="center"/>
              <w:rPr>
                <w:rFonts w:cs="Times New Roman"/>
                <w:sz w:val="18"/>
                <w:szCs w:val="18"/>
                <w:lang w:val="en-US"/>
              </w:rPr>
            </w:pPr>
            <w:r w:rsidRPr="00251411">
              <w:rPr>
                <w:rFonts w:eastAsia="Times New Roman" w:cs="Times New Roman"/>
                <w:color w:val="000000"/>
                <w:sz w:val="18"/>
                <w:szCs w:val="18"/>
                <w:lang w:val="en-US"/>
              </w:rPr>
              <w:t xml:space="preserve">0.929 </w:t>
            </w:r>
            <w:r w:rsidRPr="00251411">
              <w:rPr>
                <w:rFonts w:cs="Times New Roman"/>
                <w:sz w:val="18"/>
                <w:szCs w:val="18"/>
                <w:lang w:val="en-US"/>
              </w:rPr>
              <w:t xml:space="preserve">± </w:t>
            </w:r>
            <w:r w:rsidRPr="00251411">
              <w:rPr>
                <w:rFonts w:eastAsia="Times New Roman" w:cs="Times New Roman"/>
                <w:color w:val="000000"/>
                <w:sz w:val="18"/>
                <w:szCs w:val="18"/>
                <w:lang w:val="en-US"/>
              </w:rPr>
              <w:t>0.039</w:t>
            </w:r>
          </w:p>
        </w:tc>
        <w:tc>
          <w:tcPr>
            <w:tcW w:w="1440" w:type="dxa"/>
          </w:tcPr>
          <w:p w14:paraId="3A1DC660" w14:textId="77777777" w:rsidR="00CB2D63" w:rsidRPr="00251411" w:rsidRDefault="00BD3747" w:rsidP="00251411">
            <w:pPr>
              <w:spacing w:line="480" w:lineRule="auto"/>
              <w:jc w:val="center"/>
              <w:rPr>
                <w:rFonts w:cs="Times New Roman"/>
                <w:sz w:val="18"/>
                <w:szCs w:val="18"/>
                <w:lang w:val="en-US"/>
              </w:rPr>
            </w:pPr>
            <w:r w:rsidRPr="00251411">
              <w:rPr>
                <w:rFonts w:eastAsia="Times New Roman" w:cs="Times New Roman"/>
                <w:color w:val="000000"/>
                <w:sz w:val="18"/>
                <w:szCs w:val="18"/>
                <w:lang w:val="en-US"/>
              </w:rPr>
              <w:t xml:space="preserve">0.979 </w:t>
            </w:r>
            <w:r w:rsidRPr="00251411">
              <w:rPr>
                <w:rFonts w:cs="Times New Roman"/>
                <w:sz w:val="18"/>
                <w:szCs w:val="18"/>
                <w:lang w:val="en-US"/>
              </w:rPr>
              <w:t xml:space="preserve">± </w:t>
            </w:r>
            <w:r w:rsidRPr="00251411">
              <w:rPr>
                <w:rFonts w:eastAsia="Times New Roman" w:cs="Times New Roman"/>
                <w:color w:val="000000"/>
                <w:sz w:val="18"/>
                <w:szCs w:val="18"/>
                <w:lang w:val="en-US"/>
              </w:rPr>
              <w:t>0.590</w:t>
            </w:r>
          </w:p>
        </w:tc>
        <w:tc>
          <w:tcPr>
            <w:tcW w:w="2254" w:type="dxa"/>
          </w:tcPr>
          <w:p w14:paraId="235029D1" w14:textId="77777777" w:rsidR="00CB2D63" w:rsidRPr="00251411" w:rsidRDefault="00BD3747" w:rsidP="00251411">
            <w:pPr>
              <w:spacing w:line="480" w:lineRule="auto"/>
              <w:jc w:val="center"/>
              <w:rPr>
                <w:rFonts w:cs="Times New Roman"/>
                <w:sz w:val="18"/>
                <w:szCs w:val="18"/>
                <w:lang w:val="en-US"/>
              </w:rPr>
            </w:pPr>
            <w:r w:rsidRPr="00251411">
              <w:rPr>
                <w:rFonts w:eastAsia="Times New Roman" w:cs="Times New Roman"/>
                <w:color w:val="000000"/>
                <w:sz w:val="18"/>
                <w:szCs w:val="18"/>
                <w:lang w:val="en-US"/>
              </w:rPr>
              <w:t xml:space="preserve">0.884 </w:t>
            </w:r>
            <w:r w:rsidRPr="00251411">
              <w:rPr>
                <w:rFonts w:cs="Times New Roman"/>
                <w:sz w:val="18"/>
                <w:szCs w:val="18"/>
                <w:lang w:val="en-US"/>
              </w:rPr>
              <w:t xml:space="preserve">± </w:t>
            </w:r>
            <w:r w:rsidRPr="00251411">
              <w:rPr>
                <w:rFonts w:eastAsia="Times New Roman" w:cs="Times New Roman"/>
                <w:color w:val="000000"/>
                <w:sz w:val="18"/>
                <w:szCs w:val="18"/>
                <w:lang w:val="en-US"/>
              </w:rPr>
              <w:t>0.057</w:t>
            </w:r>
          </w:p>
        </w:tc>
        <w:tc>
          <w:tcPr>
            <w:tcW w:w="1836" w:type="dxa"/>
          </w:tcPr>
          <w:p w14:paraId="556101B4" w14:textId="77777777" w:rsidR="00CB2D63" w:rsidRPr="00251411" w:rsidRDefault="00BD3747" w:rsidP="00251411">
            <w:pPr>
              <w:spacing w:line="480" w:lineRule="auto"/>
              <w:jc w:val="center"/>
              <w:rPr>
                <w:rFonts w:cs="Times New Roman"/>
                <w:sz w:val="18"/>
                <w:szCs w:val="18"/>
                <w:lang w:val="en-US"/>
              </w:rPr>
            </w:pPr>
            <w:r w:rsidRPr="00251411">
              <w:rPr>
                <w:rFonts w:eastAsia="Times New Roman" w:cs="Times New Roman"/>
                <w:color w:val="000000"/>
                <w:sz w:val="18"/>
                <w:szCs w:val="18"/>
                <w:lang w:val="en-US"/>
              </w:rPr>
              <w:t xml:space="preserve">0.518 </w:t>
            </w:r>
            <w:r w:rsidRPr="00251411">
              <w:rPr>
                <w:rFonts w:cs="Times New Roman"/>
                <w:sz w:val="18"/>
                <w:szCs w:val="18"/>
                <w:lang w:val="en-US"/>
              </w:rPr>
              <w:t xml:space="preserve">± </w:t>
            </w:r>
            <w:r w:rsidRPr="00251411">
              <w:rPr>
                <w:rFonts w:eastAsia="Times New Roman" w:cs="Times New Roman"/>
                <w:color w:val="000000"/>
                <w:sz w:val="18"/>
                <w:szCs w:val="18"/>
                <w:lang w:val="en-US"/>
              </w:rPr>
              <w:t>0.519</w:t>
            </w:r>
          </w:p>
        </w:tc>
      </w:tr>
      <w:tr w:rsidR="00CB2D63" w:rsidRPr="00251411" w14:paraId="25C443F1" w14:textId="77777777" w:rsidTr="00BD3747">
        <w:trPr>
          <w:trHeight w:val="402"/>
          <w:jc w:val="center"/>
        </w:trPr>
        <w:tc>
          <w:tcPr>
            <w:tcW w:w="1101" w:type="dxa"/>
          </w:tcPr>
          <w:p w14:paraId="495E46BE" w14:textId="77777777" w:rsidR="00CB2D63" w:rsidRPr="00251411" w:rsidRDefault="00BD3747" w:rsidP="00251411">
            <w:pPr>
              <w:spacing w:line="480" w:lineRule="auto"/>
              <w:jc w:val="center"/>
              <w:rPr>
                <w:rFonts w:eastAsia="Times New Roman" w:cs="Times New Roman"/>
                <w:color w:val="000000"/>
                <w:sz w:val="18"/>
                <w:szCs w:val="18"/>
              </w:rPr>
            </w:pPr>
            <w:r w:rsidRPr="00251411">
              <w:rPr>
                <w:rFonts w:eastAsia="Times New Roman" w:cs="Times New Roman"/>
                <w:color w:val="000000"/>
                <w:sz w:val="18"/>
                <w:szCs w:val="18"/>
              </w:rPr>
              <w:lastRenderedPageBreak/>
              <w:t>Lepidoptera</w:t>
            </w:r>
          </w:p>
        </w:tc>
        <w:tc>
          <w:tcPr>
            <w:tcW w:w="2197" w:type="dxa"/>
          </w:tcPr>
          <w:p w14:paraId="40CCB6AC" w14:textId="77777777" w:rsidR="00CB2D63" w:rsidRPr="00251411" w:rsidRDefault="00BD3747" w:rsidP="00251411">
            <w:pPr>
              <w:spacing w:line="480" w:lineRule="auto"/>
              <w:jc w:val="center"/>
              <w:rPr>
                <w:rFonts w:cs="Times New Roman"/>
                <w:sz w:val="18"/>
                <w:szCs w:val="18"/>
                <w:lang w:val="en-US"/>
              </w:rPr>
            </w:pPr>
            <w:r w:rsidRPr="00251411">
              <w:rPr>
                <w:rFonts w:eastAsia="Times New Roman" w:cs="Times New Roman"/>
                <w:color w:val="000000"/>
                <w:sz w:val="18"/>
                <w:szCs w:val="18"/>
                <w:lang w:val="en-US"/>
              </w:rPr>
              <w:t xml:space="preserve">0.901 </w:t>
            </w:r>
            <w:r w:rsidRPr="00251411">
              <w:rPr>
                <w:rFonts w:cs="Times New Roman"/>
                <w:sz w:val="18"/>
                <w:szCs w:val="18"/>
                <w:lang w:val="en-US"/>
              </w:rPr>
              <w:t xml:space="preserve">± </w:t>
            </w:r>
            <w:r w:rsidRPr="00251411">
              <w:rPr>
                <w:rFonts w:eastAsia="Times New Roman" w:cs="Times New Roman"/>
                <w:color w:val="000000"/>
                <w:sz w:val="18"/>
                <w:szCs w:val="18"/>
                <w:lang w:val="en-US"/>
              </w:rPr>
              <w:t>0.024</w:t>
            </w:r>
          </w:p>
        </w:tc>
        <w:tc>
          <w:tcPr>
            <w:tcW w:w="1440" w:type="dxa"/>
          </w:tcPr>
          <w:p w14:paraId="0888C18D" w14:textId="77777777" w:rsidR="00CB2D63" w:rsidRPr="00251411" w:rsidRDefault="00BD3747" w:rsidP="00251411">
            <w:pPr>
              <w:spacing w:line="480" w:lineRule="auto"/>
              <w:jc w:val="center"/>
              <w:rPr>
                <w:rFonts w:cs="Times New Roman"/>
                <w:sz w:val="18"/>
                <w:szCs w:val="18"/>
                <w:lang w:val="en-US"/>
              </w:rPr>
            </w:pPr>
            <w:r w:rsidRPr="00251411">
              <w:rPr>
                <w:rFonts w:eastAsia="Times New Roman" w:cs="Times New Roman"/>
                <w:color w:val="000000"/>
                <w:sz w:val="18"/>
                <w:szCs w:val="18"/>
                <w:lang w:val="en-US"/>
              </w:rPr>
              <w:t xml:space="preserve">0.721 </w:t>
            </w:r>
            <w:r w:rsidRPr="00251411">
              <w:rPr>
                <w:rFonts w:cs="Times New Roman"/>
                <w:sz w:val="18"/>
                <w:szCs w:val="18"/>
                <w:lang w:val="en-US"/>
              </w:rPr>
              <w:t xml:space="preserve">± </w:t>
            </w:r>
            <w:r w:rsidRPr="00251411">
              <w:rPr>
                <w:rFonts w:eastAsia="Times New Roman" w:cs="Times New Roman"/>
                <w:color w:val="000000"/>
                <w:sz w:val="18"/>
                <w:szCs w:val="18"/>
                <w:lang w:val="en-US"/>
              </w:rPr>
              <w:t>0.696</w:t>
            </w:r>
          </w:p>
        </w:tc>
        <w:tc>
          <w:tcPr>
            <w:tcW w:w="2254" w:type="dxa"/>
          </w:tcPr>
          <w:p w14:paraId="0175E244" w14:textId="77777777" w:rsidR="00CB2D63" w:rsidRPr="00251411" w:rsidRDefault="00BD3747" w:rsidP="00251411">
            <w:pPr>
              <w:spacing w:line="480" w:lineRule="auto"/>
              <w:jc w:val="center"/>
              <w:rPr>
                <w:rFonts w:cs="Times New Roman"/>
                <w:sz w:val="18"/>
                <w:szCs w:val="18"/>
                <w:lang w:val="en-US"/>
              </w:rPr>
            </w:pPr>
            <w:r w:rsidRPr="00251411">
              <w:rPr>
                <w:rFonts w:eastAsia="Times New Roman" w:cs="Times New Roman"/>
                <w:color w:val="000000"/>
                <w:sz w:val="18"/>
                <w:szCs w:val="18"/>
                <w:lang w:val="en-US"/>
              </w:rPr>
              <w:t>0.906</w:t>
            </w:r>
            <w:r w:rsidRPr="00251411">
              <w:rPr>
                <w:rFonts w:cs="Times New Roman"/>
                <w:sz w:val="18"/>
                <w:szCs w:val="18"/>
                <w:lang w:val="en-US"/>
              </w:rPr>
              <w:t>±</w:t>
            </w:r>
            <w:r w:rsidRPr="00251411">
              <w:rPr>
                <w:rFonts w:eastAsia="Times New Roman" w:cs="Times New Roman"/>
                <w:color w:val="000000"/>
                <w:sz w:val="18"/>
                <w:szCs w:val="18"/>
                <w:lang w:val="en-US"/>
              </w:rPr>
              <w:t>0.045</w:t>
            </w:r>
          </w:p>
        </w:tc>
        <w:tc>
          <w:tcPr>
            <w:tcW w:w="1836" w:type="dxa"/>
          </w:tcPr>
          <w:p w14:paraId="22760C58" w14:textId="77777777" w:rsidR="00CB2D63" w:rsidRPr="00251411" w:rsidRDefault="00BD3747" w:rsidP="00251411">
            <w:pPr>
              <w:spacing w:line="480" w:lineRule="auto"/>
              <w:jc w:val="center"/>
              <w:rPr>
                <w:rFonts w:cs="Times New Roman"/>
                <w:sz w:val="18"/>
                <w:szCs w:val="18"/>
                <w:lang w:val="en-US"/>
              </w:rPr>
            </w:pPr>
            <w:r w:rsidRPr="00251411">
              <w:rPr>
                <w:rFonts w:eastAsia="Times New Roman" w:cs="Times New Roman"/>
                <w:color w:val="000000"/>
                <w:sz w:val="18"/>
                <w:szCs w:val="18"/>
                <w:lang w:val="en-US"/>
              </w:rPr>
              <w:t>0.530</w:t>
            </w:r>
            <w:r w:rsidRPr="00251411">
              <w:rPr>
                <w:rFonts w:cs="Times New Roman"/>
                <w:sz w:val="18"/>
                <w:szCs w:val="18"/>
                <w:lang w:val="en-US"/>
              </w:rPr>
              <w:t>±</w:t>
            </w:r>
            <w:r w:rsidRPr="00251411">
              <w:rPr>
                <w:rFonts w:eastAsia="Times New Roman" w:cs="Times New Roman"/>
                <w:color w:val="000000"/>
                <w:sz w:val="18"/>
                <w:szCs w:val="18"/>
                <w:lang w:val="en-US"/>
              </w:rPr>
              <w:t>0.254</w:t>
            </w:r>
          </w:p>
        </w:tc>
      </w:tr>
    </w:tbl>
    <w:p w14:paraId="756F4DD3" w14:textId="77777777" w:rsidR="00D90E55" w:rsidRPr="00251411" w:rsidRDefault="00D90E55" w:rsidP="00251411">
      <w:pPr>
        <w:spacing w:line="480" w:lineRule="auto"/>
        <w:jc w:val="both"/>
        <w:rPr>
          <w:rFonts w:ascii="Times New Roman" w:hAnsi="Times New Roman" w:cs="Times New Roman"/>
          <w:i/>
          <w:sz w:val="24"/>
          <w:szCs w:val="24"/>
          <w:lang w:val="en-US"/>
        </w:rPr>
      </w:pPr>
    </w:p>
    <w:p w14:paraId="4A0994F8" w14:textId="48B6B485" w:rsidR="006E4471" w:rsidRPr="00251411" w:rsidRDefault="006E4471"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An even more accurate picture emerges by analyzing all taxa separately. Each species shows a highly predictable fold change between the proportion of input DNA and recovered reads.</w:t>
      </w:r>
      <w:r w:rsidR="004273C0" w:rsidRPr="00251411">
        <w:rPr>
          <w:rFonts w:ascii="Times New Roman" w:hAnsi="Times New Roman" w:cs="Times New Roman"/>
          <w:sz w:val="24"/>
          <w:szCs w:val="24"/>
          <w:lang w:val="en-US"/>
        </w:rPr>
        <w:t xml:space="preserve"> </w:t>
      </w:r>
      <w:r w:rsidRPr="00251411">
        <w:rPr>
          <w:rFonts w:ascii="Times New Roman" w:hAnsi="Times New Roman" w:cs="Times New Roman"/>
          <w:sz w:val="24"/>
          <w:szCs w:val="24"/>
          <w:lang w:val="en-US"/>
        </w:rPr>
        <w:t>A simple correlation of the proportion of input DNA and recovered reads for six mock communities suggest no correlation (</w:t>
      </w:r>
      <w:r w:rsidR="00B14DF3" w:rsidRPr="00251411">
        <w:rPr>
          <w:rFonts w:ascii="Times New Roman" w:hAnsi="Times New Roman" w:cs="Times New Roman"/>
          <w:sz w:val="24"/>
          <w:szCs w:val="24"/>
          <w:lang w:val="en-US"/>
        </w:rPr>
        <w:t xml:space="preserve">add </w:t>
      </w:r>
      <w:r w:rsidRPr="00251411">
        <w:rPr>
          <w:rFonts w:ascii="Times New Roman" w:hAnsi="Times New Roman" w:cs="Times New Roman"/>
          <w:sz w:val="24"/>
          <w:szCs w:val="24"/>
          <w:lang w:val="en-US"/>
        </w:rPr>
        <w:t>R</w:t>
      </w:r>
      <w:r w:rsidRPr="00251411">
        <w:rPr>
          <w:rFonts w:ascii="Times New Roman" w:hAnsi="Times New Roman" w:cs="Times New Roman"/>
          <w:sz w:val="24"/>
          <w:szCs w:val="24"/>
          <w:vertAlign w:val="superscript"/>
          <w:lang w:val="en-US"/>
        </w:rPr>
        <w:t>2</w:t>
      </w:r>
      <w:r w:rsidRPr="00251411">
        <w:rPr>
          <w:rFonts w:ascii="Times New Roman" w:hAnsi="Times New Roman" w:cs="Times New Roman"/>
          <w:sz w:val="24"/>
          <w:szCs w:val="24"/>
          <w:lang w:val="en-US"/>
        </w:rPr>
        <w:t>). However, by using 5 mock communities to derive taxon specific correction factors</w:t>
      </w:r>
      <w:r w:rsidR="004273C0" w:rsidRPr="00251411">
        <w:rPr>
          <w:rFonts w:ascii="Times New Roman" w:hAnsi="Times New Roman" w:cs="Times New Roman"/>
          <w:sz w:val="24"/>
          <w:szCs w:val="24"/>
          <w:lang w:val="en-US"/>
        </w:rPr>
        <w:t>,</w:t>
      </w:r>
      <w:r w:rsidRPr="00251411">
        <w:rPr>
          <w:rFonts w:ascii="Times New Roman" w:hAnsi="Times New Roman" w:cs="Times New Roman"/>
          <w:sz w:val="24"/>
          <w:szCs w:val="24"/>
          <w:lang w:val="en-US"/>
        </w:rPr>
        <w:t xml:space="preserve"> a significant correlation is found (</w:t>
      </w:r>
      <w:r w:rsidR="00B14DF3" w:rsidRPr="00251411">
        <w:rPr>
          <w:rFonts w:ascii="Times New Roman" w:hAnsi="Times New Roman" w:cs="Times New Roman"/>
          <w:sz w:val="24"/>
          <w:szCs w:val="24"/>
          <w:lang w:val="en-US"/>
        </w:rPr>
        <w:t xml:space="preserve">add </w:t>
      </w:r>
      <w:r w:rsidR="009872B6" w:rsidRPr="00251411">
        <w:rPr>
          <w:rFonts w:ascii="Times New Roman" w:hAnsi="Times New Roman" w:cs="Times New Roman"/>
          <w:sz w:val="24"/>
          <w:szCs w:val="24"/>
          <w:lang w:val="en-US"/>
        </w:rPr>
        <w:t>R</w:t>
      </w:r>
      <w:r w:rsidR="009872B6" w:rsidRPr="00251411">
        <w:rPr>
          <w:rFonts w:ascii="Times New Roman" w:hAnsi="Times New Roman" w:cs="Times New Roman"/>
          <w:sz w:val="24"/>
          <w:szCs w:val="24"/>
          <w:vertAlign w:val="superscript"/>
          <w:lang w:val="en-US"/>
        </w:rPr>
        <w:t>2</w:t>
      </w:r>
      <w:r w:rsidR="00B14DF3" w:rsidRPr="00251411">
        <w:rPr>
          <w:rFonts w:ascii="Times New Roman" w:hAnsi="Times New Roman" w:cs="Times New Roman"/>
          <w:sz w:val="24"/>
          <w:szCs w:val="24"/>
          <w:lang w:val="en-US"/>
        </w:rPr>
        <w:t xml:space="preserve"> &amp; P</w:t>
      </w:r>
      <w:r w:rsidR="009872B6" w:rsidRPr="00251411">
        <w:rPr>
          <w:rFonts w:ascii="Times New Roman" w:hAnsi="Times New Roman" w:cs="Times New Roman"/>
          <w:sz w:val="24"/>
          <w:szCs w:val="24"/>
          <w:lang w:val="en-US"/>
        </w:rPr>
        <w:t xml:space="preserve">). </w:t>
      </w:r>
      <w:r w:rsidR="00F1454C" w:rsidRPr="00251411">
        <w:rPr>
          <w:rFonts w:ascii="Times New Roman" w:hAnsi="Times New Roman" w:cs="Times New Roman"/>
          <w:sz w:val="24"/>
          <w:szCs w:val="24"/>
          <w:lang w:val="en-US"/>
        </w:rPr>
        <w:t>This correlation is considerably</w:t>
      </w:r>
      <w:r w:rsidR="009872B6" w:rsidRPr="00251411">
        <w:rPr>
          <w:rFonts w:ascii="Times New Roman" w:hAnsi="Times New Roman" w:cs="Times New Roman"/>
          <w:sz w:val="24"/>
          <w:szCs w:val="24"/>
          <w:lang w:val="en-US"/>
        </w:rPr>
        <w:t xml:space="preserve"> increased, when 10 mock communities are used to derive corrections factors</w:t>
      </w:r>
      <w:r w:rsidR="00B14DF3" w:rsidRPr="00251411">
        <w:rPr>
          <w:rFonts w:ascii="Times New Roman" w:hAnsi="Times New Roman" w:cs="Times New Roman"/>
          <w:sz w:val="24"/>
          <w:szCs w:val="24"/>
          <w:lang w:val="en-US"/>
        </w:rPr>
        <w:t xml:space="preserve"> (R</w:t>
      </w:r>
      <w:r w:rsidR="00B14DF3" w:rsidRPr="00251411">
        <w:rPr>
          <w:rFonts w:ascii="Times New Roman" w:hAnsi="Times New Roman" w:cs="Times New Roman"/>
          <w:sz w:val="24"/>
          <w:szCs w:val="24"/>
          <w:vertAlign w:val="superscript"/>
          <w:lang w:val="en-US"/>
        </w:rPr>
        <w:t>2</w:t>
      </w:r>
      <w:r w:rsidR="00B14DF3" w:rsidRPr="00251411">
        <w:rPr>
          <w:rFonts w:ascii="Times New Roman" w:hAnsi="Times New Roman" w:cs="Times New Roman"/>
          <w:sz w:val="24"/>
          <w:szCs w:val="24"/>
          <w:lang w:val="en-US"/>
        </w:rPr>
        <w:t xml:space="preserve"> &amp; P</w:t>
      </w:r>
      <w:r w:rsidR="009872B6" w:rsidRPr="00251411">
        <w:rPr>
          <w:rFonts w:ascii="Times New Roman" w:hAnsi="Times New Roman" w:cs="Times New Roman"/>
          <w:sz w:val="24"/>
          <w:szCs w:val="24"/>
          <w:lang w:val="en-US"/>
        </w:rPr>
        <w:t xml:space="preserve">. With a slope of between xxx-xxx the amount of input DNA can be accurately predicted from mock communities for all 40 studied taxa here. </w:t>
      </w:r>
      <w:r w:rsidRPr="00251411">
        <w:rPr>
          <w:rFonts w:ascii="Times New Roman" w:hAnsi="Times New Roman" w:cs="Times New Roman"/>
          <w:sz w:val="24"/>
          <w:szCs w:val="24"/>
          <w:lang w:val="en-US"/>
        </w:rPr>
        <w:t xml:space="preserve"> </w:t>
      </w:r>
    </w:p>
    <w:p w14:paraId="6CA4D352" w14:textId="77777777" w:rsidR="00797336" w:rsidRPr="00251411" w:rsidRDefault="00A15D1C" w:rsidP="00251411">
      <w:pPr>
        <w:spacing w:line="480" w:lineRule="auto"/>
        <w:jc w:val="both"/>
        <w:rPr>
          <w:rFonts w:ascii="Times New Roman" w:hAnsi="Times New Roman" w:cs="Times New Roman"/>
          <w:i/>
          <w:sz w:val="24"/>
          <w:szCs w:val="24"/>
          <w:lang w:val="en-US"/>
        </w:rPr>
      </w:pPr>
      <w:r w:rsidRPr="00251411">
        <w:rPr>
          <w:rFonts w:ascii="Times New Roman" w:hAnsi="Times New Roman" w:cs="Times New Roman"/>
          <w:sz w:val="24"/>
          <w:szCs w:val="24"/>
          <w:lang w:val="en-US"/>
        </w:rPr>
        <w:object w:dxaOrig="12961" w:dyaOrig="4320" w14:anchorId="29C44A60">
          <v:shape id="_x0000_i1026" type="#_x0000_t75" style="width:450.3pt;height:150.3pt" o:ole="">
            <v:imagedata r:id="rId11" o:title=""/>
          </v:shape>
          <o:OLEObject Type="Embed" ProgID="AcroExch.Document.DC" ShapeID="_x0000_i1026" DrawAspect="Content" ObjectID="_1528282472" r:id="rId12"/>
        </w:object>
      </w:r>
    </w:p>
    <w:p w14:paraId="0A4BD9D8" w14:textId="77777777" w:rsidR="00EA71E1" w:rsidRPr="00251411" w:rsidRDefault="001F3FC2" w:rsidP="00251411">
      <w:pPr>
        <w:spacing w:line="480" w:lineRule="auto"/>
        <w:jc w:val="both"/>
        <w:rPr>
          <w:rFonts w:ascii="Times New Roman" w:hAnsi="Times New Roman" w:cs="Times New Roman"/>
          <w:i/>
          <w:sz w:val="24"/>
          <w:szCs w:val="24"/>
          <w:lang w:val="en-US"/>
        </w:rPr>
      </w:pPr>
      <w:r w:rsidRPr="00251411">
        <w:rPr>
          <w:rFonts w:ascii="Times New Roman" w:hAnsi="Times New Roman" w:cs="Times New Roman"/>
          <w:i/>
          <w:sz w:val="24"/>
          <w:szCs w:val="24"/>
          <w:lang w:val="en-US"/>
        </w:rPr>
        <w:t>PCR conditions</w:t>
      </w:r>
    </w:p>
    <w:p w14:paraId="1AF0DA0F" w14:textId="77777777" w:rsidR="00EA71E1" w:rsidRPr="00251411" w:rsidRDefault="00DA4AAB"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Most mock community samples at varying PCR cycle numbers yielded data. xxx samples were removed from the analysis because </w:t>
      </w:r>
      <w:r w:rsidR="003E7F71" w:rsidRPr="00251411">
        <w:rPr>
          <w:rFonts w:ascii="Times New Roman" w:hAnsi="Times New Roman" w:cs="Times New Roman"/>
          <w:sz w:val="24"/>
          <w:szCs w:val="24"/>
          <w:lang w:val="en-US"/>
        </w:rPr>
        <w:t>o</w:t>
      </w:r>
      <w:r w:rsidRPr="00251411">
        <w:rPr>
          <w:rFonts w:ascii="Times New Roman" w:hAnsi="Times New Roman" w:cs="Times New Roman"/>
          <w:sz w:val="24"/>
          <w:szCs w:val="24"/>
          <w:lang w:val="en-US"/>
        </w:rPr>
        <w:t>f too low read content. All samples recovered the same proportion of taxa th</w:t>
      </w:r>
      <w:r w:rsidR="009872B6" w:rsidRPr="00251411">
        <w:rPr>
          <w:rFonts w:ascii="Times New Roman" w:hAnsi="Times New Roman" w:cs="Times New Roman"/>
          <w:sz w:val="24"/>
          <w:szCs w:val="24"/>
          <w:lang w:val="en-US"/>
        </w:rPr>
        <w:t>a</w:t>
      </w:r>
      <w:r w:rsidRPr="00251411">
        <w:rPr>
          <w:rFonts w:ascii="Times New Roman" w:hAnsi="Times New Roman" w:cs="Times New Roman"/>
          <w:sz w:val="24"/>
          <w:szCs w:val="24"/>
          <w:lang w:val="en-US"/>
        </w:rPr>
        <w:t xml:space="preserve">n the same marker from the previous analysis. No differences in taxon recovery were apparent between the different PCR cycle numbers. </w:t>
      </w:r>
    </w:p>
    <w:p w14:paraId="24EA39D5" w14:textId="77777777" w:rsidR="00EA71E1" w:rsidRPr="00251411" w:rsidRDefault="00940931" w:rsidP="00251411">
      <w:pPr>
        <w:spacing w:line="480" w:lineRule="auto"/>
        <w:jc w:val="both"/>
        <w:rPr>
          <w:rFonts w:ascii="Times New Roman" w:hAnsi="Times New Roman" w:cs="Times New Roman"/>
          <w:sz w:val="24"/>
          <w:szCs w:val="24"/>
          <w:lang w:val="en-US"/>
        </w:rPr>
      </w:pPr>
      <w:r w:rsidRPr="00251411">
        <w:rPr>
          <w:noProof/>
          <w:lang w:val="en-US"/>
        </w:rPr>
        <w:lastRenderedPageBreak/>
        <w:drawing>
          <wp:inline distT="0" distB="0" distL="0" distR="0" wp14:anchorId="6A661DAA" wp14:editId="6A8CE5F6">
            <wp:extent cx="2804160" cy="295656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251411">
        <w:rPr>
          <w:noProof/>
          <w:lang w:val="en-US"/>
        </w:rPr>
        <w:drawing>
          <wp:inline distT="0" distB="0" distL="0" distR="0" wp14:anchorId="3A5EFB17" wp14:editId="68D36A55">
            <wp:extent cx="2796540" cy="29527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761474" w:rsidRPr="00251411">
        <w:rPr>
          <w:rFonts w:ascii="Times New Roman" w:hAnsi="Times New Roman" w:cs="Times New Roman"/>
          <w:sz w:val="24"/>
          <w:szCs w:val="24"/>
          <w:lang w:val="en-US"/>
        </w:rPr>
        <w:object w:dxaOrig="8641" w:dyaOrig="4320" w14:anchorId="11A33BF0">
          <v:shape id="_x0000_i1027" type="#_x0000_t75" style="width:452.4pt;height:226.2pt" o:ole="">
            <v:imagedata r:id="rId15" o:title=""/>
          </v:shape>
          <o:OLEObject Type="Embed" ProgID="AcroExch.Document.DC" ShapeID="_x0000_i1027" DrawAspect="Content" ObjectID="_1528282473" r:id="rId16"/>
        </w:object>
      </w:r>
    </w:p>
    <w:p w14:paraId="48B965B0" w14:textId="218FA556" w:rsidR="00FC6C2E" w:rsidRPr="00251411" w:rsidRDefault="00DA4AAB"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However, we found pronounced differences between the coefficient of determination </w:t>
      </w:r>
      <w:r w:rsidR="00EA7634" w:rsidRPr="00251411">
        <w:rPr>
          <w:rFonts w:ascii="Times New Roman" w:hAnsi="Times New Roman" w:cs="Times New Roman"/>
          <w:sz w:val="24"/>
          <w:szCs w:val="24"/>
          <w:lang w:val="en-US"/>
        </w:rPr>
        <w:t>(R</w:t>
      </w:r>
      <w:r w:rsidR="00EA7634" w:rsidRPr="00251411">
        <w:rPr>
          <w:rFonts w:ascii="Times New Roman" w:hAnsi="Times New Roman" w:cs="Times New Roman"/>
          <w:sz w:val="24"/>
          <w:szCs w:val="24"/>
          <w:vertAlign w:val="superscript"/>
          <w:lang w:val="en-US"/>
        </w:rPr>
        <w:t>2</w:t>
      </w:r>
      <w:r w:rsidR="00EA7634" w:rsidRPr="00251411">
        <w:rPr>
          <w:rFonts w:ascii="Times New Roman" w:hAnsi="Times New Roman" w:cs="Times New Roman"/>
          <w:sz w:val="24"/>
          <w:szCs w:val="24"/>
          <w:lang w:val="en-US"/>
        </w:rPr>
        <w:t xml:space="preserve">) </w:t>
      </w:r>
      <w:r w:rsidRPr="00251411">
        <w:rPr>
          <w:rFonts w:ascii="Times New Roman" w:hAnsi="Times New Roman" w:cs="Times New Roman"/>
          <w:sz w:val="24"/>
          <w:szCs w:val="24"/>
          <w:lang w:val="en-US"/>
        </w:rPr>
        <w:t xml:space="preserve">between the </w:t>
      </w:r>
      <w:r w:rsidR="00761474" w:rsidRPr="00251411">
        <w:rPr>
          <w:rFonts w:ascii="Times New Roman" w:hAnsi="Times New Roman" w:cs="Times New Roman"/>
          <w:sz w:val="24"/>
          <w:szCs w:val="24"/>
          <w:lang w:val="en-US"/>
        </w:rPr>
        <w:t>proportion</w:t>
      </w:r>
      <w:r w:rsidRPr="00251411">
        <w:rPr>
          <w:rFonts w:ascii="Times New Roman" w:hAnsi="Times New Roman" w:cs="Times New Roman"/>
          <w:sz w:val="24"/>
          <w:szCs w:val="24"/>
          <w:lang w:val="en-US"/>
        </w:rPr>
        <w:t xml:space="preserve"> of input DNA and the recovered proportion of reads. The two reaction</w:t>
      </w:r>
      <w:r w:rsidR="00F1454C" w:rsidRPr="00251411">
        <w:rPr>
          <w:rFonts w:ascii="Times New Roman" w:hAnsi="Times New Roman" w:cs="Times New Roman"/>
          <w:sz w:val="24"/>
          <w:szCs w:val="24"/>
          <w:lang w:val="en-US"/>
        </w:rPr>
        <w:t>s</w:t>
      </w:r>
      <w:r w:rsidRPr="00251411">
        <w:rPr>
          <w:rFonts w:ascii="Times New Roman" w:hAnsi="Times New Roman" w:cs="Times New Roman"/>
          <w:sz w:val="24"/>
          <w:szCs w:val="24"/>
          <w:lang w:val="en-US"/>
        </w:rPr>
        <w:t xml:space="preserve"> wit</w:t>
      </w:r>
      <w:r w:rsidR="00D848B4" w:rsidRPr="00251411">
        <w:rPr>
          <w:rFonts w:ascii="Times New Roman" w:hAnsi="Times New Roman" w:cs="Times New Roman"/>
          <w:sz w:val="24"/>
          <w:szCs w:val="24"/>
          <w:lang w:val="en-US"/>
        </w:rPr>
        <w:t xml:space="preserve">h the highest cycle number </w:t>
      </w:r>
      <w:r w:rsidR="00B14DF3" w:rsidRPr="00251411">
        <w:rPr>
          <w:rFonts w:ascii="Times New Roman" w:hAnsi="Times New Roman" w:cs="Times New Roman"/>
          <w:sz w:val="24"/>
          <w:szCs w:val="24"/>
          <w:lang w:val="en-US"/>
        </w:rPr>
        <w:t xml:space="preserve">(16 &amp; 32 cycles) </w:t>
      </w:r>
      <w:r w:rsidR="00D848B4" w:rsidRPr="00251411">
        <w:rPr>
          <w:rFonts w:ascii="Times New Roman" w:hAnsi="Times New Roman" w:cs="Times New Roman"/>
          <w:sz w:val="24"/>
          <w:szCs w:val="24"/>
          <w:lang w:val="en-US"/>
        </w:rPr>
        <w:t>yiel</w:t>
      </w:r>
      <w:r w:rsidRPr="00251411">
        <w:rPr>
          <w:rFonts w:ascii="Times New Roman" w:hAnsi="Times New Roman" w:cs="Times New Roman"/>
          <w:sz w:val="24"/>
          <w:szCs w:val="24"/>
          <w:lang w:val="en-US"/>
        </w:rPr>
        <w:t xml:space="preserve">d a significantly better correlation of input DNA and recovered reads than the two lower ones (4 &amp; 8 cycles). While no </w:t>
      </w:r>
      <w:r w:rsidR="000E1F06" w:rsidRPr="00251411">
        <w:rPr>
          <w:rFonts w:ascii="Times New Roman" w:hAnsi="Times New Roman" w:cs="Times New Roman"/>
          <w:sz w:val="24"/>
          <w:szCs w:val="24"/>
          <w:lang w:val="en-US"/>
        </w:rPr>
        <w:t>differences</w:t>
      </w:r>
      <w:r w:rsidRPr="00251411">
        <w:rPr>
          <w:rFonts w:ascii="Times New Roman" w:hAnsi="Times New Roman" w:cs="Times New Roman"/>
          <w:sz w:val="24"/>
          <w:szCs w:val="24"/>
          <w:lang w:val="en-US"/>
        </w:rPr>
        <w:t xml:space="preserve"> between the 32 and 16 cycles reaction were found, </w:t>
      </w:r>
      <w:r w:rsidR="000E1F06" w:rsidRPr="00251411">
        <w:rPr>
          <w:rFonts w:ascii="Times New Roman" w:hAnsi="Times New Roman" w:cs="Times New Roman"/>
          <w:sz w:val="24"/>
          <w:szCs w:val="24"/>
          <w:lang w:val="en-US"/>
        </w:rPr>
        <w:t>the reaction with the lowest cy</w:t>
      </w:r>
      <w:r w:rsidRPr="00251411">
        <w:rPr>
          <w:rFonts w:ascii="Times New Roman" w:hAnsi="Times New Roman" w:cs="Times New Roman"/>
          <w:sz w:val="24"/>
          <w:szCs w:val="24"/>
          <w:lang w:val="en-US"/>
        </w:rPr>
        <w:t xml:space="preserve">cle number yields a </w:t>
      </w:r>
      <w:r w:rsidR="000E1F06" w:rsidRPr="00251411">
        <w:rPr>
          <w:rFonts w:ascii="Times New Roman" w:hAnsi="Times New Roman" w:cs="Times New Roman"/>
          <w:sz w:val="24"/>
          <w:szCs w:val="24"/>
          <w:lang w:val="en-US"/>
        </w:rPr>
        <w:t>significantly</w:t>
      </w:r>
      <w:r w:rsidRPr="00251411">
        <w:rPr>
          <w:rFonts w:ascii="Times New Roman" w:hAnsi="Times New Roman" w:cs="Times New Roman"/>
          <w:sz w:val="24"/>
          <w:szCs w:val="24"/>
          <w:lang w:val="en-US"/>
        </w:rPr>
        <w:t xml:space="preserve"> higher correlation than that with 8 cycles. We also found a significantly higher correlation of input DNA and recovered rea</w:t>
      </w:r>
      <w:r w:rsidR="00EA5E1C" w:rsidRPr="00251411">
        <w:rPr>
          <w:rFonts w:ascii="Times New Roman" w:hAnsi="Times New Roman" w:cs="Times New Roman"/>
          <w:sz w:val="24"/>
          <w:szCs w:val="24"/>
          <w:lang w:val="en-US"/>
        </w:rPr>
        <w:t>ds after a 4-</w:t>
      </w:r>
      <w:r w:rsidRPr="00251411">
        <w:rPr>
          <w:rFonts w:ascii="Times New Roman" w:hAnsi="Times New Roman" w:cs="Times New Roman"/>
          <w:sz w:val="24"/>
          <w:szCs w:val="24"/>
          <w:lang w:val="en-US"/>
        </w:rPr>
        <w:t xml:space="preserve">fold increase of the amount of starting DNA template. We </w:t>
      </w:r>
      <w:r w:rsidR="00DF268B" w:rsidRPr="00251411">
        <w:rPr>
          <w:rFonts w:ascii="Times New Roman" w:hAnsi="Times New Roman" w:cs="Times New Roman"/>
          <w:sz w:val="24"/>
          <w:szCs w:val="24"/>
          <w:lang w:val="en-US"/>
        </w:rPr>
        <w:t xml:space="preserve">did not </w:t>
      </w:r>
      <w:r w:rsidRPr="00251411">
        <w:rPr>
          <w:rFonts w:ascii="Times New Roman" w:hAnsi="Times New Roman" w:cs="Times New Roman"/>
          <w:sz w:val="24"/>
          <w:szCs w:val="24"/>
          <w:lang w:val="en-US"/>
        </w:rPr>
        <w:t xml:space="preserve">find a taxonomic bias for the optimal </w:t>
      </w:r>
      <w:r w:rsidR="00DF268B" w:rsidRPr="00251411">
        <w:rPr>
          <w:rFonts w:ascii="Times New Roman" w:hAnsi="Times New Roman" w:cs="Times New Roman"/>
          <w:sz w:val="24"/>
          <w:szCs w:val="24"/>
          <w:lang w:val="en-US"/>
        </w:rPr>
        <w:t xml:space="preserve">first </w:t>
      </w:r>
      <w:r w:rsidR="00DF268B" w:rsidRPr="00251411">
        <w:rPr>
          <w:rFonts w:ascii="Times New Roman" w:hAnsi="Times New Roman" w:cs="Times New Roman"/>
          <w:sz w:val="24"/>
          <w:szCs w:val="24"/>
          <w:lang w:val="en-US"/>
        </w:rPr>
        <w:lastRenderedPageBreak/>
        <w:t xml:space="preserve">round PCR cycle number. All taxa follow a similar trend with the highest number of initial </w:t>
      </w:r>
      <w:r w:rsidR="000E1F06" w:rsidRPr="00251411">
        <w:rPr>
          <w:rFonts w:ascii="Times New Roman" w:hAnsi="Times New Roman" w:cs="Times New Roman"/>
          <w:sz w:val="24"/>
          <w:szCs w:val="24"/>
          <w:lang w:val="en-US"/>
        </w:rPr>
        <w:t>PCR</w:t>
      </w:r>
      <w:r w:rsidR="00DF268B" w:rsidRPr="00251411">
        <w:rPr>
          <w:rFonts w:ascii="Times New Roman" w:hAnsi="Times New Roman" w:cs="Times New Roman"/>
          <w:sz w:val="24"/>
          <w:szCs w:val="24"/>
          <w:lang w:val="en-US"/>
        </w:rPr>
        <w:t xml:space="preserve"> cycles </w:t>
      </w:r>
      <w:r w:rsidR="000E1F06" w:rsidRPr="00251411">
        <w:rPr>
          <w:rFonts w:ascii="Times New Roman" w:hAnsi="Times New Roman" w:cs="Times New Roman"/>
          <w:sz w:val="24"/>
          <w:szCs w:val="24"/>
          <w:lang w:val="en-US"/>
        </w:rPr>
        <w:t>yielding</w:t>
      </w:r>
      <w:r w:rsidR="00DF268B" w:rsidRPr="00251411">
        <w:rPr>
          <w:rFonts w:ascii="Times New Roman" w:hAnsi="Times New Roman" w:cs="Times New Roman"/>
          <w:sz w:val="24"/>
          <w:szCs w:val="24"/>
          <w:lang w:val="en-US"/>
        </w:rPr>
        <w:t xml:space="preserve"> the best </w:t>
      </w:r>
      <w:r w:rsidR="00D848B4" w:rsidRPr="00251411">
        <w:rPr>
          <w:rFonts w:ascii="Times New Roman" w:hAnsi="Times New Roman" w:cs="Times New Roman"/>
          <w:sz w:val="24"/>
          <w:szCs w:val="24"/>
          <w:lang w:val="en-US"/>
        </w:rPr>
        <w:t>correlation of</w:t>
      </w:r>
      <w:r w:rsidR="00EA7634" w:rsidRPr="00251411">
        <w:rPr>
          <w:rFonts w:ascii="Times New Roman" w:hAnsi="Times New Roman" w:cs="Times New Roman"/>
          <w:sz w:val="24"/>
          <w:szCs w:val="24"/>
          <w:lang w:val="en-US"/>
        </w:rPr>
        <w:t xml:space="preserve"> input DNA and recovered reads. </w:t>
      </w:r>
      <w:r w:rsidRPr="00251411">
        <w:rPr>
          <w:rFonts w:ascii="Times New Roman" w:hAnsi="Times New Roman" w:cs="Times New Roman"/>
          <w:sz w:val="24"/>
          <w:szCs w:val="24"/>
          <w:lang w:val="en-US"/>
        </w:rPr>
        <w:t xml:space="preserve">In contrast to the coefficient </w:t>
      </w:r>
      <w:r w:rsidR="00DF268B" w:rsidRPr="00251411">
        <w:rPr>
          <w:rFonts w:ascii="Times New Roman" w:hAnsi="Times New Roman" w:cs="Times New Roman"/>
          <w:sz w:val="24"/>
          <w:szCs w:val="24"/>
          <w:lang w:val="en-US"/>
        </w:rPr>
        <w:t xml:space="preserve">of determination, </w:t>
      </w:r>
      <w:r w:rsidRPr="00251411">
        <w:rPr>
          <w:rFonts w:ascii="Times New Roman" w:hAnsi="Times New Roman" w:cs="Times New Roman"/>
          <w:sz w:val="24"/>
          <w:szCs w:val="24"/>
          <w:lang w:val="en-US"/>
        </w:rPr>
        <w:t xml:space="preserve">the slope or fold change of the regression line between proportion of </w:t>
      </w:r>
      <w:r w:rsidR="00EA5E1C" w:rsidRPr="00251411">
        <w:rPr>
          <w:rFonts w:ascii="Times New Roman" w:hAnsi="Times New Roman" w:cs="Times New Roman"/>
          <w:sz w:val="24"/>
          <w:szCs w:val="24"/>
          <w:lang w:val="en-US"/>
        </w:rPr>
        <w:t>input</w:t>
      </w:r>
      <w:r w:rsidRPr="00251411">
        <w:rPr>
          <w:rFonts w:ascii="Times New Roman" w:hAnsi="Times New Roman" w:cs="Times New Roman"/>
          <w:sz w:val="24"/>
          <w:szCs w:val="24"/>
          <w:lang w:val="en-US"/>
        </w:rPr>
        <w:t xml:space="preserve"> DNA and recovered reads </w:t>
      </w:r>
      <w:r w:rsidR="00EA7634" w:rsidRPr="00251411">
        <w:rPr>
          <w:rFonts w:ascii="Times New Roman" w:hAnsi="Times New Roman" w:cs="Times New Roman"/>
          <w:sz w:val="24"/>
          <w:szCs w:val="24"/>
          <w:lang w:val="en-US"/>
        </w:rPr>
        <w:t>was</w:t>
      </w:r>
      <w:r w:rsidRPr="00251411">
        <w:rPr>
          <w:rFonts w:ascii="Times New Roman" w:hAnsi="Times New Roman" w:cs="Times New Roman"/>
          <w:sz w:val="24"/>
          <w:szCs w:val="24"/>
          <w:lang w:val="en-US"/>
        </w:rPr>
        <w:t xml:space="preserve"> not sign</w:t>
      </w:r>
      <w:r w:rsidR="00AF26EA" w:rsidRPr="00251411">
        <w:rPr>
          <w:rFonts w:ascii="Times New Roman" w:hAnsi="Times New Roman" w:cs="Times New Roman"/>
          <w:sz w:val="24"/>
          <w:szCs w:val="24"/>
          <w:lang w:val="en-US"/>
        </w:rPr>
        <w:t>ificantly affected by PCR cycle</w:t>
      </w:r>
      <w:r w:rsidRPr="00251411">
        <w:rPr>
          <w:rFonts w:ascii="Times New Roman" w:hAnsi="Times New Roman" w:cs="Times New Roman"/>
          <w:sz w:val="24"/>
          <w:szCs w:val="24"/>
          <w:lang w:val="en-US"/>
        </w:rPr>
        <w:t xml:space="preserve"> number of amount of starting DNA template. </w:t>
      </w:r>
    </w:p>
    <w:p w14:paraId="0B7EEB74" w14:textId="77777777" w:rsidR="00166277" w:rsidRPr="00251411" w:rsidRDefault="00166277" w:rsidP="00251411">
      <w:pPr>
        <w:spacing w:line="480" w:lineRule="auto"/>
        <w:jc w:val="both"/>
        <w:rPr>
          <w:rFonts w:ascii="Times New Roman" w:hAnsi="Times New Roman" w:cs="Times New Roman"/>
          <w:b/>
          <w:sz w:val="24"/>
          <w:szCs w:val="24"/>
          <w:lang w:val="en-US"/>
        </w:rPr>
      </w:pPr>
      <w:r w:rsidRPr="00251411">
        <w:rPr>
          <w:rFonts w:ascii="Times New Roman" w:hAnsi="Times New Roman" w:cs="Times New Roman"/>
          <w:b/>
          <w:sz w:val="24"/>
          <w:szCs w:val="24"/>
          <w:lang w:val="en-US"/>
        </w:rPr>
        <w:t>Discussion</w:t>
      </w:r>
    </w:p>
    <w:p w14:paraId="1F1B84CE" w14:textId="77777777" w:rsidR="00670916" w:rsidRPr="00251411" w:rsidRDefault="00670916" w:rsidP="00251411">
      <w:pPr>
        <w:spacing w:line="480" w:lineRule="auto"/>
        <w:jc w:val="both"/>
        <w:rPr>
          <w:rFonts w:ascii="Times New Roman" w:hAnsi="Times New Roman" w:cs="Times New Roman"/>
          <w:i/>
          <w:sz w:val="24"/>
          <w:szCs w:val="24"/>
          <w:lang w:val="en-US"/>
        </w:rPr>
      </w:pPr>
      <w:r w:rsidRPr="00251411">
        <w:rPr>
          <w:rFonts w:ascii="Times New Roman" w:hAnsi="Times New Roman" w:cs="Times New Roman"/>
          <w:i/>
          <w:sz w:val="24"/>
          <w:szCs w:val="24"/>
          <w:lang w:val="en-US"/>
        </w:rPr>
        <w:t xml:space="preserve">Towards quantitative metabarcoding </w:t>
      </w:r>
    </w:p>
    <w:p w14:paraId="7DC28722" w14:textId="7F66B8A1" w:rsidR="00DB03FF" w:rsidRPr="00251411" w:rsidRDefault="00C81A21"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Metabarcoding</w:t>
      </w:r>
      <w:r w:rsidR="00A774E9" w:rsidRPr="00251411">
        <w:rPr>
          <w:rFonts w:ascii="Times New Roman" w:hAnsi="Times New Roman" w:cs="Times New Roman"/>
          <w:sz w:val="24"/>
          <w:szCs w:val="24"/>
          <w:lang w:val="en-US"/>
        </w:rPr>
        <w:t xml:space="preserve"> studies can reliably predict the </w:t>
      </w:r>
      <w:r w:rsidR="00AF26EA" w:rsidRPr="00251411">
        <w:rPr>
          <w:rFonts w:ascii="Times New Roman" w:hAnsi="Times New Roman" w:cs="Times New Roman"/>
          <w:sz w:val="24"/>
          <w:szCs w:val="24"/>
          <w:lang w:val="en-US"/>
        </w:rPr>
        <w:t>species</w:t>
      </w:r>
      <w:r w:rsidR="00A774E9" w:rsidRPr="00251411">
        <w:rPr>
          <w:rFonts w:ascii="Times New Roman" w:hAnsi="Times New Roman" w:cs="Times New Roman"/>
          <w:sz w:val="24"/>
          <w:szCs w:val="24"/>
          <w:lang w:val="en-US"/>
        </w:rPr>
        <w:t xml:space="preserve"> richness of arthropod </w:t>
      </w:r>
      <w:r w:rsidR="00AF26EA" w:rsidRPr="00251411">
        <w:rPr>
          <w:rFonts w:ascii="Times New Roman" w:hAnsi="Times New Roman" w:cs="Times New Roman"/>
          <w:sz w:val="24"/>
          <w:szCs w:val="24"/>
          <w:lang w:val="en-US"/>
        </w:rPr>
        <w:t>communities</w:t>
      </w:r>
      <w:r w:rsidR="00981C6E" w:rsidRPr="00251411">
        <w:rPr>
          <w:rFonts w:ascii="Times New Roman" w:hAnsi="Times New Roman" w:cs="Times New Roman"/>
          <w:sz w:val="24"/>
          <w:szCs w:val="24"/>
          <w:lang w:val="en-US"/>
        </w:rPr>
        <w:t xml:space="preserve"> (</w:t>
      </w:r>
      <w:proofErr w:type="spellStart"/>
      <w:r w:rsidR="00981C6E" w:rsidRPr="00251411">
        <w:rPr>
          <w:rFonts w:ascii="Times New Roman" w:hAnsi="Times New Roman" w:cs="Times New Roman"/>
          <w:sz w:val="24"/>
          <w:szCs w:val="24"/>
          <w:lang w:val="en-US"/>
        </w:rPr>
        <w:t>Elbrecht</w:t>
      </w:r>
      <w:proofErr w:type="spellEnd"/>
      <w:r w:rsidR="00981C6E" w:rsidRPr="00251411">
        <w:rPr>
          <w:rFonts w:ascii="Times New Roman" w:hAnsi="Times New Roman" w:cs="Times New Roman"/>
          <w:sz w:val="24"/>
          <w:szCs w:val="24"/>
          <w:lang w:val="en-US"/>
        </w:rPr>
        <w:t xml:space="preserve"> et al. 2016)</w:t>
      </w:r>
      <w:r w:rsidR="00A774E9" w:rsidRPr="00251411">
        <w:rPr>
          <w:rFonts w:ascii="Times New Roman" w:hAnsi="Times New Roman" w:cs="Times New Roman"/>
          <w:sz w:val="24"/>
          <w:szCs w:val="24"/>
          <w:lang w:val="en-US"/>
        </w:rPr>
        <w:t xml:space="preserve">, a </w:t>
      </w:r>
      <w:r w:rsidR="00D70BC1" w:rsidRPr="00251411">
        <w:rPr>
          <w:rFonts w:ascii="Times New Roman" w:hAnsi="Times New Roman" w:cs="Times New Roman"/>
          <w:sz w:val="24"/>
          <w:szCs w:val="24"/>
          <w:lang w:val="en-US"/>
        </w:rPr>
        <w:t>finding which is well supported</w:t>
      </w:r>
      <w:r w:rsidR="00A774E9" w:rsidRPr="00251411">
        <w:rPr>
          <w:rFonts w:ascii="Times New Roman" w:hAnsi="Times New Roman" w:cs="Times New Roman"/>
          <w:sz w:val="24"/>
          <w:szCs w:val="24"/>
          <w:lang w:val="en-US"/>
        </w:rPr>
        <w:t xml:space="preserve"> by our results. </w:t>
      </w:r>
      <w:r w:rsidR="00AF26EA" w:rsidRPr="00251411">
        <w:rPr>
          <w:rFonts w:ascii="Times New Roman" w:hAnsi="Times New Roman" w:cs="Times New Roman"/>
          <w:sz w:val="24"/>
          <w:szCs w:val="24"/>
          <w:lang w:val="en-US"/>
        </w:rPr>
        <w:t xml:space="preserve">With the proper markers used, all taxa in </w:t>
      </w:r>
      <w:r w:rsidR="00805626" w:rsidRPr="00251411">
        <w:rPr>
          <w:rFonts w:ascii="Times New Roman" w:hAnsi="Times New Roman" w:cs="Times New Roman"/>
          <w:sz w:val="24"/>
          <w:szCs w:val="24"/>
          <w:lang w:val="en-US"/>
        </w:rPr>
        <w:t>the</w:t>
      </w:r>
      <w:r w:rsidR="00AF26EA" w:rsidRPr="00251411">
        <w:rPr>
          <w:rFonts w:ascii="Times New Roman" w:hAnsi="Times New Roman" w:cs="Times New Roman"/>
          <w:sz w:val="24"/>
          <w:szCs w:val="24"/>
          <w:lang w:val="en-US"/>
        </w:rPr>
        <w:t xml:space="preserve"> mock communities can be recovered with high fidelity. </w:t>
      </w:r>
      <w:r w:rsidR="00A774E9" w:rsidRPr="00251411">
        <w:rPr>
          <w:rFonts w:ascii="Times New Roman" w:hAnsi="Times New Roman" w:cs="Times New Roman"/>
          <w:sz w:val="24"/>
          <w:szCs w:val="24"/>
          <w:lang w:val="en-US"/>
        </w:rPr>
        <w:t xml:space="preserve">Moreover, we find </w:t>
      </w:r>
      <w:r w:rsidR="00DF268B" w:rsidRPr="00251411">
        <w:rPr>
          <w:rFonts w:ascii="Times New Roman" w:hAnsi="Times New Roman" w:cs="Times New Roman"/>
          <w:sz w:val="24"/>
          <w:szCs w:val="24"/>
          <w:lang w:val="en-US"/>
        </w:rPr>
        <w:t xml:space="preserve">that the amount </w:t>
      </w:r>
      <w:r w:rsidR="00AF26EA" w:rsidRPr="00251411">
        <w:rPr>
          <w:rFonts w:ascii="Times New Roman" w:hAnsi="Times New Roman" w:cs="Times New Roman"/>
          <w:sz w:val="24"/>
          <w:szCs w:val="24"/>
          <w:lang w:val="en-US"/>
        </w:rPr>
        <w:t>of</w:t>
      </w:r>
      <w:r w:rsidR="00DF268B" w:rsidRPr="00251411">
        <w:rPr>
          <w:rFonts w:ascii="Times New Roman" w:hAnsi="Times New Roman" w:cs="Times New Roman"/>
          <w:sz w:val="24"/>
          <w:szCs w:val="24"/>
          <w:lang w:val="en-US"/>
        </w:rPr>
        <w:t xml:space="preserve"> recovered reads for our target taxa is correlated in a very predictable way with the amount of in</w:t>
      </w:r>
      <w:r w:rsidR="00AF26EA" w:rsidRPr="00251411">
        <w:rPr>
          <w:rFonts w:ascii="Times New Roman" w:hAnsi="Times New Roman" w:cs="Times New Roman"/>
          <w:sz w:val="24"/>
          <w:szCs w:val="24"/>
          <w:lang w:val="en-US"/>
        </w:rPr>
        <w:t>p</w:t>
      </w:r>
      <w:r w:rsidR="00DF268B" w:rsidRPr="00251411">
        <w:rPr>
          <w:rFonts w:ascii="Times New Roman" w:hAnsi="Times New Roman" w:cs="Times New Roman"/>
          <w:sz w:val="24"/>
          <w:szCs w:val="24"/>
          <w:lang w:val="en-US"/>
        </w:rPr>
        <w:t xml:space="preserve">ut DNA. </w:t>
      </w:r>
      <w:r w:rsidR="000C2509" w:rsidRPr="00251411">
        <w:rPr>
          <w:rFonts w:ascii="Times New Roman" w:hAnsi="Times New Roman" w:cs="Times New Roman"/>
          <w:sz w:val="24"/>
          <w:szCs w:val="24"/>
          <w:lang w:val="en-US"/>
        </w:rPr>
        <w:t>Similar results have been found for microorganisms (</w:t>
      </w:r>
      <w:proofErr w:type="spellStart"/>
      <w:r w:rsidR="000C2509" w:rsidRPr="00251411">
        <w:rPr>
          <w:rFonts w:ascii="Times New Roman" w:hAnsi="Times New Roman" w:cs="Times New Roman"/>
          <w:sz w:val="24"/>
          <w:szCs w:val="24"/>
          <w:lang w:val="en-US"/>
        </w:rPr>
        <w:t>Sohn</w:t>
      </w:r>
      <w:proofErr w:type="spellEnd"/>
      <w:r w:rsidR="000C2509" w:rsidRPr="00251411">
        <w:rPr>
          <w:rFonts w:ascii="Times New Roman" w:hAnsi="Times New Roman" w:cs="Times New Roman"/>
          <w:sz w:val="24"/>
          <w:szCs w:val="24"/>
          <w:lang w:val="en-US"/>
        </w:rPr>
        <w:t xml:space="preserve"> et al. 2014; </w:t>
      </w:r>
      <w:proofErr w:type="spellStart"/>
      <w:r w:rsidR="000C2509" w:rsidRPr="00251411">
        <w:rPr>
          <w:rFonts w:ascii="Times New Roman" w:hAnsi="Times New Roman" w:cs="Times New Roman"/>
          <w:sz w:val="24"/>
          <w:szCs w:val="24"/>
          <w:lang w:val="en-US"/>
        </w:rPr>
        <w:t>Giner</w:t>
      </w:r>
      <w:proofErr w:type="spellEnd"/>
      <w:r w:rsidR="000C2509" w:rsidRPr="00251411">
        <w:rPr>
          <w:rFonts w:ascii="Times New Roman" w:hAnsi="Times New Roman" w:cs="Times New Roman"/>
          <w:sz w:val="24"/>
          <w:szCs w:val="24"/>
          <w:lang w:val="en-US"/>
        </w:rPr>
        <w:t xml:space="preserve"> et al. 2016). </w:t>
      </w:r>
      <w:r w:rsidR="00DF268B" w:rsidRPr="00251411">
        <w:rPr>
          <w:rFonts w:ascii="Times New Roman" w:hAnsi="Times New Roman" w:cs="Times New Roman"/>
          <w:sz w:val="24"/>
          <w:szCs w:val="24"/>
          <w:lang w:val="en-US"/>
        </w:rPr>
        <w:t>Irrespective of the amount of DNA of the target taxon or that of other taxa in the mock community, we can predict the amount of input with high reproducibility. Neither other taxa in the pool or the propor</w:t>
      </w:r>
      <w:r w:rsidR="00805626" w:rsidRPr="00251411">
        <w:rPr>
          <w:rFonts w:ascii="Times New Roman" w:hAnsi="Times New Roman" w:cs="Times New Roman"/>
          <w:sz w:val="24"/>
          <w:szCs w:val="24"/>
          <w:lang w:val="en-US"/>
        </w:rPr>
        <w:t>tion of a target taxon</w:t>
      </w:r>
      <w:r w:rsidR="00DF268B" w:rsidRPr="00251411">
        <w:rPr>
          <w:rFonts w:ascii="Times New Roman" w:hAnsi="Times New Roman" w:cs="Times New Roman"/>
          <w:sz w:val="24"/>
          <w:szCs w:val="24"/>
          <w:lang w:val="en-US"/>
        </w:rPr>
        <w:t xml:space="preserve"> affect</w:t>
      </w:r>
      <w:r w:rsidR="00805626" w:rsidRPr="00251411">
        <w:rPr>
          <w:rFonts w:ascii="Times New Roman" w:hAnsi="Times New Roman" w:cs="Times New Roman"/>
          <w:sz w:val="24"/>
          <w:szCs w:val="24"/>
          <w:lang w:val="en-US"/>
        </w:rPr>
        <w:t>s</w:t>
      </w:r>
      <w:r w:rsidR="00DF268B" w:rsidRPr="00251411">
        <w:rPr>
          <w:rFonts w:ascii="Times New Roman" w:hAnsi="Times New Roman" w:cs="Times New Roman"/>
          <w:sz w:val="24"/>
          <w:szCs w:val="24"/>
          <w:lang w:val="en-US"/>
        </w:rPr>
        <w:t xml:space="preserve"> the response. </w:t>
      </w:r>
      <w:r w:rsidR="00A774E9" w:rsidRPr="00251411">
        <w:rPr>
          <w:rFonts w:ascii="Times New Roman" w:hAnsi="Times New Roman" w:cs="Times New Roman"/>
          <w:sz w:val="24"/>
          <w:szCs w:val="24"/>
          <w:lang w:val="en-US"/>
        </w:rPr>
        <w:t xml:space="preserve">These results suggest that a PCR based metabarcoding approaches might allow for qualitative as well as quantitative estimates of arthropod communities. </w:t>
      </w:r>
    </w:p>
    <w:p w14:paraId="2AC71B50" w14:textId="764C58D4" w:rsidR="00C644DE" w:rsidRPr="00251411" w:rsidRDefault="00A774E9"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However, the fold change between the proportion </w:t>
      </w:r>
      <w:r w:rsidR="00054BD8" w:rsidRPr="00251411">
        <w:rPr>
          <w:rFonts w:ascii="Times New Roman" w:hAnsi="Times New Roman" w:cs="Times New Roman"/>
          <w:sz w:val="24"/>
          <w:szCs w:val="24"/>
          <w:lang w:val="en-US"/>
        </w:rPr>
        <w:t>of input DNA</w:t>
      </w:r>
      <w:r w:rsidRPr="00251411">
        <w:rPr>
          <w:rFonts w:ascii="Times New Roman" w:hAnsi="Times New Roman" w:cs="Times New Roman"/>
          <w:sz w:val="24"/>
          <w:szCs w:val="24"/>
          <w:lang w:val="en-US"/>
        </w:rPr>
        <w:t xml:space="preserve"> and rec</w:t>
      </w:r>
      <w:r w:rsidR="00805626" w:rsidRPr="00251411">
        <w:rPr>
          <w:rFonts w:ascii="Times New Roman" w:hAnsi="Times New Roman" w:cs="Times New Roman"/>
          <w:sz w:val="24"/>
          <w:szCs w:val="24"/>
          <w:lang w:val="en-US"/>
        </w:rPr>
        <w:t xml:space="preserve">overed reads is fairly variable, </w:t>
      </w:r>
      <w:r w:rsidRPr="00251411">
        <w:rPr>
          <w:rFonts w:ascii="Times New Roman" w:hAnsi="Times New Roman" w:cs="Times New Roman"/>
          <w:sz w:val="24"/>
          <w:szCs w:val="24"/>
          <w:lang w:val="en-US"/>
        </w:rPr>
        <w:t xml:space="preserve">complicating any quantitative </w:t>
      </w:r>
      <w:r w:rsidR="00054BD8" w:rsidRPr="00251411">
        <w:rPr>
          <w:rFonts w:ascii="Times New Roman" w:hAnsi="Times New Roman" w:cs="Times New Roman"/>
          <w:sz w:val="24"/>
          <w:szCs w:val="24"/>
          <w:lang w:val="en-US"/>
        </w:rPr>
        <w:t>analysis. Pro</w:t>
      </w:r>
      <w:r w:rsidR="00AF26EA" w:rsidRPr="00251411">
        <w:rPr>
          <w:rFonts w:ascii="Times New Roman" w:hAnsi="Times New Roman" w:cs="Times New Roman"/>
          <w:sz w:val="24"/>
          <w:szCs w:val="24"/>
          <w:lang w:val="en-US"/>
        </w:rPr>
        <w:t>b</w:t>
      </w:r>
      <w:r w:rsidR="00054BD8" w:rsidRPr="00251411">
        <w:rPr>
          <w:rFonts w:ascii="Times New Roman" w:hAnsi="Times New Roman" w:cs="Times New Roman"/>
          <w:sz w:val="24"/>
          <w:szCs w:val="24"/>
          <w:lang w:val="en-US"/>
        </w:rPr>
        <w:t>ab</w:t>
      </w:r>
      <w:r w:rsidR="00AF26EA" w:rsidRPr="00251411">
        <w:rPr>
          <w:rFonts w:ascii="Times New Roman" w:hAnsi="Times New Roman" w:cs="Times New Roman"/>
          <w:sz w:val="24"/>
          <w:szCs w:val="24"/>
          <w:lang w:val="en-US"/>
        </w:rPr>
        <w:t>l</w:t>
      </w:r>
      <w:r w:rsidR="00054BD8" w:rsidRPr="00251411">
        <w:rPr>
          <w:rFonts w:ascii="Times New Roman" w:hAnsi="Times New Roman" w:cs="Times New Roman"/>
          <w:sz w:val="24"/>
          <w:szCs w:val="24"/>
          <w:lang w:val="en-US"/>
        </w:rPr>
        <w:t>y due to bias in priming efficiency</w:t>
      </w:r>
      <w:r w:rsidR="006A76AF" w:rsidRPr="00251411">
        <w:rPr>
          <w:rFonts w:ascii="Times New Roman" w:hAnsi="Times New Roman" w:cs="Times New Roman"/>
          <w:sz w:val="24"/>
          <w:szCs w:val="24"/>
          <w:lang w:val="en-US"/>
        </w:rPr>
        <w:t xml:space="preserve"> or variable copy numbers</w:t>
      </w:r>
      <w:r w:rsidR="00054BD8" w:rsidRPr="00251411">
        <w:rPr>
          <w:rFonts w:ascii="Times New Roman" w:hAnsi="Times New Roman" w:cs="Times New Roman"/>
          <w:sz w:val="24"/>
          <w:szCs w:val="24"/>
          <w:lang w:val="en-US"/>
        </w:rPr>
        <w:t xml:space="preserve">, some taxa will be overabundant, while others are </w:t>
      </w:r>
      <w:r w:rsidR="00AF26EA" w:rsidRPr="00251411">
        <w:rPr>
          <w:rFonts w:ascii="Times New Roman" w:hAnsi="Times New Roman" w:cs="Times New Roman"/>
          <w:sz w:val="24"/>
          <w:szCs w:val="24"/>
          <w:lang w:val="en-US"/>
        </w:rPr>
        <w:t>underrepresented</w:t>
      </w:r>
      <w:r w:rsidR="00054BD8" w:rsidRPr="00251411">
        <w:rPr>
          <w:rFonts w:ascii="Times New Roman" w:hAnsi="Times New Roman" w:cs="Times New Roman"/>
          <w:sz w:val="24"/>
          <w:szCs w:val="24"/>
          <w:lang w:val="en-US"/>
        </w:rPr>
        <w:t xml:space="preserve"> in the </w:t>
      </w:r>
      <w:r w:rsidR="00AF26EA" w:rsidRPr="00251411">
        <w:rPr>
          <w:rFonts w:ascii="Times New Roman" w:hAnsi="Times New Roman" w:cs="Times New Roman"/>
          <w:sz w:val="24"/>
          <w:szCs w:val="24"/>
          <w:lang w:val="en-US"/>
        </w:rPr>
        <w:t>mock</w:t>
      </w:r>
      <w:r w:rsidR="00054BD8" w:rsidRPr="00251411">
        <w:rPr>
          <w:rFonts w:ascii="Times New Roman" w:hAnsi="Times New Roman" w:cs="Times New Roman"/>
          <w:sz w:val="24"/>
          <w:szCs w:val="24"/>
          <w:lang w:val="en-US"/>
        </w:rPr>
        <w:t xml:space="preserve"> community</w:t>
      </w:r>
      <w:r w:rsidR="00B00EB8" w:rsidRPr="00251411">
        <w:rPr>
          <w:rFonts w:ascii="Times New Roman" w:hAnsi="Times New Roman" w:cs="Times New Roman"/>
          <w:sz w:val="24"/>
          <w:szCs w:val="24"/>
          <w:lang w:val="en-US"/>
        </w:rPr>
        <w:t xml:space="preserve"> (</w:t>
      </w:r>
      <w:proofErr w:type="spellStart"/>
      <w:r w:rsidR="00981C6E" w:rsidRPr="00251411">
        <w:rPr>
          <w:rFonts w:ascii="Times New Roman" w:hAnsi="Times New Roman" w:cs="Times New Roman"/>
          <w:sz w:val="24"/>
          <w:szCs w:val="24"/>
          <w:lang w:val="en-US"/>
        </w:rPr>
        <w:t>Angly</w:t>
      </w:r>
      <w:proofErr w:type="spellEnd"/>
      <w:r w:rsidR="00981C6E" w:rsidRPr="00251411">
        <w:rPr>
          <w:rFonts w:ascii="Times New Roman" w:hAnsi="Times New Roman" w:cs="Times New Roman"/>
          <w:sz w:val="24"/>
          <w:szCs w:val="24"/>
          <w:lang w:val="en-US"/>
        </w:rPr>
        <w:t xml:space="preserve"> et al. 2014; </w:t>
      </w:r>
      <w:proofErr w:type="spellStart"/>
      <w:r w:rsidR="00981C6E" w:rsidRPr="00251411">
        <w:rPr>
          <w:rFonts w:ascii="Times New Roman" w:hAnsi="Times New Roman" w:cs="Times New Roman"/>
          <w:sz w:val="24"/>
          <w:szCs w:val="24"/>
          <w:lang w:val="en-US"/>
        </w:rPr>
        <w:t>Deagle</w:t>
      </w:r>
      <w:proofErr w:type="spellEnd"/>
      <w:r w:rsidR="00981C6E" w:rsidRPr="00251411">
        <w:rPr>
          <w:rFonts w:ascii="Times New Roman" w:hAnsi="Times New Roman" w:cs="Times New Roman"/>
          <w:sz w:val="24"/>
          <w:szCs w:val="24"/>
          <w:lang w:val="en-US"/>
        </w:rPr>
        <w:t xml:space="preserve"> et al. 2014</w:t>
      </w:r>
      <w:r w:rsidR="00B00EB8" w:rsidRPr="00251411">
        <w:rPr>
          <w:rFonts w:ascii="Times New Roman" w:hAnsi="Times New Roman" w:cs="Times New Roman"/>
          <w:sz w:val="24"/>
          <w:szCs w:val="24"/>
          <w:lang w:val="en-US"/>
        </w:rPr>
        <w:t>)</w:t>
      </w:r>
      <w:r w:rsidR="00054BD8" w:rsidRPr="00251411">
        <w:rPr>
          <w:rFonts w:ascii="Times New Roman" w:hAnsi="Times New Roman" w:cs="Times New Roman"/>
          <w:sz w:val="24"/>
          <w:szCs w:val="24"/>
          <w:lang w:val="en-US"/>
        </w:rPr>
        <w:t xml:space="preserve">. Generally, this bias is not very pronounced and many taxa show a near perfect correlation between </w:t>
      </w:r>
      <w:r w:rsidR="00461C48" w:rsidRPr="00251411">
        <w:rPr>
          <w:rFonts w:ascii="Times New Roman" w:hAnsi="Times New Roman" w:cs="Times New Roman"/>
          <w:sz w:val="24"/>
          <w:szCs w:val="24"/>
          <w:lang w:val="en-US"/>
        </w:rPr>
        <w:t>inp</w:t>
      </w:r>
      <w:r w:rsidR="00054BD8" w:rsidRPr="00251411">
        <w:rPr>
          <w:rFonts w:ascii="Times New Roman" w:hAnsi="Times New Roman" w:cs="Times New Roman"/>
          <w:sz w:val="24"/>
          <w:szCs w:val="24"/>
          <w:lang w:val="en-US"/>
        </w:rPr>
        <w:t>ut DN</w:t>
      </w:r>
      <w:r w:rsidR="00AF26EA" w:rsidRPr="00251411">
        <w:rPr>
          <w:rFonts w:ascii="Times New Roman" w:hAnsi="Times New Roman" w:cs="Times New Roman"/>
          <w:sz w:val="24"/>
          <w:szCs w:val="24"/>
          <w:lang w:val="en-US"/>
        </w:rPr>
        <w:t>A</w:t>
      </w:r>
      <w:r w:rsidR="00054BD8" w:rsidRPr="00251411">
        <w:rPr>
          <w:rFonts w:ascii="Times New Roman" w:hAnsi="Times New Roman" w:cs="Times New Roman"/>
          <w:sz w:val="24"/>
          <w:szCs w:val="24"/>
          <w:lang w:val="en-US"/>
        </w:rPr>
        <w:t xml:space="preserve"> and recovered reads.</w:t>
      </w:r>
      <w:r w:rsidR="00156704" w:rsidRPr="00251411">
        <w:rPr>
          <w:rFonts w:ascii="Times New Roman" w:hAnsi="Times New Roman" w:cs="Times New Roman"/>
          <w:sz w:val="24"/>
          <w:szCs w:val="24"/>
          <w:lang w:val="en-US"/>
        </w:rPr>
        <w:t xml:space="preserve"> </w:t>
      </w:r>
      <w:r w:rsidR="002979F9" w:rsidRPr="00251411">
        <w:rPr>
          <w:rFonts w:ascii="Times New Roman" w:hAnsi="Times New Roman" w:cs="Times New Roman"/>
          <w:sz w:val="24"/>
          <w:szCs w:val="24"/>
          <w:lang w:val="en-US"/>
        </w:rPr>
        <w:t xml:space="preserve">For an accurate quantitative analysis by metabarcoding, the </w:t>
      </w:r>
      <w:r w:rsidR="00156704" w:rsidRPr="00251411">
        <w:rPr>
          <w:rFonts w:ascii="Times New Roman" w:hAnsi="Times New Roman" w:cs="Times New Roman"/>
          <w:sz w:val="24"/>
          <w:szCs w:val="24"/>
          <w:lang w:val="en-US"/>
        </w:rPr>
        <w:t>exp</w:t>
      </w:r>
      <w:r w:rsidR="002979F9" w:rsidRPr="00251411">
        <w:rPr>
          <w:rFonts w:ascii="Times New Roman" w:hAnsi="Times New Roman" w:cs="Times New Roman"/>
          <w:sz w:val="24"/>
          <w:szCs w:val="24"/>
          <w:lang w:val="en-US"/>
        </w:rPr>
        <w:t xml:space="preserve">ected taxa in the studied system need </w:t>
      </w:r>
      <w:r w:rsidR="00156704" w:rsidRPr="00251411">
        <w:rPr>
          <w:rFonts w:ascii="Times New Roman" w:hAnsi="Times New Roman" w:cs="Times New Roman"/>
          <w:sz w:val="24"/>
          <w:szCs w:val="24"/>
          <w:lang w:val="en-US"/>
        </w:rPr>
        <w:t xml:space="preserve">to be </w:t>
      </w:r>
      <w:r w:rsidR="002979F9" w:rsidRPr="00251411">
        <w:rPr>
          <w:rFonts w:ascii="Times New Roman" w:hAnsi="Times New Roman" w:cs="Times New Roman"/>
          <w:sz w:val="24"/>
          <w:szCs w:val="24"/>
          <w:lang w:val="en-US"/>
        </w:rPr>
        <w:t>known. In ideal case, mock comm</w:t>
      </w:r>
      <w:r w:rsidR="00156704" w:rsidRPr="00251411">
        <w:rPr>
          <w:rFonts w:ascii="Times New Roman" w:hAnsi="Times New Roman" w:cs="Times New Roman"/>
          <w:sz w:val="24"/>
          <w:szCs w:val="24"/>
          <w:lang w:val="en-US"/>
        </w:rPr>
        <w:t xml:space="preserve">unities of </w:t>
      </w:r>
      <w:r w:rsidR="00B00EB8" w:rsidRPr="00251411">
        <w:rPr>
          <w:rFonts w:ascii="Times New Roman" w:hAnsi="Times New Roman" w:cs="Times New Roman"/>
          <w:sz w:val="24"/>
          <w:szCs w:val="24"/>
          <w:lang w:val="en-US"/>
        </w:rPr>
        <w:t xml:space="preserve">all </w:t>
      </w:r>
      <w:r w:rsidR="00156704" w:rsidRPr="00251411">
        <w:rPr>
          <w:rFonts w:ascii="Times New Roman" w:hAnsi="Times New Roman" w:cs="Times New Roman"/>
          <w:sz w:val="24"/>
          <w:szCs w:val="24"/>
          <w:lang w:val="en-US"/>
        </w:rPr>
        <w:t>major representative</w:t>
      </w:r>
      <w:r w:rsidR="002979F9" w:rsidRPr="00251411">
        <w:rPr>
          <w:rFonts w:ascii="Times New Roman" w:hAnsi="Times New Roman" w:cs="Times New Roman"/>
          <w:sz w:val="24"/>
          <w:szCs w:val="24"/>
          <w:lang w:val="en-US"/>
        </w:rPr>
        <w:t xml:space="preserve"> taxa in </w:t>
      </w:r>
      <w:r w:rsidR="002979F9" w:rsidRPr="00251411">
        <w:rPr>
          <w:rFonts w:ascii="Times New Roman" w:hAnsi="Times New Roman" w:cs="Times New Roman"/>
          <w:sz w:val="24"/>
          <w:szCs w:val="24"/>
          <w:lang w:val="en-US"/>
        </w:rPr>
        <w:lastRenderedPageBreak/>
        <w:t xml:space="preserve">the community can be run to derive correction factors </w:t>
      </w:r>
      <w:r w:rsidR="00156704" w:rsidRPr="00251411">
        <w:rPr>
          <w:rFonts w:ascii="Times New Roman" w:hAnsi="Times New Roman" w:cs="Times New Roman"/>
          <w:sz w:val="24"/>
          <w:szCs w:val="24"/>
          <w:lang w:val="en-US"/>
        </w:rPr>
        <w:t>to predict the relative abundance of species of community samples</w:t>
      </w:r>
      <w:r w:rsidR="00981C6E" w:rsidRPr="00251411">
        <w:rPr>
          <w:rFonts w:ascii="Times New Roman" w:hAnsi="Times New Roman" w:cs="Times New Roman"/>
          <w:sz w:val="24"/>
          <w:szCs w:val="24"/>
          <w:lang w:val="en-US"/>
        </w:rPr>
        <w:t xml:space="preserve">, as has been suggested in </w:t>
      </w:r>
      <w:r w:rsidR="00B317BF" w:rsidRPr="00251411">
        <w:rPr>
          <w:rFonts w:ascii="Times New Roman" w:hAnsi="Times New Roman" w:cs="Times New Roman"/>
          <w:sz w:val="24"/>
          <w:szCs w:val="24"/>
          <w:lang w:val="en-US"/>
        </w:rPr>
        <w:t xml:space="preserve">a study on seal gut content (Thomas et al. </w:t>
      </w:r>
      <w:r w:rsidR="00981C6E" w:rsidRPr="00251411">
        <w:rPr>
          <w:rFonts w:ascii="Times New Roman" w:hAnsi="Times New Roman" w:cs="Times New Roman"/>
          <w:sz w:val="24"/>
          <w:szCs w:val="24"/>
          <w:lang w:val="en-US"/>
        </w:rPr>
        <w:t>2015)</w:t>
      </w:r>
      <w:r w:rsidR="00156704" w:rsidRPr="00251411">
        <w:rPr>
          <w:rFonts w:ascii="Times New Roman" w:hAnsi="Times New Roman" w:cs="Times New Roman"/>
          <w:sz w:val="24"/>
          <w:szCs w:val="24"/>
          <w:lang w:val="en-US"/>
        </w:rPr>
        <w:t xml:space="preserve">. </w:t>
      </w:r>
      <w:r w:rsidR="003E7F71" w:rsidRPr="00251411">
        <w:rPr>
          <w:rFonts w:ascii="Times New Roman" w:hAnsi="Times New Roman" w:cs="Times New Roman"/>
          <w:sz w:val="24"/>
          <w:szCs w:val="24"/>
          <w:lang w:val="en-US"/>
        </w:rPr>
        <w:t>As the proportion of inp</w:t>
      </w:r>
      <w:r w:rsidR="006A76AF" w:rsidRPr="00251411">
        <w:rPr>
          <w:rFonts w:ascii="Times New Roman" w:hAnsi="Times New Roman" w:cs="Times New Roman"/>
          <w:sz w:val="24"/>
          <w:szCs w:val="24"/>
          <w:lang w:val="en-US"/>
        </w:rPr>
        <w:t>ut DN</w:t>
      </w:r>
      <w:r w:rsidR="003E7F71" w:rsidRPr="00251411">
        <w:rPr>
          <w:rFonts w:ascii="Times New Roman" w:hAnsi="Times New Roman" w:cs="Times New Roman"/>
          <w:sz w:val="24"/>
          <w:szCs w:val="24"/>
          <w:lang w:val="en-US"/>
        </w:rPr>
        <w:t>A</w:t>
      </w:r>
      <w:r w:rsidR="006A76AF" w:rsidRPr="00251411">
        <w:rPr>
          <w:rFonts w:ascii="Times New Roman" w:hAnsi="Times New Roman" w:cs="Times New Roman"/>
          <w:sz w:val="24"/>
          <w:szCs w:val="24"/>
          <w:lang w:val="en-US"/>
        </w:rPr>
        <w:t xml:space="preserve"> and recovered reads is </w:t>
      </w:r>
      <w:r w:rsidR="003E7F71" w:rsidRPr="00251411">
        <w:rPr>
          <w:rFonts w:ascii="Times New Roman" w:hAnsi="Times New Roman" w:cs="Times New Roman"/>
          <w:sz w:val="24"/>
          <w:szCs w:val="24"/>
          <w:lang w:val="en-US"/>
        </w:rPr>
        <w:t>mostly</w:t>
      </w:r>
      <w:r w:rsidR="006A76AF" w:rsidRPr="00251411">
        <w:rPr>
          <w:rFonts w:ascii="Times New Roman" w:hAnsi="Times New Roman" w:cs="Times New Roman"/>
          <w:sz w:val="24"/>
          <w:szCs w:val="24"/>
          <w:lang w:val="en-US"/>
        </w:rPr>
        <w:t xml:space="preserve"> very tightly correlated, such corre</w:t>
      </w:r>
      <w:r w:rsidR="00805626" w:rsidRPr="00251411">
        <w:rPr>
          <w:rFonts w:ascii="Times New Roman" w:hAnsi="Times New Roman" w:cs="Times New Roman"/>
          <w:sz w:val="24"/>
          <w:szCs w:val="24"/>
          <w:lang w:val="en-US"/>
        </w:rPr>
        <w:t xml:space="preserve">ction factors would allow for an </w:t>
      </w:r>
      <w:r w:rsidR="006A76AF" w:rsidRPr="00251411">
        <w:rPr>
          <w:rFonts w:ascii="Times New Roman" w:hAnsi="Times New Roman" w:cs="Times New Roman"/>
          <w:sz w:val="24"/>
          <w:szCs w:val="24"/>
          <w:lang w:val="en-US"/>
        </w:rPr>
        <w:t>accurate ide</w:t>
      </w:r>
      <w:r w:rsidR="00461C48" w:rsidRPr="00251411">
        <w:rPr>
          <w:rFonts w:ascii="Times New Roman" w:hAnsi="Times New Roman" w:cs="Times New Roman"/>
          <w:sz w:val="24"/>
          <w:szCs w:val="24"/>
          <w:lang w:val="en-US"/>
        </w:rPr>
        <w:t>ntification of rela</w:t>
      </w:r>
      <w:r w:rsidR="00805626" w:rsidRPr="00251411">
        <w:rPr>
          <w:rFonts w:ascii="Times New Roman" w:hAnsi="Times New Roman" w:cs="Times New Roman"/>
          <w:sz w:val="24"/>
          <w:szCs w:val="24"/>
          <w:lang w:val="en-US"/>
        </w:rPr>
        <w:t>tive abundances</w:t>
      </w:r>
      <w:r w:rsidR="006A76AF" w:rsidRPr="00251411">
        <w:rPr>
          <w:rFonts w:ascii="Times New Roman" w:hAnsi="Times New Roman" w:cs="Times New Roman"/>
          <w:sz w:val="24"/>
          <w:szCs w:val="24"/>
          <w:lang w:val="en-US"/>
        </w:rPr>
        <w:t xml:space="preserve">. </w:t>
      </w:r>
      <w:r w:rsidR="00B3256B" w:rsidRPr="00251411">
        <w:rPr>
          <w:rFonts w:ascii="Times New Roman" w:hAnsi="Times New Roman" w:cs="Times New Roman"/>
          <w:sz w:val="24"/>
          <w:szCs w:val="24"/>
          <w:lang w:val="en-US"/>
        </w:rPr>
        <w:t xml:space="preserve">In our case, </w:t>
      </w:r>
      <w:r w:rsidR="00981C6E" w:rsidRPr="00251411">
        <w:rPr>
          <w:rFonts w:ascii="Times New Roman" w:hAnsi="Times New Roman" w:cs="Times New Roman"/>
          <w:sz w:val="24"/>
          <w:szCs w:val="24"/>
          <w:lang w:val="en-US"/>
        </w:rPr>
        <w:t>5-</w:t>
      </w:r>
      <w:r w:rsidR="00B3256B" w:rsidRPr="00251411">
        <w:rPr>
          <w:rFonts w:ascii="Times New Roman" w:hAnsi="Times New Roman" w:cs="Times New Roman"/>
          <w:sz w:val="24"/>
          <w:szCs w:val="24"/>
          <w:lang w:val="en-US"/>
        </w:rPr>
        <w:t xml:space="preserve">10 mock communities are sufficient to quantify the relative abundance of </w:t>
      </w:r>
      <w:r w:rsidR="00B14DF3" w:rsidRPr="00251411">
        <w:rPr>
          <w:rFonts w:ascii="Times New Roman" w:hAnsi="Times New Roman" w:cs="Times New Roman"/>
          <w:sz w:val="24"/>
          <w:szCs w:val="24"/>
          <w:lang w:val="en-US"/>
        </w:rPr>
        <w:t>~</w:t>
      </w:r>
      <w:r w:rsidR="00B3256B" w:rsidRPr="00251411">
        <w:rPr>
          <w:rFonts w:ascii="Times New Roman" w:hAnsi="Times New Roman" w:cs="Times New Roman"/>
          <w:sz w:val="24"/>
          <w:szCs w:val="24"/>
          <w:lang w:val="en-US"/>
        </w:rPr>
        <w:t xml:space="preserve">40 Californian arthropod species with high accuracy. </w:t>
      </w:r>
      <w:r w:rsidR="00C644DE" w:rsidRPr="00251411">
        <w:rPr>
          <w:rFonts w:ascii="Times New Roman" w:hAnsi="Times New Roman" w:cs="Times New Roman"/>
          <w:sz w:val="24"/>
          <w:szCs w:val="24"/>
          <w:lang w:val="en-US"/>
        </w:rPr>
        <w:t>T</w:t>
      </w:r>
      <w:r w:rsidR="00156704" w:rsidRPr="00251411">
        <w:rPr>
          <w:rFonts w:ascii="Times New Roman" w:hAnsi="Times New Roman" w:cs="Times New Roman"/>
          <w:sz w:val="24"/>
          <w:szCs w:val="24"/>
          <w:lang w:val="en-US"/>
        </w:rPr>
        <w:t xml:space="preserve">he identification of </w:t>
      </w:r>
      <w:r w:rsidR="006A76AF" w:rsidRPr="00251411">
        <w:rPr>
          <w:rFonts w:ascii="Times New Roman" w:hAnsi="Times New Roman" w:cs="Times New Roman"/>
          <w:sz w:val="24"/>
          <w:szCs w:val="24"/>
          <w:lang w:val="en-US"/>
        </w:rPr>
        <w:t xml:space="preserve">such </w:t>
      </w:r>
      <w:r w:rsidR="00156704" w:rsidRPr="00251411">
        <w:rPr>
          <w:rFonts w:ascii="Times New Roman" w:hAnsi="Times New Roman" w:cs="Times New Roman"/>
          <w:sz w:val="24"/>
          <w:szCs w:val="24"/>
          <w:lang w:val="en-US"/>
        </w:rPr>
        <w:t>correction factors in</w:t>
      </w:r>
      <w:r w:rsidR="00C644DE" w:rsidRPr="00251411">
        <w:rPr>
          <w:rFonts w:ascii="Times New Roman" w:hAnsi="Times New Roman" w:cs="Times New Roman"/>
          <w:sz w:val="24"/>
          <w:szCs w:val="24"/>
          <w:lang w:val="en-US"/>
        </w:rPr>
        <w:t>volve</w:t>
      </w:r>
      <w:r w:rsidR="00B3256B" w:rsidRPr="00251411">
        <w:rPr>
          <w:rFonts w:ascii="Times New Roman" w:hAnsi="Times New Roman" w:cs="Times New Roman"/>
          <w:sz w:val="24"/>
          <w:szCs w:val="24"/>
          <w:lang w:val="en-US"/>
        </w:rPr>
        <w:t>s</w:t>
      </w:r>
      <w:r w:rsidR="00C644DE" w:rsidRPr="00251411">
        <w:rPr>
          <w:rFonts w:ascii="Times New Roman" w:hAnsi="Times New Roman" w:cs="Times New Roman"/>
          <w:sz w:val="24"/>
          <w:szCs w:val="24"/>
          <w:lang w:val="en-US"/>
        </w:rPr>
        <w:t xml:space="preserve"> considerable effort. </w:t>
      </w:r>
      <w:r w:rsidR="000379E4" w:rsidRPr="00251411">
        <w:rPr>
          <w:rFonts w:ascii="Times New Roman" w:hAnsi="Times New Roman" w:cs="Times New Roman"/>
          <w:sz w:val="24"/>
          <w:szCs w:val="24"/>
          <w:lang w:val="en-US"/>
        </w:rPr>
        <w:t xml:space="preserve">Our method will thus </w:t>
      </w:r>
      <w:r w:rsidR="00B14DF3" w:rsidRPr="00251411">
        <w:rPr>
          <w:rFonts w:ascii="Times New Roman" w:hAnsi="Times New Roman" w:cs="Times New Roman"/>
          <w:sz w:val="24"/>
          <w:szCs w:val="24"/>
          <w:lang w:val="en-US"/>
        </w:rPr>
        <w:t>not be feasible</w:t>
      </w:r>
      <w:r w:rsidR="00805626" w:rsidRPr="00251411">
        <w:rPr>
          <w:rFonts w:ascii="Times New Roman" w:hAnsi="Times New Roman" w:cs="Times New Roman"/>
          <w:sz w:val="24"/>
          <w:szCs w:val="24"/>
          <w:lang w:val="en-US"/>
        </w:rPr>
        <w:t xml:space="preserve"> in unknown ecosystem</w:t>
      </w:r>
      <w:r w:rsidR="00B14DF3" w:rsidRPr="00251411">
        <w:rPr>
          <w:rFonts w:ascii="Times New Roman" w:hAnsi="Times New Roman" w:cs="Times New Roman"/>
          <w:sz w:val="24"/>
          <w:szCs w:val="24"/>
          <w:lang w:val="en-US"/>
        </w:rPr>
        <w:t>s</w:t>
      </w:r>
      <w:r w:rsidR="00805626" w:rsidRPr="00251411">
        <w:rPr>
          <w:rFonts w:ascii="Times New Roman" w:hAnsi="Times New Roman" w:cs="Times New Roman"/>
          <w:sz w:val="24"/>
          <w:szCs w:val="24"/>
          <w:lang w:val="en-US"/>
        </w:rPr>
        <w:t xml:space="preserve"> or</w:t>
      </w:r>
      <w:r w:rsidR="00B14DF3" w:rsidRPr="00251411">
        <w:rPr>
          <w:rFonts w:ascii="Times New Roman" w:hAnsi="Times New Roman" w:cs="Times New Roman"/>
          <w:sz w:val="24"/>
          <w:szCs w:val="24"/>
          <w:lang w:val="en-US"/>
        </w:rPr>
        <w:t xml:space="preserve"> for simple exploratory work</w:t>
      </w:r>
      <w:r w:rsidR="000379E4" w:rsidRPr="00251411">
        <w:rPr>
          <w:rFonts w:ascii="Times New Roman" w:hAnsi="Times New Roman" w:cs="Times New Roman"/>
          <w:sz w:val="24"/>
          <w:szCs w:val="24"/>
          <w:lang w:val="en-US"/>
        </w:rPr>
        <w:t xml:space="preserve">. </w:t>
      </w:r>
      <w:r w:rsidR="00C644DE" w:rsidRPr="00251411">
        <w:rPr>
          <w:rFonts w:ascii="Times New Roman" w:hAnsi="Times New Roman" w:cs="Times New Roman"/>
          <w:sz w:val="24"/>
          <w:szCs w:val="24"/>
          <w:lang w:val="en-US"/>
        </w:rPr>
        <w:t>But for large scale and long ter</w:t>
      </w:r>
      <w:r w:rsidR="00805626" w:rsidRPr="00251411">
        <w:rPr>
          <w:rFonts w:ascii="Times New Roman" w:hAnsi="Times New Roman" w:cs="Times New Roman"/>
          <w:sz w:val="24"/>
          <w:szCs w:val="24"/>
          <w:lang w:val="en-US"/>
        </w:rPr>
        <w:t xml:space="preserve">m studies in one ecosystem the effort </w:t>
      </w:r>
      <w:r w:rsidR="00C644DE" w:rsidRPr="00251411">
        <w:rPr>
          <w:rFonts w:ascii="Times New Roman" w:hAnsi="Times New Roman" w:cs="Times New Roman"/>
          <w:sz w:val="24"/>
          <w:szCs w:val="24"/>
          <w:lang w:val="en-US"/>
        </w:rPr>
        <w:t xml:space="preserve">might well pay </w:t>
      </w:r>
      <w:r w:rsidR="00D848B4" w:rsidRPr="00251411">
        <w:rPr>
          <w:rFonts w:ascii="Times New Roman" w:hAnsi="Times New Roman" w:cs="Times New Roman"/>
          <w:sz w:val="24"/>
          <w:szCs w:val="24"/>
          <w:lang w:val="en-US"/>
        </w:rPr>
        <w:t>off</w:t>
      </w:r>
      <w:r w:rsidR="00C644DE" w:rsidRPr="00251411">
        <w:rPr>
          <w:rFonts w:ascii="Times New Roman" w:hAnsi="Times New Roman" w:cs="Times New Roman"/>
          <w:sz w:val="24"/>
          <w:szCs w:val="24"/>
          <w:lang w:val="en-US"/>
        </w:rPr>
        <w:t xml:space="preserve">. </w:t>
      </w:r>
    </w:p>
    <w:p w14:paraId="336F9E8F" w14:textId="24E5F487" w:rsidR="00D70BC1" w:rsidRPr="00251411" w:rsidRDefault="00C644DE"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Contrary to our expectations, a </w:t>
      </w:r>
      <w:r w:rsidR="006B239B" w:rsidRPr="00251411">
        <w:rPr>
          <w:rFonts w:ascii="Times New Roman" w:hAnsi="Times New Roman" w:cs="Times New Roman"/>
          <w:sz w:val="24"/>
          <w:szCs w:val="24"/>
          <w:lang w:val="en-US"/>
        </w:rPr>
        <w:t>reduction</w:t>
      </w:r>
      <w:r w:rsidRPr="00251411">
        <w:rPr>
          <w:rFonts w:ascii="Times New Roman" w:hAnsi="Times New Roman" w:cs="Times New Roman"/>
          <w:sz w:val="24"/>
          <w:szCs w:val="24"/>
          <w:lang w:val="en-US"/>
        </w:rPr>
        <w:t xml:space="preserve"> of the </w:t>
      </w:r>
      <w:r w:rsidR="006B239B" w:rsidRPr="00251411">
        <w:rPr>
          <w:rFonts w:ascii="Times New Roman" w:hAnsi="Times New Roman" w:cs="Times New Roman"/>
          <w:sz w:val="24"/>
          <w:szCs w:val="24"/>
          <w:lang w:val="en-US"/>
        </w:rPr>
        <w:t>first</w:t>
      </w:r>
      <w:r w:rsidRPr="00251411">
        <w:rPr>
          <w:rFonts w:ascii="Times New Roman" w:hAnsi="Times New Roman" w:cs="Times New Roman"/>
          <w:sz w:val="24"/>
          <w:szCs w:val="24"/>
          <w:lang w:val="en-US"/>
        </w:rPr>
        <w:t xml:space="preserve"> round </w:t>
      </w:r>
      <w:r w:rsidR="006B239B" w:rsidRPr="00251411">
        <w:rPr>
          <w:rFonts w:ascii="Times New Roman" w:hAnsi="Times New Roman" w:cs="Times New Roman"/>
          <w:sz w:val="24"/>
          <w:szCs w:val="24"/>
          <w:lang w:val="en-US"/>
        </w:rPr>
        <w:t>PCR</w:t>
      </w:r>
      <w:r w:rsidRPr="00251411">
        <w:rPr>
          <w:rFonts w:ascii="Times New Roman" w:hAnsi="Times New Roman" w:cs="Times New Roman"/>
          <w:sz w:val="24"/>
          <w:szCs w:val="24"/>
          <w:lang w:val="en-US"/>
        </w:rPr>
        <w:t xml:space="preserve"> cycle number did not </w:t>
      </w:r>
      <w:r w:rsidR="006B239B" w:rsidRPr="00251411">
        <w:rPr>
          <w:rFonts w:ascii="Times New Roman" w:hAnsi="Times New Roman" w:cs="Times New Roman"/>
          <w:sz w:val="24"/>
          <w:szCs w:val="24"/>
          <w:lang w:val="en-US"/>
        </w:rPr>
        <w:t xml:space="preserve">improve the accuracy of quantitative species recovery. </w:t>
      </w:r>
      <w:r w:rsidR="00805626" w:rsidRPr="00251411">
        <w:rPr>
          <w:rFonts w:ascii="Times New Roman" w:hAnsi="Times New Roman" w:cs="Times New Roman"/>
          <w:sz w:val="24"/>
          <w:szCs w:val="24"/>
          <w:lang w:val="en-US"/>
        </w:rPr>
        <w:t>These results suggest</w:t>
      </w:r>
      <w:r w:rsidR="00D70BC1" w:rsidRPr="00251411">
        <w:rPr>
          <w:rFonts w:ascii="Times New Roman" w:hAnsi="Times New Roman" w:cs="Times New Roman"/>
          <w:sz w:val="24"/>
          <w:szCs w:val="24"/>
          <w:lang w:val="en-US"/>
        </w:rPr>
        <w:t xml:space="preserve"> that divergence in priming sites might not necessarily lead to strong bias. Previous studies have shown the most pronounced effect for mutation in the last few 3’-prime bases of primers, while mutations further upstream </w:t>
      </w:r>
      <w:r w:rsidR="00726F90" w:rsidRPr="00251411">
        <w:rPr>
          <w:rFonts w:ascii="Times New Roman" w:hAnsi="Times New Roman" w:cs="Times New Roman"/>
          <w:sz w:val="24"/>
          <w:szCs w:val="24"/>
          <w:lang w:val="en-US"/>
        </w:rPr>
        <w:t>have</w:t>
      </w:r>
      <w:r w:rsidR="00D70BC1" w:rsidRPr="00251411">
        <w:rPr>
          <w:rFonts w:ascii="Times New Roman" w:hAnsi="Times New Roman" w:cs="Times New Roman"/>
          <w:sz w:val="24"/>
          <w:szCs w:val="24"/>
          <w:lang w:val="en-US"/>
        </w:rPr>
        <w:t xml:space="preserve"> </w:t>
      </w:r>
      <w:r w:rsidR="00726F90" w:rsidRPr="00251411">
        <w:rPr>
          <w:rFonts w:ascii="Times New Roman" w:hAnsi="Times New Roman" w:cs="Times New Roman"/>
          <w:sz w:val="24"/>
          <w:szCs w:val="24"/>
          <w:lang w:val="en-US"/>
        </w:rPr>
        <w:t>less</w:t>
      </w:r>
      <w:r w:rsidR="00D70BC1" w:rsidRPr="00251411">
        <w:rPr>
          <w:rFonts w:ascii="Times New Roman" w:hAnsi="Times New Roman" w:cs="Times New Roman"/>
          <w:sz w:val="24"/>
          <w:szCs w:val="24"/>
          <w:lang w:val="en-US"/>
        </w:rPr>
        <w:t xml:space="preserve"> effect </w:t>
      </w:r>
      <w:r w:rsidR="00726F90" w:rsidRPr="00251411">
        <w:rPr>
          <w:rFonts w:ascii="Times New Roman" w:hAnsi="Times New Roman" w:cs="Times New Roman"/>
          <w:sz w:val="24"/>
          <w:szCs w:val="24"/>
          <w:lang w:val="en-US"/>
        </w:rPr>
        <w:t>on</w:t>
      </w:r>
      <w:r w:rsidR="00D70BC1" w:rsidRPr="00251411">
        <w:rPr>
          <w:rFonts w:ascii="Times New Roman" w:hAnsi="Times New Roman" w:cs="Times New Roman"/>
          <w:sz w:val="24"/>
          <w:szCs w:val="24"/>
          <w:lang w:val="en-US"/>
        </w:rPr>
        <w:t xml:space="preserve"> priming efficiency</w:t>
      </w:r>
      <w:r w:rsidR="00B00EB8" w:rsidRPr="00251411">
        <w:rPr>
          <w:rFonts w:ascii="Times New Roman" w:hAnsi="Times New Roman" w:cs="Times New Roman"/>
          <w:sz w:val="24"/>
          <w:szCs w:val="24"/>
          <w:lang w:val="en-US"/>
        </w:rPr>
        <w:t xml:space="preserve"> (</w:t>
      </w:r>
      <w:proofErr w:type="spellStart"/>
      <w:r w:rsidR="00726F90" w:rsidRPr="00251411">
        <w:rPr>
          <w:rFonts w:ascii="Times New Roman" w:hAnsi="Times New Roman" w:cs="Times New Roman"/>
          <w:sz w:val="24"/>
          <w:szCs w:val="24"/>
          <w:lang w:val="en-US"/>
        </w:rPr>
        <w:t>Stadhouders</w:t>
      </w:r>
      <w:proofErr w:type="spellEnd"/>
      <w:r w:rsidR="00726F90" w:rsidRPr="00251411">
        <w:rPr>
          <w:rFonts w:ascii="Times New Roman" w:hAnsi="Times New Roman" w:cs="Times New Roman"/>
          <w:sz w:val="24"/>
          <w:szCs w:val="24"/>
          <w:lang w:val="en-US"/>
        </w:rPr>
        <w:t xml:space="preserve"> et al. 2010</w:t>
      </w:r>
      <w:r w:rsidR="00B00EB8" w:rsidRPr="00251411">
        <w:rPr>
          <w:rFonts w:ascii="Times New Roman" w:hAnsi="Times New Roman" w:cs="Times New Roman"/>
          <w:sz w:val="24"/>
          <w:szCs w:val="24"/>
          <w:lang w:val="en-US"/>
        </w:rPr>
        <w:t>)</w:t>
      </w:r>
      <w:r w:rsidR="00D70BC1" w:rsidRPr="00251411">
        <w:rPr>
          <w:rFonts w:ascii="Times New Roman" w:hAnsi="Times New Roman" w:cs="Times New Roman"/>
          <w:sz w:val="24"/>
          <w:szCs w:val="24"/>
          <w:lang w:val="en-US"/>
        </w:rPr>
        <w:t xml:space="preserve">. </w:t>
      </w:r>
      <w:r w:rsidR="00805626" w:rsidRPr="00251411">
        <w:rPr>
          <w:rFonts w:ascii="Times New Roman" w:hAnsi="Times New Roman" w:cs="Times New Roman"/>
          <w:sz w:val="24"/>
          <w:szCs w:val="24"/>
          <w:lang w:val="en-US"/>
        </w:rPr>
        <w:t>Saturated with</w:t>
      </w:r>
      <w:r w:rsidR="00D70BC1" w:rsidRPr="00251411">
        <w:rPr>
          <w:rFonts w:ascii="Times New Roman" w:hAnsi="Times New Roman" w:cs="Times New Roman"/>
          <w:sz w:val="24"/>
          <w:szCs w:val="24"/>
          <w:lang w:val="en-US"/>
        </w:rPr>
        <w:t xml:space="preserve"> degenerate bases, many of the primers used here, will </w:t>
      </w:r>
      <w:r w:rsidR="00F66F43" w:rsidRPr="00251411">
        <w:rPr>
          <w:rFonts w:ascii="Times New Roman" w:hAnsi="Times New Roman" w:cs="Times New Roman"/>
          <w:sz w:val="24"/>
          <w:szCs w:val="24"/>
          <w:lang w:val="en-US"/>
        </w:rPr>
        <w:t xml:space="preserve">probably </w:t>
      </w:r>
      <w:r w:rsidR="00D70BC1" w:rsidRPr="00251411">
        <w:rPr>
          <w:rFonts w:ascii="Times New Roman" w:hAnsi="Times New Roman" w:cs="Times New Roman"/>
          <w:sz w:val="24"/>
          <w:szCs w:val="24"/>
          <w:lang w:val="en-US"/>
        </w:rPr>
        <w:t>be well protected from such bias. The observed differences in fold-change of recovery of input DNA between diffe</w:t>
      </w:r>
      <w:r w:rsidR="00805626" w:rsidRPr="00251411">
        <w:rPr>
          <w:rFonts w:ascii="Times New Roman" w:hAnsi="Times New Roman" w:cs="Times New Roman"/>
          <w:sz w:val="24"/>
          <w:szCs w:val="24"/>
          <w:lang w:val="en-US"/>
        </w:rPr>
        <w:t>rent taxa might thus be more affected</w:t>
      </w:r>
      <w:r w:rsidR="00D70BC1" w:rsidRPr="00251411">
        <w:rPr>
          <w:rFonts w:ascii="Times New Roman" w:hAnsi="Times New Roman" w:cs="Times New Roman"/>
          <w:sz w:val="24"/>
          <w:szCs w:val="24"/>
          <w:lang w:val="en-US"/>
        </w:rPr>
        <w:t xml:space="preserve"> by copy number variation </w:t>
      </w:r>
      <w:r w:rsidR="00805626" w:rsidRPr="00251411">
        <w:rPr>
          <w:rFonts w:ascii="Times New Roman" w:hAnsi="Times New Roman" w:cs="Times New Roman"/>
          <w:sz w:val="24"/>
          <w:szCs w:val="24"/>
          <w:lang w:val="en-US"/>
        </w:rPr>
        <w:t>than by priming bias</w:t>
      </w:r>
      <w:r w:rsidR="00D70BC1" w:rsidRPr="00251411">
        <w:rPr>
          <w:rFonts w:ascii="Times New Roman" w:hAnsi="Times New Roman" w:cs="Times New Roman"/>
          <w:sz w:val="24"/>
          <w:szCs w:val="24"/>
          <w:lang w:val="en-US"/>
        </w:rPr>
        <w:t xml:space="preserve"> markers under study (</w:t>
      </w:r>
      <w:r w:rsidR="000B56AF" w:rsidRPr="00251411">
        <w:rPr>
          <w:rFonts w:ascii="Times New Roman" w:hAnsi="Times New Roman" w:cs="Times New Roman"/>
          <w:sz w:val="24"/>
          <w:szCs w:val="24"/>
          <w:lang w:val="en-US"/>
        </w:rPr>
        <w:t xml:space="preserve">Rogers &amp; </w:t>
      </w:r>
      <w:proofErr w:type="spellStart"/>
      <w:r w:rsidR="000B56AF" w:rsidRPr="00251411">
        <w:rPr>
          <w:rFonts w:ascii="Times New Roman" w:hAnsi="Times New Roman" w:cs="Times New Roman"/>
          <w:sz w:val="24"/>
          <w:szCs w:val="24"/>
          <w:lang w:val="en-US"/>
        </w:rPr>
        <w:t>Bendich</w:t>
      </w:r>
      <w:proofErr w:type="spellEnd"/>
      <w:r w:rsidR="000B56AF" w:rsidRPr="00251411">
        <w:rPr>
          <w:rFonts w:ascii="Times New Roman" w:hAnsi="Times New Roman" w:cs="Times New Roman"/>
          <w:sz w:val="24"/>
          <w:szCs w:val="24"/>
          <w:lang w:val="en-US"/>
        </w:rPr>
        <w:t xml:space="preserve"> 1987; </w:t>
      </w:r>
      <w:r w:rsidR="00971F41" w:rsidRPr="00251411">
        <w:rPr>
          <w:rFonts w:ascii="Times New Roman" w:hAnsi="Times New Roman" w:cs="Times New Roman"/>
          <w:sz w:val="24"/>
          <w:szCs w:val="24"/>
          <w:lang w:val="en-US"/>
        </w:rPr>
        <w:t>Piotrowski et al. 2008</w:t>
      </w:r>
      <w:r w:rsidR="00D70BC1" w:rsidRPr="00251411">
        <w:rPr>
          <w:rFonts w:ascii="Times New Roman" w:hAnsi="Times New Roman" w:cs="Times New Roman"/>
          <w:sz w:val="24"/>
          <w:szCs w:val="24"/>
          <w:lang w:val="en-US"/>
        </w:rPr>
        <w:t xml:space="preserve">). </w:t>
      </w:r>
    </w:p>
    <w:p w14:paraId="5C22AD43" w14:textId="77777777" w:rsidR="00461C48" w:rsidRPr="00251411" w:rsidRDefault="00D70BC1"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A</w:t>
      </w:r>
      <w:r w:rsidR="006B239B" w:rsidRPr="00251411">
        <w:rPr>
          <w:rFonts w:ascii="Times New Roman" w:hAnsi="Times New Roman" w:cs="Times New Roman"/>
          <w:sz w:val="24"/>
          <w:szCs w:val="24"/>
          <w:lang w:val="en-US"/>
        </w:rPr>
        <w:t xml:space="preserve">n overabundance of template </w:t>
      </w:r>
      <w:r w:rsidR="004273C0" w:rsidRPr="00251411">
        <w:rPr>
          <w:rFonts w:ascii="Times New Roman" w:hAnsi="Times New Roman" w:cs="Times New Roman"/>
          <w:sz w:val="24"/>
          <w:szCs w:val="24"/>
          <w:lang w:val="en-US"/>
        </w:rPr>
        <w:t>D</w:t>
      </w:r>
      <w:r w:rsidR="003C1A0E" w:rsidRPr="00251411">
        <w:rPr>
          <w:rFonts w:ascii="Times New Roman" w:hAnsi="Times New Roman" w:cs="Times New Roman"/>
          <w:sz w:val="24"/>
          <w:szCs w:val="24"/>
          <w:lang w:val="en-US"/>
        </w:rPr>
        <w:t>N</w:t>
      </w:r>
      <w:r w:rsidR="004273C0" w:rsidRPr="00251411">
        <w:rPr>
          <w:rFonts w:ascii="Times New Roman" w:hAnsi="Times New Roman" w:cs="Times New Roman"/>
          <w:sz w:val="24"/>
          <w:szCs w:val="24"/>
          <w:lang w:val="en-US"/>
        </w:rPr>
        <w:t>A</w:t>
      </w:r>
      <w:r w:rsidR="003C1A0E" w:rsidRPr="00251411">
        <w:rPr>
          <w:rFonts w:ascii="Times New Roman" w:hAnsi="Times New Roman" w:cs="Times New Roman"/>
          <w:sz w:val="24"/>
          <w:szCs w:val="24"/>
          <w:lang w:val="en-US"/>
        </w:rPr>
        <w:t xml:space="preserve"> in relation to primers </w:t>
      </w:r>
      <w:r w:rsidR="006B239B" w:rsidRPr="00251411">
        <w:rPr>
          <w:rFonts w:ascii="Times New Roman" w:hAnsi="Times New Roman" w:cs="Times New Roman"/>
          <w:sz w:val="24"/>
          <w:szCs w:val="24"/>
          <w:lang w:val="en-US"/>
        </w:rPr>
        <w:t xml:space="preserve">during the PCR significantly increases the </w:t>
      </w:r>
      <w:r w:rsidR="000F47F2" w:rsidRPr="00251411">
        <w:rPr>
          <w:rFonts w:ascii="Times New Roman" w:hAnsi="Times New Roman" w:cs="Times New Roman"/>
          <w:sz w:val="24"/>
          <w:szCs w:val="24"/>
          <w:lang w:val="en-US"/>
        </w:rPr>
        <w:t xml:space="preserve">correlation of input DNA and recovered read proportions. </w:t>
      </w:r>
      <w:r w:rsidR="003C1A0E" w:rsidRPr="00251411">
        <w:rPr>
          <w:rFonts w:ascii="Times New Roman" w:hAnsi="Times New Roman" w:cs="Times New Roman"/>
          <w:sz w:val="24"/>
          <w:szCs w:val="24"/>
          <w:lang w:val="en-US"/>
        </w:rPr>
        <w:t>Such a</w:t>
      </w:r>
      <w:r w:rsidR="00247D45" w:rsidRPr="00251411">
        <w:rPr>
          <w:rFonts w:ascii="Times New Roman" w:hAnsi="Times New Roman" w:cs="Times New Roman"/>
          <w:sz w:val="24"/>
          <w:szCs w:val="24"/>
          <w:lang w:val="en-US"/>
        </w:rPr>
        <w:t xml:space="preserve">n overabundance might simply </w:t>
      </w:r>
      <w:r w:rsidR="00F21141" w:rsidRPr="00251411">
        <w:rPr>
          <w:rFonts w:ascii="Times New Roman" w:hAnsi="Times New Roman" w:cs="Times New Roman"/>
          <w:sz w:val="24"/>
          <w:szCs w:val="24"/>
          <w:lang w:val="en-US"/>
        </w:rPr>
        <w:t>increase the chance for even rare templates to be primed and amplified</w:t>
      </w:r>
      <w:r w:rsidR="00247D45" w:rsidRPr="00251411">
        <w:rPr>
          <w:rFonts w:ascii="Times New Roman" w:hAnsi="Times New Roman" w:cs="Times New Roman"/>
          <w:sz w:val="24"/>
          <w:szCs w:val="24"/>
          <w:lang w:val="en-US"/>
        </w:rPr>
        <w:t xml:space="preserve">. In combination with the use of correction factors, </w:t>
      </w:r>
      <w:r w:rsidR="003C1A0E" w:rsidRPr="00251411">
        <w:rPr>
          <w:rFonts w:ascii="Times New Roman" w:hAnsi="Times New Roman" w:cs="Times New Roman"/>
          <w:sz w:val="24"/>
          <w:szCs w:val="24"/>
          <w:lang w:val="en-US"/>
        </w:rPr>
        <w:t>this</w:t>
      </w:r>
      <w:r w:rsidR="00247D45" w:rsidRPr="00251411">
        <w:rPr>
          <w:rFonts w:ascii="Times New Roman" w:hAnsi="Times New Roman" w:cs="Times New Roman"/>
          <w:sz w:val="24"/>
          <w:szCs w:val="24"/>
          <w:lang w:val="en-US"/>
        </w:rPr>
        <w:t xml:space="preserve"> </w:t>
      </w:r>
      <w:r w:rsidR="003C1A0E" w:rsidRPr="00251411">
        <w:rPr>
          <w:rFonts w:ascii="Times New Roman" w:hAnsi="Times New Roman" w:cs="Times New Roman"/>
          <w:sz w:val="24"/>
          <w:szCs w:val="24"/>
          <w:lang w:val="en-US"/>
        </w:rPr>
        <w:t>will</w:t>
      </w:r>
      <w:r w:rsidR="00461C48" w:rsidRPr="00251411">
        <w:rPr>
          <w:rFonts w:ascii="Times New Roman" w:hAnsi="Times New Roman" w:cs="Times New Roman"/>
          <w:sz w:val="24"/>
          <w:szCs w:val="24"/>
          <w:lang w:val="en-US"/>
        </w:rPr>
        <w:t xml:space="preserve"> </w:t>
      </w:r>
      <w:r w:rsidR="00247D45" w:rsidRPr="00251411">
        <w:rPr>
          <w:rFonts w:ascii="Times New Roman" w:hAnsi="Times New Roman" w:cs="Times New Roman"/>
          <w:sz w:val="24"/>
          <w:szCs w:val="24"/>
          <w:lang w:val="en-US"/>
        </w:rPr>
        <w:t xml:space="preserve">thus </w:t>
      </w:r>
      <w:r w:rsidR="00461C48" w:rsidRPr="00251411">
        <w:rPr>
          <w:rFonts w:ascii="Times New Roman" w:hAnsi="Times New Roman" w:cs="Times New Roman"/>
          <w:sz w:val="24"/>
          <w:szCs w:val="24"/>
          <w:lang w:val="en-US"/>
        </w:rPr>
        <w:t xml:space="preserve">allow </w:t>
      </w:r>
      <w:r w:rsidR="00247D45" w:rsidRPr="00251411">
        <w:rPr>
          <w:rFonts w:ascii="Times New Roman" w:hAnsi="Times New Roman" w:cs="Times New Roman"/>
          <w:sz w:val="24"/>
          <w:szCs w:val="24"/>
          <w:lang w:val="en-US"/>
        </w:rPr>
        <w:t xml:space="preserve">fairly accurate </w:t>
      </w:r>
      <w:r w:rsidR="00461C48" w:rsidRPr="00251411">
        <w:rPr>
          <w:rFonts w:ascii="Times New Roman" w:hAnsi="Times New Roman" w:cs="Times New Roman"/>
          <w:sz w:val="24"/>
          <w:szCs w:val="24"/>
          <w:lang w:val="en-US"/>
        </w:rPr>
        <w:t xml:space="preserve">qualitative and </w:t>
      </w:r>
      <w:r w:rsidR="003C1A0E" w:rsidRPr="00251411">
        <w:rPr>
          <w:rFonts w:ascii="Times New Roman" w:hAnsi="Times New Roman" w:cs="Times New Roman"/>
          <w:sz w:val="24"/>
          <w:szCs w:val="24"/>
          <w:lang w:val="en-US"/>
        </w:rPr>
        <w:t>even</w:t>
      </w:r>
      <w:r w:rsidR="00461C48" w:rsidRPr="00251411">
        <w:rPr>
          <w:rFonts w:ascii="Times New Roman" w:hAnsi="Times New Roman" w:cs="Times New Roman"/>
          <w:sz w:val="24"/>
          <w:szCs w:val="24"/>
          <w:lang w:val="en-US"/>
        </w:rPr>
        <w:t xml:space="preserve"> quantitative estimates of communit</w:t>
      </w:r>
      <w:r w:rsidR="00247D45" w:rsidRPr="00251411">
        <w:rPr>
          <w:rFonts w:ascii="Times New Roman" w:hAnsi="Times New Roman" w:cs="Times New Roman"/>
          <w:sz w:val="24"/>
          <w:szCs w:val="24"/>
          <w:lang w:val="en-US"/>
        </w:rPr>
        <w:t xml:space="preserve">y samples. </w:t>
      </w:r>
      <w:r w:rsidR="00461C48" w:rsidRPr="00251411">
        <w:rPr>
          <w:rFonts w:ascii="Times New Roman" w:hAnsi="Times New Roman" w:cs="Times New Roman"/>
          <w:sz w:val="24"/>
          <w:szCs w:val="24"/>
          <w:lang w:val="en-US"/>
        </w:rPr>
        <w:t xml:space="preserve"> </w:t>
      </w:r>
    </w:p>
    <w:p w14:paraId="395DD0F6" w14:textId="3864869F" w:rsidR="00C644DE" w:rsidRPr="00251411" w:rsidRDefault="00C644DE"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PCR free </w:t>
      </w:r>
      <w:r w:rsidR="00247D45" w:rsidRPr="00251411">
        <w:rPr>
          <w:rFonts w:ascii="Times New Roman" w:hAnsi="Times New Roman" w:cs="Times New Roman"/>
          <w:sz w:val="24"/>
          <w:szCs w:val="24"/>
          <w:lang w:val="en-US"/>
        </w:rPr>
        <w:t>analyses</w:t>
      </w:r>
      <w:r w:rsidRPr="00251411">
        <w:rPr>
          <w:rFonts w:ascii="Times New Roman" w:hAnsi="Times New Roman" w:cs="Times New Roman"/>
          <w:sz w:val="24"/>
          <w:szCs w:val="24"/>
          <w:lang w:val="en-US"/>
        </w:rPr>
        <w:t xml:space="preserve"> have been suggested as possible means for quantitative community analysis, as they exclude PCR</w:t>
      </w:r>
      <w:r w:rsidR="00805626" w:rsidRPr="00251411">
        <w:rPr>
          <w:rFonts w:ascii="Times New Roman" w:hAnsi="Times New Roman" w:cs="Times New Roman"/>
          <w:sz w:val="24"/>
          <w:szCs w:val="24"/>
          <w:lang w:val="en-US"/>
        </w:rPr>
        <w:t xml:space="preserve"> priming</w:t>
      </w:r>
      <w:r w:rsidRPr="00251411">
        <w:rPr>
          <w:rFonts w:ascii="Times New Roman" w:hAnsi="Times New Roman" w:cs="Times New Roman"/>
          <w:sz w:val="24"/>
          <w:szCs w:val="24"/>
          <w:lang w:val="en-US"/>
        </w:rPr>
        <w:t xml:space="preserve"> bias</w:t>
      </w:r>
      <w:r w:rsidR="00FB470D" w:rsidRPr="00251411">
        <w:rPr>
          <w:rFonts w:ascii="Times New Roman" w:hAnsi="Times New Roman" w:cs="Times New Roman"/>
          <w:sz w:val="24"/>
          <w:szCs w:val="24"/>
          <w:lang w:val="en-US"/>
        </w:rPr>
        <w:t xml:space="preserve"> (</w:t>
      </w:r>
      <w:r w:rsidR="00F66F43" w:rsidRPr="00251411">
        <w:rPr>
          <w:rFonts w:ascii="Times New Roman" w:hAnsi="Times New Roman" w:cs="Times New Roman"/>
          <w:sz w:val="24"/>
          <w:szCs w:val="24"/>
          <w:lang w:val="en-US"/>
        </w:rPr>
        <w:t>Crampton-Platt et al. 2016</w:t>
      </w:r>
      <w:r w:rsidR="00FB470D" w:rsidRPr="00251411">
        <w:rPr>
          <w:rFonts w:ascii="Times New Roman" w:hAnsi="Times New Roman" w:cs="Times New Roman"/>
          <w:sz w:val="24"/>
          <w:szCs w:val="24"/>
          <w:lang w:val="en-US"/>
        </w:rPr>
        <w:t>)</w:t>
      </w:r>
      <w:r w:rsidRPr="00251411">
        <w:rPr>
          <w:rFonts w:ascii="Times New Roman" w:hAnsi="Times New Roman" w:cs="Times New Roman"/>
          <w:sz w:val="24"/>
          <w:szCs w:val="24"/>
          <w:lang w:val="en-US"/>
        </w:rPr>
        <w:t xml:space="preserve">. However, </w:t>
      </w:r>
      <w:r w:rsidR="00461C48" w:rsidRPr="00251411">
        <w:rPr>
          <w:rFonts w:ascii="Times New Roman" w:hAnsi="Times New Roman" w:cs="Times New Roman"/>
          <w:sz w:val="24"/>
          <w:szCs w:val="24"/>
          <w:lang w:val="en-US"/>
        </w:rPr>
        <w:t xml:space="preserve">an </w:t>
      </w:r>
      <w:r w:rsidR="00461C48" w:rsidRPr="00251411">
        <w:rPr>
          <w:rFonts w:ascii="Times New Roman" w:hAnsi="Times New Roman" w:cs="Times New Roman"/>
          <w:sz w:val="24"/>
          <w:szCs w:val="24"/>
          <w:lang w:val="en-US"/>
        </w:rPr>
        <w:lastRenderedPageBreak/>
        <w:t xml:space="preserve">amplicon sequencing based approach is much more cost efficient </w:t>
      </w:r>
      <w:r w:rsidRPr="00251411">
        <w:rPr>
          <w:rFonts w:ascii="Times New Roman" w:hAnsi="Times New Roman" w:cs="Times New Roman"/>
          <w:sz w:val="24"/>
          <w:szCs w:val="24"/>
          <w:lang w:val="en-US"/>
        </w:rPr>
        <w:t xml:space="preserve">and involves a simpler workflow </w:t>
      </w:r>
      <w:r w:rsidR="00461C48" w:rsidRPr="00251411">
        <w:rPr>
          <w:rFonts w:ascii="Times New Roman" w:hAnsi="Times New Roman" w:cs="Times New Roman"/>
          <w:sz w:val="24"/>
          <w:szCs w:val="24"/>
          <w:lang w:val="en-US"/>
        </w:rPr>
        <w:t>than current PCR free methods. With our current protocols</w:t>
      </w:r>
      <w:r w:rsidR="00E6271E" w:rsidRPr="00251411">
        <w:rPr>
          <w:rFonts w:ascii="Times New Roman" w:hAnsi="Times New Roman" w:cs="Times New Roman"/>
          <w:sz w:val="24"/>
          <w:szCs w:val="24"/>
          <w:lang w:val="en-US"/>
        </w:rPr>
        <w:t>,</w:t>
      </w:r>
      <w:r w:rsidR="00461C48" w:rsidRPr="00251411">
        <w:rPr>
          <w:rFonts w:ascii="Times New Roman" w:hAnsi="Times New Roman" w:cs="Times New Roman"/>
          <w:sz w:val="24"/>
          <w:szCs w:val="24"/>
          <w:lang w:val="en-US"/>
        </w:rPr>
        <w:t xml:space="preserve"> nearly 1,000 community samples can be analyzed in a single MiSeq run, reducing the</w:t>
      </w:r>
      <w:r w:rsidR="00805626" w:rsidRPr="00251411">
        <w:rPr>
          <w:rFonts w:ascii="Times New Roman" w:hAnsi="Times New Roman" w:cs="Times New Roman"/>
          <w:sz w:val="24"/>
          <w:szCs w:val="24"/>
          <w:lang w:val="en-US"/>
        </w:rPr>
        <w:t xml:space="preserve"> sequencing cost to less than 2 </w:t>
      </w:r>
      <w:r w:rsidR="00461C48" w:rsidRPr="00251411">
        <w:rPr>
          <w:rFonts w:ascii="Times New Roman" w:hAnsi="Times New Roman" w:cs="Times New Roman"/>
          <w:sz w:val="24"/>
          <w:szCs w:val="24"/>
          <w:lang w:val="en-US"/>
        </w:rPr>
        <w:t>$ per sample. This allows large scale community analyses.</w:t>
      </w:r>
      <w:r w:rsidR="00E6271E" w:rsidRPr="00251411">
        <w:rPr>
          <w:rFonts w:ascii="Times New Roman" w:hAnsi="Times New Roman" w:cs="Times New Roman"/>
          <w:sz w:val="24"/>
          <w:szCs w:val="24"/>
          <w:lang w:val="en-US"/>
        </w:rPr>
        <w:t xml:space="preserve"> Moreover, </w:t>
      </w:r>
      <w:r w:rsidR="00D70BC1" w:rsidRPr="00251411">
        <w:rPr>
          <w:rFonts w:ascii="Times New Roman" w:hAnsi="Times New Roman" w:cs="Times New Roman"/>
          <w:sz w:val="24"/>
          <w:szCs w:val="24"/>
          <w:lang w:val="en-US"/>
        </w:rPr>
        <w:t xml:space="preserve">our analysis suggests, that </w:t>
      </w:r>
      <w:r w:rsidR="00FB470D" w:rsidRPr="00251411">
        <w:rPr>
          <w:rFonts w:ascii="Times New Roman" w:hAnsi="Times New Roman" w:cs="Times New Roman"/>
          <w:sz w:val="24"/>
          <w:szCs w:val="24"/>
          <w:lang w:val="en-US"/>
        </w:rPr>
        <w:t xml:space="preserve">copy number variation might be a more important problem for abundance estimates than </w:t>
      </w:r>
      <w:r w:rsidR="00D70BC1" w:rsidRPr="00251411">
        <w:rPr>
          <w:rFonts w:ascii="Times New Roman" w:hAnsi="Times New Roman" w:cs="Times New Roman"/>
          <w:sz w:val="24"/>
          <w:szCs w:val="24"/>
          <w:lang w:val="en-US"/>
        </w:rPr>
        <w:t>priming bias</w:t>
      </w:r>
      <w:r w:rsidR="00FB470D" w:rsidRPr="00251411">
        <w:rPr>
          <w:rFonts w:ascii="Times New Roman" w:hAnsi="Times New Roman" w:cs="Times New Roman"/>
          <w:sz w:val="24"/>
          <w:szCs w:val="24"/>
          <w:lang w:val="en-US"/>
        </w:rPr>
        <w:t>.</w:t>
      </w:r>
      <w:r w:rsidR="00D70BC1" w:rsidRPr="00251411">
        <w:rPr>
          <w:rFonts w:ascii="Times New Roman" w:hAnsi="Times New Roman" w:cs="Times New Roman"/>
          <w:sz w:val="24"/>
          <w:szCs w:val="24"/>
          <w:lang w:val="en-US"/>
        </w:rPr>
        <w:t xml:space="preserve"> </w:t>
      </w:r>
      <w:r w:rsidR="00FB470D" w:rsidRPr="00251411">
        <w:rPr>
          <w:rFonts w:ascii="Times New Roman" w:hAnsi="Times New Roman" w:cs="Times New Roman"/>
          <w:sz w:val="24"/>
          <w:szCs w:val="24"/>
          <w:lang w:val="en-US"/>
        </w:rPr>
        <w:t xml:space="preserve">And </w:t>
      </w:r>
      <w:r w:rsidR="00D70BC1" w:rsidRPr="00251411">
        <w:rPr>
          <w:rFonts w:ascii="Times New Roman" w:hAnsi="Times New Roman" w:cs="Times New Roman"/>
          <w:sz w:val="24"/>
          <w:szCs w:val="24"/>
          <w:lang w:val="en-US"/>
        </w:rPr>
        <w:t xml:space="preserve">PCR free </w:t>
      </w:r>
      <w:r w:rsidR="000C4F17" w:rsidRPr="00251411">
        <w:rPr>
          <w:rFonts w:ascii="Times New Roman" w:hAnsi="Times New Roman" w:cs="Times New Roman"/>
          <w:sz w:val="24"/>
          <w:szCs w:val="24"/>
          <w:lang w:val="en-US"/>
        </w:rPr>
        <w:t>genome sequencing methods (</w:t>
      </w:r>
      <w:r w:rsidR="00F66F43" w:rsidRPr="00251411">
        <w:rPr>
          <w:rFonts w:ascii="Times New Roman" w:hAnsi="Times New Roman" w:cs="Times New Roman"/>
          <w:sz w:val="24"/>
          <w:szCs w:val="24"/>
          <w:lang w:val="en-US"/>
        </w:rPr>
        <w:t>Gomez-Rodriguez et al. 2015</w:t>
      </w:r>
      <w:r w:rsidR="000C4F17" w:rsidRPr="00251411">
        <w:rPr>
          <w:rFonts w:ascii="Times New Roman" w:hAnsi="Times New Roman" w:cs="Times New Roman"/>
          <w:sz w:val="24"/>
          <w:szCs w:val="24"/>
          <w:lang w:val="en-US"/>
        </w:rPr>
        <w:t>) or enrichment protocols (</w:t>
      </w:r>
      <w:r w:rsidR="00F66F43" w:rsidRPr="00251411">
        <w:rPr>
          <w:rFonts w:ascii="Times New Roman" w:hAnsi="Times New Roman" w:cs="Times New Roman"/>
          <w:sz w:val="24"/>
          <w:szCs w:val="24"/>
          <w:lang w:val="en-US"/>
        </w:rPr>
        <w:t>Zhou et al. 2013</w:t>
      </w:r>
      <w:r w:rsidR="000C4F17" w:rsidRPr="00251411">
        <w:rPr>
          <w:rFonts w:ascii="Times New Roman" w:hAnsi="Times New Roman" w:cs="Times New Roman"/>
          <w:sz w:val="24"/>
          <w:szCs w:val="24"/>
          <w:lang w:val="en-US"/>
        </w:rPr>
        <w:t xml:space="preserve">) </w:t>
      </w:r>
      <w:r w:rsidR="00D70BC1" w:rsidRPr="00251411">
        <w:rPr>
          <w:rFonts w:ascii="Times New Roman" w:hAnsi="Times New Roman" w:cs="Times New Roman"/>
          <w:sz w:val="24"/>
          <w:szCs w:val="24"/>
          <w:lang w:val="en-US"/>
        </w:rPr>
        <w:t xml:space="preserve">methods will be similarly sensitive </w:t>
      </w:r>
      <w:r w:rsidR="00FB470D" w:rsidRPr="00251411">
        <w:rPr>
          <w:rFonts w:ascii="Times New Roman" w:hAnsi="Times New Roman" w:cs="Times New Roman"/>
          <w:sz w:val="24"/>
          <w:szCs w:val="24"/>
          <w:lang w:val="en-US"/>
        </w:rPr>
        <w:t xml:space="preserve">to </w:t>
      </w:r>
      <w:r w:rsidR="00D70BC1" w:rsidRPr="00251411">
        <w:rPr>
          <w:rFonts w:ascii="Times New Roman" w:hAnsi="Times New Roman" w:cs="Times New Roman"/>
          <w:sz w:val="24"/>
          <w:szCs w:val="24"/>
          <w:lang w:val="en-US"/>
        </w:rPr>
        <w:t xml:space="preserve">copy number variation of the target genes. </w:t>
      </w:r>
    </w:p>
    <w:p w14:paraId="5F263D3D" w14:textId="3D34441A" w:rsidR="005961BA" w:rsidRPr="00251411" w:rsidRDefault="00C644DE"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A</w:t>
      </w:r>
      <w:r w:rsidR="00461C48" w:rsidRPr="00251411">
        <w:rPr>
          <w:rFonts w:ascii="Times New Roman" w:hAnsi="Times New Roman" w:cs="Times New Roman"/>
          <w:sz w:val="24"/>
          <w:szCs w:val="24"/>
          <w:lang w:val="en-US"/>
        </w:rPr>
        <w:t>part of priming bias and copy number variation, further skews will have to be considered for quantitative analyses</w:t>
      </w:r>
      <w:r w:rsidR="00247D45" w:rsidRPr="00251411">
        <w:rPr>
          <w:rFonts w:ascii="Times New Roman" w:hAnsi="Times New Roman" w:cs="Times New Roman"/>
          <w:sz w:val="24"/>
          <w:szCs w:val="24"/>
          <w:lang w:val="en-US"/>
        </w:rPr>
        <w:t xml:space="preserve"> in the future</w:t>
      </w:r>
      <w:r w:rsidR="00461C48" w:rsidRPr="00251411">
        <w:rPr>
          <w:rFonts w:ascii="Times New Roman" w:hAnsi="Times New Roman" w:cs="Times New Roman"/>
          <w:sz w:val="24"/>
          <w:szCs w:val="24"/>
          <w:lang w:val="en-US"/>
        </w:rPr>
        <w:t xml:space="preserve">, e.g. the presence of pseudogenes </w:t>
      </w:r>
      <w:r w:rsidR="000C4F17" w:rsidRPr="00251411">
        <w:rPr>
          <w:rFonts w:ascii="Times New Roman" w:hAnsi="Times New Roman" w:cs="Times New Roman"/>
          <w:sz w:val="24"/>
          <w:szCs w:val="24"/>
          <w:lang w:val="en-US"/>
        </w:rPr>
        <w:t>(</w:t>
      </w:r>
      <w:proofErr w:type="spellStart"/>
      <w:r w:rsidR="00F66F43" w:rsidRPr="00251411">
        <w:rPr>
          <w:rFonts w:ascii="Times New Roman" w:hAnsi="Times New Roman" w:cs="Times New Roman"/>
          <w:sz w:val="24"/>
          <w:szCs w:val="24"/>
          <w:lang w:val="en-US"/>
        </w:rPr>
        <w:t>Benasasson</w:t>
      </w:r>
      <w:proofErr w:type="spellEnd"/>
      <w:r w:rsidR="00F66F43" w:rsidRPr="00251411">
        <w:rPr>
          <w:rFonts w:ascii="Times New Roman" w:hAnsi="Times New Roman" w:cs="Times New Roman"/>
          <w:sz w:val="24"/>
          <w:szCs w:val="24"/>
          <w:lang w:val="en-US"/>
        </w:rPr>
        <w:t xml:space="preserve"> et al. 2001</w:t>
      </w:r>
      <w:r w:rsidR="000C4F17" w:rsidRPr="00251411">
        <w:rPr>
          <w:rFonts w:ascii="Times New Roman" w:hAnsi="Times New Roman" w:cs="Times New Roman"/>
          <w:sz w:val="24"/>
          <w:szCs w:val="24"/>
          <w:lang w:val="en-US"/>
        </w:rPr>
        <w:t xml:space="preserve">) </w:t>
      </w:r>
      <w:r w:rsidR="00461C48" w:rsidRPr="00251411">
        <w:rPr>
          <w:rFonts w:ascii="Times New Roman" w:hAnsi="Times New Roman" w:cs="Times New Roman"/>
          <w:sz w:val="24"/>
          <w:szCs w:val="24"/>
          <w:lang w:val="en-US"/>
        </w:rPr>
        <w:t xml:space="preserve">and </w:t>
      </w:r>
      <w:r w:rsidR="005961BA" w:rsidRPr="00251411">
        <w:rPr>
          <w:rFonts w:ascii="Times New Roman" w:hAnsi="Times New Roman" w:cs="Times New Roman"/>
          <w:sz w:val="24"/>
          <w:szCs w:val="24"/>
          <w:lang w:val="en-US"/>
        </w:rPr>
        <w:t xml:space="preserve">taxonomic </w:t>
      </w:r>
      <w:r w:rsidR="00461C48" w:rsidRPr="00251411">
        <w:rPr>
          <w:rFonts w:ascii="Times New Roman" w:hAnsi="Times New Roman" w:cs="Times New Roman"/>
          <w:sz w:val="24"/>
          <w:szCs w:val="24"/>
          <w:lang w:val="en-US"/>
        </w:rPr>
        <w:t>biases in DNA degradation.</w:t>
      </w:r>
      <w:r w:rsidR="005961BA" w:rsidRPr="00251411">
        <w:rPr>
          <w:rFonts w:ascii="Times New Roman" w:hAnsi="Times New Roman" w:cs="Times New Roman"/>
          <w:sz w:val="24"/>
          <w:szCs w:val="24"/>
          <w:lang w:val="en-US"/>
        </w:rPr>
        <w:t xml:space="preserve"> </w:t>
      </w:r>
      <w:r w:rsidR="00247D45" w:rsidRPr="00251411">
        <w:rPr>
          <w:rFonts w:ascii="Times New Roman" w:hAnsi="Times New Roman" w:cs="Times New Roman"/>
          <w:sz w:val="24"/>
          <w:szCs w:val="24"/>
          <w:lang w:val="en-US"/>
        </w:rPr>
        <w:t xml:space="preserve">Moreover, our analysis was performed under optimized conditions, with </w:t>
      </w:r>
      <w:r w:rsidR="000E1F06" w:rsidRPr="00251411">
        <w:rPr>
          <w:rFonts w:ascii="Times New Roman" w:hAnsi="Times New Roman" w:cs="Times New Roman"/>
          <w:sz w:val="24"/>
          <w:szCs w:val="24"/>
          <w:lang w:val="en-US"/>
        </w:rPr>
        <w:t>DNA</w:t>
      </w:r>
      <w:r w:rsidR="00247D45" w:rsidRPr="00251411">
        <w:rPr>
          <w:rFonts w:ascii="Times New Roman" w:hAnsi="Times New Roman" w:cs="Times New Roman"/>
          <w:sz w:val="24"/>
          <w:szCs w:val="24"/>
          <w:lang w:val="en-US"/>
        </w:rPr>
        <w:t xml:space="preserve"> extracts used to generate community samples. With direct DNA extraction from community samples, another potential bias is introduced to the analysis. </w:t>
      </w:r>
      <w:r w:rsidR="005961BA" w:rsidRPr="00251411">
        <w:rPr>
          <w:rFonts w:ascii="Times New Roman" w:hAnsi="Times New Roman" w:cs="Times New Roman"/>
          <w:sz w:val="24"/>
          <w:szCs w:val="24"/>
          <w:lang w:val="en-US"/>
        </w:rPr>
        <w:t xml:space="preserve">However, </w:t>
      </w:r>
      <w:r w:rsidR="0056502B" w:rsidRPr="00251411">
        <w:rPr>
          <w:rFonts w:ascii="Times New Roman" w:hAnsi="Times New Roman" w:cs="Times New Roman"/>
          <w:sz w:val="24"/>
          <w:szCs w:val="24"/>
          <w:lang w:val="en-US"/>
        </w:rPr>
        <w:t>recent work</w:t>
      </w:r>
      <w:r w:rsidR="005961BA" w:rsidRPr="00251411">
        <w:rPr>
          <w:rFonts w:ascii="Times New Roman" w:hAnsi="Times New Roman" w:cs="Times New Roman"/>
          <w:sz w:val="24"/>
          <w:szCs w:val="24"/>
          <w:lang w:val="en-US"/>
        </w:rPr>
        <w:t xml:space="preserve"> (</w:t>
      </w:r>
      <w:r w:rsidR="006C4AE8" w:rsidRPr="00251411">
        <w:rPr>
          <w:rFonts w:ascii="Times New Roman" w:hAnsi="Times New Roman" w:cs="Times New Roman"/>
          <w:sz w:val="24"/>
          <w:szCs w:val="24"/>
          <w:lang w:val="en-US"/>
        </w:rPr>
        <w:t xml:space="preserve">Thomas et al. 2015; </w:t>
      </w:r>
      <w:r w:rsidR="0056502B" w:rsidRPr="00251411">
        <w:rPr>
          <w:rFonts w:ascii="Times New Roman" w:hAnsi="Times New Roman" w:cs="Times New Roman"/>
          <w:sz w:val="24"/>
          <w:szCs w:val="24"/>
          <w:lang w:val="en-US"/>
        </w:rPr>
        <w:t xml:space="preserve">Gomez-Rodriguez et al. 2015; </w:t>
      </w:r>
      <w:proofErr w:type="spellStart"/>
      <w:r w:rsidR="0056502B" w:rsidRPr="00251411">
        <w:rPr>
          <w:rFonts w:ascii="Times New Roman" w:hAnsi="Times New Roman" w:cs="Times New Roman"/>
          <w:sz w:val="24"/>
          <w:szCs w:val="24"/>
          <w:lang w:val="en-US"/>
        </w:rPr>
        <w:t>Elbrecht</w:t>
      </w:r>
      <w:proofErr w:type="spellEnd"/>
      <w:r w:rsidR="0056502B" w:rsidRPr="00251411">
        <w:rPr>
          <w:rFonts w:ascii="Times New Roman" w:hAnsi="Times New Roman" w:cs="Times New Roman"/>
          <w:sz w:val="24"/>
          <w:szCs w:val="24"/>
          <w:lang w:val="en-US"/>
        </w:rPr>
        <w:t xml:space="preserve"> &amp; </w:t>
      </w:r>
      <w:proofErr w:type="spellStart"/>
      <w:r w:rsidR="0056502B" w:rsidRPr="00251411">
        <w:rPr>
          <w:rFonts w:ascii="Times New Roman" w:hAnsi="Times New Roman" w:cs="Times New Roman"/>
          <w:sz w:val="24"/>
          <w:szCs w:val="24"/>
          <w:lang w:val="en-US"/>
        </w:rPr>
        <w:t>Leese</w:t>
      </w:r>
      <w:proofErr w:type="spellEnd"/>
      <w:r w:rsidR="0056502B" w:rsidRPr="00251411">
        <w:rPr>
          <w:rFonts w:ascii="Times New Roman" w:hAnsi="Times New Roman" w:cs="Times New Roman"/>
          <w:sz w:val="24"/>
          <w:szCs w:val="24"/>
          <w:lang w:val="en-US"/>
        </w:rPr>
        <w:t xml:space="preserve"> 2015</w:t>
      </w:r>
      <w:r w:rsidR="005961BA" w:rsidRPr="00251411">
        <w:rPr>
          <w:rFonts w:ascii="Times New Roman" w:hAnsi="Times New Roman" w:cs="Times New Roman"/>
          <w:sz w:val="24"/>
          <w:szCs w:val="24"/>
          <w:lang w:val="en-US"/>
        </w:rPr>
        <w:t>) suggest</w:t>
      </w:r>
      <w:r w:rsidR="0056502B" w:rsidRPr="00251411">
        <w:rPr>
          <w:rFonts w:ascii="Times New Roman" w:hAnsi="Times New Roman" w:cs="Times New Roman"/>
          <w:sz w:val="24"/>
          <w:szCs w:val="24"/>
          <w:lang w:val="en-US"/>
        </w:rPr>
        <w:t>s</w:t>
      </w:r>
      <w:r w:rsidR="005961BA" w:rsidRPr="00251411">
        <w:rPr>
          <w:rFonts w:ascii="Times New Roman" w:hAnsi="Times New Roman" w:cs="Times New Roman"/>
          <w:sz w:val="24"/>
          <w:szCs w:val="24"/>
          <w:lang w:val="en-US"/>
        </w:rPr>
        <w:t xml:space="preserve"> that relative abundance can be estimated from whole body extracts, as long as PCR bias can be excluded. Initial experiments on spider communities suggest that whole body extracts can yield comparable abundance estimates than DNA pooling (Krehenwinkel unpublished data). A presorting of specimens to higher taxonomic categories might be helpful in reducing any </w:t>
      </w:r>
      <w:r w:rsidR="007524E2" w:rsidRPr="00251411">
        <w:rPr>
          <w:rFonts w:ascii="Times New Roman" w:hAnsi="Times New Roman" w:cs="Times New Roman"/>
          <w:sz w:val="24"/>
          <w:szCs w:val="24"/>
          <w:lang w:val="en-US"/>
        </w:rPr>
        <w:t xml:space="preserve">qualitative and </w:t>
      </w:r>
      <w:r w:rsidR="005961BA" w:rsidRPr="00251411">
        <w:rPr>
          <w:rFonts w:ascii="Times New Roman" w:hAnsi="Times New Roman" w:cs="Times New Roman"/>
          <w:sz w:val="24"/>
          <w:szCs w:val="24"/>
          <w:lang w:val="en-US"/>
        </w:rPr>
        <w:t>quantitative bias introduced by extractions.</w:t>
      </w:r>
      <w:r w:rsidR="007524E2" w:rsidRPr="00251411">
        <w:rPr>
          <w:rFonts w:ascii="Times New Roman" w:hAnsi="Times New Roman" w:cs="Times New Roman"/>
          <w:sz w:val="24"/>
          <w:szCs w:val="24"/>
          <w:lang w:val="en-US"/>
        </w:rPr>
        <w:t xml:space="preserve"> Members of, e.g., arthropod orders share generally similar body plans, corresponding to more similar ratios of DNA containing tissue and sclerotized body parts. </w:t>
      </w:r>
      <w:r w:rsidR="005961BA" w:rsidRPr="00251411">
        <w:rPr>
          <w:rFonts w:ascii="Times New Roman" w:hAnsi="Times New Roman" w:cs="Times New Roman"/>
          <w:sz w:val="24"/>
          <w:szCs w:val="24"/>
          <w:lang w:val="en-US"/>
        </w:rPr>
        <w:t xml:space="preserve">For example, sorting to order before barcoding </w:t>
      </w:r>
      <w:r w:rsidR="007524E2" w:rsidRPr="00251411">
        <w:rPr>
          <w:rFonts w:ascii="Times New Roman" w:hAnsi="Times New Roman" w:cs="Times New Roman"/>
          <w:sz w:val="24"/>
          <w:szCs w:val="24"/>
          <w:lang w:val="en-US"/>
        </w:rPr>
        <w:t>results in improved</w:t>
      </w:r>
      <w:r w:rsidR="005961BA" w:rsidRPr="00251411">
        <w:rPr>
          <w:rFonts w:ascii="Times New Roman" w:hAnsi="Times New Roman" w:cs="Times New Roman"/>
          <w:sz w:val="24"/>
          <w:szCs w:val="24"/>
          <w:lang w:val="en-US"/>
        </w:rPr>
        <w:t xml:space="preserve"> species recovery (</w:t>
      </w:r>
      <w:proofErr w:type="spellStart"/>
      <w:r w:rsidR="0056502B" w:rsidRPr="00251411">
        <w:rPr>
          <w:rFonts w:ascii="Times New Roman" w:hAnsi="Times New Roman" w:cs="Times New Roman"/>
          <w:sz w:val="24"/>
          <w:szCs w:val="24"/>
          <w:lang w:val="en-US"/>
        </w:rPr>
        <w:t>Moriniere</w:t>
      </w:r>
      <w:proofErr w:type="spellEnd"/>
      <w:r w:rsidR="0056502B" w:rsidRPr="00251411">
        <w:rPr>
          <w:rFonts w:ascii="Times New Roman" w:hAnsi="Times New Roman" w:cs="Times New Roman"/>
          <w:sz w:val="24"/>
          <w:szCs w:val="24"/>
          <w:lang w:val="en-US"/>
        </w:rPr>
        <w:t xml:space="preserve"> et al. 2016</w:t>
      </w:r>
      <w:r w:rsidR="005961BA" w:rsidRPr="00251411">
        <w:rPr>
          <w:rFonts w:ascii="Times New Roman" w:hAnsi="Times New Roman" w:cs="Times New Roman"/>
          <w:sz w:val="24"/>
          <w:szCs w:val="24"/>
          <w:lang w:val="en-US"/>
        </w:rPr>
        <w:t xml:space="preserve">). </w:t>
      </w:r>
    </w:p>
    <w:p w14:paraId="59083F20" w14:textId="77777777" w:rsidR="00461C48" w:rsidRPr="00251411" w:rsidRDefault="00461C48" w:rsidP="00251411">
      <w:pPr>
        <w:spacing w:line="480" w:lineRule="auto"/>
        <w:jc w:val="both"/>
        <w:rPr>
          <w:rFonts w:ascii="Times New Roman" w:hAnsi="Times New Roman" w:cs="Times New Roman"/>
          <w:i/>
          <w:sz w:val="24"/>
          <w:szCs w:val="24"/>
          <w:lang w:val="en-US"/>
        </w:rPr>
      </w:pPr>
      <w:r w:rsidRPr="00251411">
        <w:rPr>
          <w:rFonts w:ascii="Times New Roman" w:hAnsi="Times New Roman" w:cs="Times New Roman"/>
          <w:i/>
          <w:sz w:val="24"/>
          <w:szCs w:val="24"/>
          <w:lang w:val="en-US"/>
        </w:rPr>
        <w:t>COI a perfect match?</w:t>
      </w:r>
    </w:p>
    <w:p w14:paraId="2C6A9308" w14:textId="4A039012" w:rsidR="00344225" w:rsidRPr="00251411" w:rsidRDefault="00C40166"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Interestingly</w:t>
      </w:r>
      <w:r w:rsidR="00A61F67" w:rsidRPr="00251411">
        <w:rPr>
          <w:rFonts w:ascii="Times New Roman" w:hAnsi="Times New Roman" w:cs="Times New Roman"/>
          <w:sz w:val="24"/>
          <w:szCs w:val="24"/>
          <w:lang w:val="en-US"/>
        </w:rPr>
        <w:t>, CO</w:t>
      </w:r>
      <w:r w:rsidRPr="00251411">
        <w:rPr>
          <w:rFonts w:ascii="Times New Roman" w:hAnsi="Times New Roman" w:cs="Times New Roman"/>
          <w:sz w:val="24"/>
          <w:szCs w:val="24"/>
          <w:lang w:val="en-US"/>
        </w:rPr>
        <w:t>I</w:t>
      </w:r>
      <w:r w:rsidR="00A61F67" w:rsidRPr="00251411">
        <w:rPr>
          <w:rFonts w:ascii="Times New Roman" w:hAnsi="Times New Roman" w:cs="Times New Roman"/>
          <w:sz w:val="24"/>
          <w:szCs w:val="24"/>
          <w:lang w:val="en-US"/>
        </w:rPr>
        <w:t xml:space="preserve"> outperforms the other mitochondrial markers in i</w:t>
      </w:r>
      <w:r w:rsidR="006C4AE8" w:rsidRPr="00251411">
        <w:rPr>
          <w:rFonts w:ascii="Times New Roman" w:hAnsi="Times New Roman" w:cs="Times New Roman"/>
          <w:sz w:val="24"/>
          <w:szCs w:val="24"/>
          <w:lang w:val="en-US"/>
        </w:rPr>
        <w:t xml:space="preserve">ts recovery of species and </w:t>
      </w:r>
      <w:r w:rsidR="00A61F67" w:rsidRPr="00251411">
        <w:rPr>
          <w:rFonts w:ascii="Times New Roman" w:hAnsi="Times New Roman" w:cs="Times New Roman"/>
          <w:sz w:val="24"/>
          <w:szCs w:val="24"/>
          <w:lang w:val="en-US"/>
        </w:rPr>
        <w:t>the prediction</w:t>
      </w:r>
      <w:r w:rsidR="00461C48" w:rsidRPr="00251411">
        <w:rPr>
          <w:rFonts w:ascii="Times New Roman" w:hAnsi="Times New Roman" w:cs="Times New Roman"/>
          <w:sz w:val="24"/>
          <w:szCs w:val="24"/>
          <w:lang w:val="en-US"/>
        </w:rPr>
        <w:t xml:space="preserve"> of species abundance</w:t>
      </w:r>
      <w:r w:rsidR="00A61F67" w:rsidRPr="00251411">
        <w:rPr>
          <w:rFonts w:ascii="Times New Roman" w:hAnsi="Times New Roman" w:cs="Times New Roman"/>
          <w:sz w:val="24"/>
          <w:szCs w:val="24"/>
          <w:lang w:val="en-US"/>
        </w:rPr>
        <w:t xml:space="preserve">. Even nuclear ribosomal markers with their highly </w:t>
      </w:r>
      <w:r w:rsidR="00A61F67" w:rsidRPr="00251411">
        <w:rPr>
          <w:rFonts w:ascii="Times New Roman" w:hAnsi="Times New Roman" w:cs="Times New Roman"/>
          <w:sz w:val="24"/>
          <w:szCs w:val="24"/>
          <w:lang w:val="en-US"/>
        </w:rPr>
        <w:lastRenderedPageBreak/>
        <w:t xml:space="preserve">conserved priming sites do not yield significantly better qualitative or quantitative results than COI. In contrast to rRNA however, COI is much more variable and will allow to distinguish even recently divergent species and intraspecific variation. </w:t>
      </w:r>
      <w:r w:rsidR="00461C48" w:rsidRPr="00251411">
        <w:rPr>
          <w:rFonts w:ascii="Times New Roman" w:hAnsi="Times New Roman" w:cs="Times New Roman"/>
          <w:sz w:val="24"/>
          <w:szCs w:val="24"/>
          <w:lang w:val="en-US"/>
        </w:rPr>
        <w:t xml:space="preserve">While </w:t>
      </w:r>
      <w:r w:rsidR="002D0952" w:rsidRPr="00251411">
        <w:rPr>
          <w:rFonts w:ascii="Times New Roman" w:hAnsi="Times New Roman" w:cs="Times New Roman"/>
          <w:sz w:val="24"/>
          <w:szCs w:val="24"/>
          <w:lang w:val="en-US"/>
        </w:rPr>
        <w:t>recent</w:t>
      </w:r>
      <w:r w:rsidR="00461C48" w:rsidRPr="00251411">
        <w:rPr>
          <w:rFonts w:ascii="Times New Roman" w:hAnsi="Times New Roman" w:cs="Times New Roman"/>
          <w:sz w:val="24"/>
          <w:szCs w:val="24"/>
          <w:lang w:val="en-US"/>
        </w:rPr>
        <w:t xml:space="preserve"> studies have suggested other primer</w:t>
      </w:r>
      <w:r w:rsidR="0025637D" w:rsidRPr="00251411">
        <w:rPr>
          <w:rFonts w:ascii="Times New Roman" w:hAnsi="Times New Roman" w:cs="Times New Roman"/>
          <w:sz w:val="24"/>
          <w:szCs w:val="24"/>
          <w:lang w:val="en-US"/>
        </w:rPr>
        <w:t>s</w:t>
      </w:r>
      <w:r w:rsidR="00461C48" w:rsidRPr="00251411">
        <w:rPr>
          <w:rFonts w:ascii="Times New Roman" w:hAnsi="Times New Roman" w:cs="Times New Roman"/>
          <w:sz w:val="24"/>
          <w:szCs w:val="24"/>
          <w:lang w:val="en-US"/>
        </w:rPr>
        <w:t xml:space="preserve"> to outperform </w:t>
      </w:r>
      <w:r w:rsidR="000E1F06" w:rsidRPr="00251411">
        <w:rPr>
          <w:rFonts w:ascii="Times New Roman" w:hAnsi="Times New Roman" w:cs="Times New Roman"/>
          <w:sz w:val="24"/>
          <w:szCs w:val="24"/>
          <w:lang w:val="en-US"/>
        </w:rPr>
        <w:t>COI</w:t>
      </w:r>
      <w:r w:rsidR="00461C48" w:rsidRPr="00251411">
        <w:rPr>
          <w:rFonts w:ascii="Times New Roman" w:hAnsi="Times New Roman" w:cs="Times New Roman"/>
          <w:sz w:val="24"/>
          <w:szCs w:val="24"/>
          <w:lang w:val="en-US"/>
        </w:rPr>
        <w:t xml:space="preserve"> (</w:t>
      </w:r>
      <w:r w:rsidR="002D0952" w:rsidRPr="00251411">
        <w:rPr>
          <w:rFonts w:ascii="Times New Roman" w:hAnsi="Times New Roman" w:cs="Times New Roman"/>
          <w:sz w:val="24"/>
          <w:szCs w:val="24"/>
          <w:lang w:val="en-US"/>
        </w:rPr>
        <w:t xml:space="preserve">Clarke et al. 2014; </w:t>
      </w:r>
      <w:proofErr w:type="spellStart"/>
      <w:r w:rsidR="002D0952" w:rsidRPr="00251411">
        <w:rPr>
          <w:rFonts w:ascii="Times New Roman" w:hAnsi="Times New Roman" w:cs="Times New Roman"/>
          <w:sz w:val="24"/>
          <w:szCs w:val="24"/>
          <w:lang w:val="en-US"/>
        </w:rPr>
        <w:t>Deagle</w:t>
      </w:r>
      <w:proofErr w:type="spellEnd"/>
      <w:r w:rsidR="002D0952" w:rsidRPr="00251411">
        <w:rPr>
          <w:rFonts w:ascii="Times New Roman" w:hAnsi="Times New Roman" w:cs="Times New Roman"/>
          <w:sz w:val="24"/>
          <w:szCs w:val="24"/>
          <w:lang w:val="en-US"/>
        </w:rPr>
        <w:t xml:space="preserve"> et al. 2014; </w:t>
      </w:r>
      <w:proofErr w:type="spellStart"/>
      <w:r w:rsidR="002D0952" w:rsidRPr="00251411">
        <w:rPr>
          <w:rFonts w:ascii="Times New Roman" w:hAnsi="Times New Roman" w:cs="Times New Roman"/>
          <w:sz w:val="24"/>
          <w:szCs w:val="24"/>
          <w:lang w:val="en-US"/>
        </w:rPr>
        <w:t>Elbrecht</w:t>
      </w:r>
      <w:proofErr w:type="spellEnd"/>
      <w:r w:rsidR="002D0952" w:rsidRPr="00251411">
        <w:rPr>
          <w:rFonts w:ascii="Times New Roman" w:hAnsi="Times New Roman" w:cs="Times New Roman"/>
          <w:sz w:val="24"/>
          <w:szCs w:val="24"/>
          <w:lang w:val="en-US"/>
        </w:rPr>
        <w:t xml:space="preserve"> et al. 2016</w:t>
      </w:r>
      <w:r w:rsidR="00461C48" w:rsidRPr="00251411">
        <w:rPr>
          <w:rFonts w:ascii="Times New Roman" w:hAnsi="Times New Roman" w:cs="Times New Roman"/>
          <w:sz w:val="24"/>
          <w:szCs w:val="24"/>
          <w:lang w:val="en-US"/>
        </w:rPr>
        <w:t>), t</w:t>
      </w:r>
      <w:r w:rsidR="00A61F67" w:rsidRPr="00251411">
        <w:rPr>
          <w:rFonts w:ascii="Times New Roman" w:hAnsi="Times New Roman" w:cs="Times New Roman"/>
          <w:sz w:val="24"/>
          <w:szCs w:val="24"/>
          <w:lang w:val="en-US"/>
        </w:rPr>
        <w:t>he high performance of COI primer</w:t>
      </w:r>
      <w:r w:rsidR="002D0952" w:rsidRPr="00251411">
        <w:rPr>
          <w:rFonts w:ascii="Times New Roman" w:hAnsi="Times New Roman" w:cs="Times New Roman"/>
          <w:sz w:val="24"/>
          <w:szCs w:val="24"/>
          <w:lang w:val="en-US"/>
        </w:rPr>
        <w:t>s</w:t>
      </w:r>
      <w:r w:rsidR="00A61F67" w:rsidRPr="00251411">
        <w:rPr>
          <w:rFonts w:ascii="Times New Roman" w:hAnsi="Times New Roman" w:cs="Times New Roman"/>
          <w:sz w:val="24"/>
          <w:szCs w:val="24"/>
          <w:lang w:val="en-US"/>
        </w:rPr>
        <w:t xml:space="preserve"> used here</w:t>
      </w:r>
      <w:r w:rsidR="000C4F17" w:rsidRPr="00251411">
        <w:rPr>
          <w:rFonts w:ascii="Times New Roman" w:hAnsi="Times New Roman" w:cs="Times New Roman"/>
          <w:sz w:val="24"/>
          <w:szCs w:val="24"/>
          <w:lang w:val="en-US"/>
        </w:rPr>
        <w:t xml:space="preserve"> (</w:t>
      </w:r>
      <w:proofErr w:type="spellStart"/>
      <w:r w:rsidR="002D0952" w:rsidRPr="00251411">
        <w:rPr>
          <w:rFonts w:ascii="Times New Roman" w:hAnsi="Times New Roman" w:cs="Times New Roman"/>
          <w:sz w:val="24"/>
          <w:szCs w:val="24"/>
          <w:lang w:val="en-US"/>
        </w:rPr>
        <w:t>Leray</w:t>
      </w:r>
      <w:proofErr w:type="spellEnd"/>
      <w:r w:rsidR="002D0952" w:rsidRPr="00251411">
        <w:rPr>
          <w:rFonts w:ascii="Times New Roman" w:hAnsi="Times New Roman" w:cs="Times New Roman"/>
          <w:sz w:val="24"/>
          <w:szCs w:val="24"/>
          <w:lang w:val="en-US"/>
        </w:rPr>
        <w:t xml:space="preserve"> et al. 2013; Gibson et al. 2014</w:t>
      </w:r>
      <w:r w:rsidR="000C4F17" w:rsidRPr="00251411">
        <w:rPr>
          <w:rFonts w:ascii="Times New Roman" w:hAnsi="Times New Roman" w:cs="Times New Roman"/>
          <w:sz w:val="24"/>
          <w:szCs w:val="24"/>
          <w:lang w:val="en-US"/>
        </w:rPr>
        <w:t>)</w:t>
      </w:r>
      <w:r w:rsidR="00A61F67" w:rsidRPr="00251411">
        <w:rPr>
          <w:rFonts w:ascii="Times New Roman" w:hAnsi="Times New Roman" w:cs="Times New Roman"/>
          <w:sz w:val="24"/>
          <w:szCs w:val="24"/>
          <w:lang w:val="en-US"/>
        </w:rPr>
        <w:t xml:space="preserve">, is probably associated with their saturation with degenerate sites, which allow to reliably amplify most arthropods. </w:t>
      </w:r>
      <w:r w:rsidR="00A774E9" w:rsidRPr="00251411">
        <w:rPr>
          <w:rFonts w:ascii="Times New Roman" w:hAnsi="Times New Roman" w:cs="Times New Roman"/>
          <w:sz w:val="24"/>
          <w:szCs w:val="24"/>
          <w:lang w:val="en-US"/>
        </w:rPr>
        <w:t>A</w:t>
      </w:r>
      <w:r w:rsidR="00A61F67" w:rsidRPr="00251411">
        <w:rPr>
          <w:rFonts w:ascii="Times New Roman" w:hAnsi="Times New Roman" w:cs="Times New Roman"/>
          <w:sz w:val="24"/>
          <w:szCs w:val="24"/>
          <w:lang w:val="en-US"/>
        </w:rPr>
        <w:t xml:space="preserve"> large number of markers </w:t>
      </w:r>
      <w:r w:rsidR="00A774E9" w:rsidRPr="00251411">
        <w:rPr>
          <w:rFonts w:ascii="Times New Roman" w:hAnsi="Times New Roman" w:cs="Times New Roman"/>
          <w:sz w:val="24"/>
          <w:szCs w:val="24"/>
          <w:lang w:val="en-US"/>
        </w:rPr>
        <w:t>did not</w:t>
      </w:r>
      <w:r w:rsidR="00A61F67" w:rsidRPr="00251411">
        <w:rPr>
          <w:rFonts w:ascii="Times New Roman" w:hAnsi="Times New Roman" w:cs="Times New Roman"/>
          <w:sz w:val="24"/>
          <w:szCs w:val="24"/>
          <w:lang w:val="en-US"/>
        </w:rPr>
        <w:t xml:space="preserve"> increase the predictive power of </w:t>
      </w:r>
      <w:r w:rsidR="00A774E9" w:rsidRPr="00251411">
        <w:rPr>
          <w:rFonts w:ascii="Times New Roman" w:hAnsi="Times New Roman" w:cs="Times New Roman"/>
          <w:sz w:val="24"/>
          <w:szCs w:val="24"/>
          <w:lang w:val="en-US"/>
        </w:rPr>
        <w:t>our metabarcoding study</w:t>
      </w:r>
      <w:r w:rsidR="00A61F67" w:rsidRPr="00251411">
        <w:rPr>
          <w:rFonts w:ascii="Times New Roman" w:hAnsi="Times New Roman" w:cs="Times New Roman"/>
          <w:sz w:val="24"/>
          <w:szCs w:val="24"/>
          <w:lang w:val="en-US"/>
        </w:rPr>
        <w:t xml:space="preserve">. </w:t>
      </w:r>
      <w:r w:rsidR="00D7522D" w:rsidRPr="00251411">
        <w:rPr>
          <w:rFonts w:ascii="Times New Roman" w:hAnsi="Times New Roman" w:cs="Times New Roman"/>
          <w:sz w:val="24"/>
          <w:szCs w:val="24"/>
          <w:lang w:val="en-US"/>
        </w:rPr>
        <w:t xml:space="preserve">Instead degenerate </w:t>
      </w:r>
      <w:r w:rsidR="000E1F06" w:rsidRPr="00251411">
        <w:rPr>
          <w:rFonts w:ascii="Times New Roman" w:hAnsi="Times New Roman" w:cs="Times New Roman"/>
          <w:sz w:val="24"/>
          <w:szCs w:val="24"/>
          <w:lang w:val="en-US"/>
        </w:rPr>
        <w:t>COI</w:t>
      </w:r>
      <w:r w:rsidR="00D7522D" w:rsidRPr="00251411">
        <w:rPr>
          <w:rFonts w:ascii="Times New Roman" w:hAnsi="Times New Roman" w:cs="Times New Roman"/>
          <w:sz w:val="24"/>
          <w:szCs w:val="24"/>
          <w:lang w:val="en-US"/>
        </w:rPr>
        <w:t xml:space="preserve"> primers alone will allow for a detailed estimation of species richness and </w:t>
      </w:r>
      <w:r w:rsidR="00D848B4" w:rsidRPr="00251411">
        <w:rPr>
          <w:rFonts w:ascii="Times New Roman" w:hAnsi="Times New Roman" w:cs="Times New Roman"/>
          <w:sz w:val="24"/>
          <w:szCs w:val="24"/>
          <w:lang w:val="en-US"/>
        </w:rPr>
        <w:t>possible</w:t>
      </w:r>
      <w:r w:rsidR="00D7522D" w:rsidRPr="00251411">
        <w:rPr>
          <w:rFonts w:ascii="Times New Roman" w:hAnsi="Times New Roman" w:cs="Times New Roman"/>
          <w:sz w:val="24"/>
          <w:szCs w:val="24"/>
          <w:lang w:val="en-US"/>
        </w:rPr>
        <w:t xml:space="preserve"> even abundance</w:t>
      </w:r>
      <w:r w:rsidR="0025637D" w:rsidRPr="00251411">
        <w:rPr>
          <w:rFonts w:ascii="Times New Roman" w:hAnsi="Times New Roman" w:cs="Times New Roman"/>
          <w:sz w:val="24"/>
          <w:szCs w:val="24"/>
          <w:lang w:val="en-US"/>
        </w:rPr>
        <w:t xml:space="preserve"> for most taxa</w:t>
      </w:r>
      <w:r w:rsidR="00D7522D" w:rsidRPr="00251411">
        <w:rPr>
          <w:rFonts w:ascii="Times New Roman" w:hAnsi="Times New Roman" w:cs="Times New Roman"/>
          <w:sz w:val="24"/>
          <w:szCs w:val="24"/>
          <w:lang w:val="en-US"/>
        </w:rPr>
        <w:t>. Different markers might be a</w:t>
      </w:r>
      <w:r w:rsidR="001D5BDC" w:rsidRPr="00251411">
        <w:rPr>
          <w:rFonts w:ascii="Times New Roman" w:hAnsi="Times New Roman" w:cs="Times New Roman"/>
          <w:sz w:val="24"/>
          <w:szCs w:val="24"/>
          <w:lang w:val="en-US"/>
        </w:rPr>
        <w:t>dvisable for certain taxa. E.g., we could not be</w:t>
      </w:r>
      <w:r w:rsidR="00D7522D" w:rsidRPr="00251411">
        <w:rPr>
          <w:rFonts w:ascii="Times New Roman" w:hAnsi="Times New Roman" w:cs="Times New Roman"/>
          <w:sz w:val="24"/>
          <w:szCs w:val="24"/>
          <w:lang w:val="en-US"/>
        </w:rPr>
        <w:t xml:space="preserve"> </w:t>
      </w:r>
      <w:proofErr w:type="gramStart"/>
      <w:r w:rsidR="001D5BDC" w:rsidRPr="00251411">
        <w:rPr>
          <w:rFonts w:ascii="Times New Roman" w:hAnsi="Times New Roman" w:cs="Times New Roman"/>
          <w:sz w:val="24"/>
          <w:szCs w:val="24"/>
          <w:lang w:val="en-US"/>
        </w:rPr>
        <w:t>amplify</w:t>
      </w:r>
      <w:proofErr w:type="gramEnd"/>
      <w:r w:rsidR="001D5BDC" w:rsidRPr="00251411">
        <w:rPr>
          <w:rFonts w:ascii="Times New Roman" w:hAnsi="Times New Roman" w:cs="Times New Roman"/>
          <w:sz w:val="24"/>
          <w:szCs w:val="24"/>
          <w:lang w:val="en-US"/>
        </w:rPr>
        <w:t xml:space="preserve"> some</w:t>
      </w:r>
      <w:r w:rsidR="00D7522D" w:rsidRPr="00251411">
        <w:rPr>
          <w:rFonts w:ascii="Times New Roman" w:hAnsi="Times New Roman" w:cs="Times New Roman"/>
          <w:sz w:val="24"/>
          <w:szCs w:val="24"/>
          <w:lang w:val="en-US"/>
        </w:rPr>
        <w:t xml:space="preserve"> </w:t>
      </w:r>
      <w:r w:rsidR="001D5BDC" w:rsidRPr="00251411">
        <w:rPr>
          <w:rFonts w:ascii="Times New Roman" w:hAnsi="Times New Roman" w:cs="Times New Roman"/>
          <w:sz w:val="24"/>
          <w:szCs w:val="24"/>
          <w:lang w:val="en-US"/>
        </w:rPr>
        <w:t xml:space="preserve">hymenoptera </w:t>
      </w:r>
      <w:r w:rsidR="00461C48" w:rsidRPr="00251411">
        <w:rPr>
          <w:rFonts w:ascii="Times New Roman" w:hAnsi="Times New Roman" w:cs="Times New Roman"/>
          <w:sz w:val="24"/>
          <w:szCs w:val="24"/>
          <w:lang w:val="en-US"/>
        </w:rPr>
        <w:t xml:space="preserve">with </w:t>
      </w:r>
      <w:r w:rsidR="000E1F06" w:rsidRPr="00251411">
        <w:rPr>
          <w:rFonts w:ascii="Times New Roman" w:hAnsi="Times New Roman" w:cs="Times New Roman"/>
          <w:sz w:val="24"/>
          <w:szCs w:val="24"/>
          <w:lang w:val="en-US"/>
        </w:rPr>
        <w:t>COI</w:t>
      </w:r>
      <w:r w:rsidR="00D7522D" w:rsidRPr="00251411">
        <w:rPr>
          <w:rFonts w:ascii="Times New Roman" w:hAnsi="Times New Roman" w:cs="Times New Roman"/>
          <w:sz w:val="24"/>
          <w:szCs w:val="24"/>
          <w:lang w:val="en-US"/>
        </w:rPr>
        <w:t xml:space="preserve">. As </w:t>
      </w:r>
      <w:r w:rsidR="000E1F06" w:rsidRPr="00251411">
        <w:rPr>
          <w:rFonts w:ascii="Times New Roman" w:hAnsi="Times New Roman" w:cs="Times New Roman"/>
          <w:sz w:val="24"/>
          <w:szCs w:val="24"/>
          <w:lang w:val="en-US"/>
        </w:rPr>
        <w:t>COI</w:t>
      </w:r>
      <w:r w:rsidR="00D7522D" w:rsidRPr="00251411">
        <w:rPr>
          <w:rFonts w:ascii="Times New Roman" w:hAnsi="Times New Roman" w:cs="Times New Roman"/>
          <w:sz w:val="24"/>
          <w:szCs w:val="24"/>
          <w:lang w:val="en-US"/>
        </w:rPr>
        <w:t xml:space="preserve"> and other mitochondrial markers bring along problems like NUMTS </w:t>
      </w:r>
      <w:r w:rsidR="000C4F17" w:rsidRPr="00251411">
        <w:rPr>
          <w:rFonts w:ascii="Times New Roman" w:hAnsi="Times New Roman" w:cs="Times New Roman"/>
          <w:sz w:val="24"/>
          <w:szCs w:val="24"/>
          <w:lang w:val="en-US"/>
        </w:rPr>
        <w:t>(</w:t>
      </w:r>
      <w:proofErr w:type="spellStart"/>
      <w:r w:rsidR="002D0952" w:rsidRPr="00251411">
        <w:rPr>
          <w:rFonts w:ascii="Times New Roman" w:hAnsi="Times New Roman" w:cs="Times New Roman"/>
          <w:sz w:val="24"/>
          <w:szCs w:val="24"/>
          <w:lang w:val="en-US"/>
        </w:rPr>
        <w:t>Benasasson</w:t>
      </w:r>
      <w:proofErr w:type="spellEnd"/>
      <w:r w:rsidR="002D0952" w:rsidRPr="00251411">
        <w:rPr>
          <w:rFonts w:ascii="Times New Roman" w:hAnsi="Times New Roman" w:cs="Times New Roman"/>
          <w:sz w:val="24"/>
          <w:szCs w:val="24"/>
          <w:lang w:val="en-US"/>
        </w:rPr>
        <w:t xml:space="preserve"> et al. 2001</w:t>
      </w:r>
      <w:r w:rsidR="000C4F17" w:rsidRPr="00251411">
        <w:rPr>
          <w:rFonts w:ascii="Times New Roman" w:hAnsi="Times New Roman" w:cs="Times New Roman"/>
          <w:sz w:val="24"/>
          <w:szCs w:val="24"/>
          <w:lang w:val="en-US"/>
        </w:rPr>
        <w:t xml:space="preserve">) </w:t>
      </w:r>
      <w:r w:rsidR="00D7522D" w:rsidRPr="00251411">
        <w:rPr>
          <w:rFonts w:ascii="Times New Roman" w:hAnsi="Times New Roman" w:cs="Times New Roman"/>
          <w:sz w:val="24"/>
          <w:szCs w:val="24"/>
          <w:lang w:val="en-US"/>
        </w:rPr>
        <w:t xml:space="preserve">and their genealogy can be strongly affected by bacterial infections </w:t>
      </w:r>
      <w:r w:rsidR="000C4F17" w:rsidRPr="00251411">
        <w:rPr>
          <w:rFonts w:ascii="Times New Roman" w:hAnsi="Times New Roman" w:cs="Times New Roman"/>
          <w:sz w:val="24"/>
          <w:szCs w:val="24"/>
          <w:lang w:val="en-US"/>
        </w:rPr>
        <w:t>(</w:t>
      </w:r>
      <w:r w:rsidR="002D0952" w:rsidRPr="00251411">
        <w:rPr>
          <w:rFonts w:ascii="Times New Roman" w:hAnsi="Times New Roman" w:cs="Times New Roman"/>
          <w:sz w:val="24"/>
          <w:szCs w:val="24"/>
          <w:lang w:val="en-US"/>
        </w:rPr>
        <w:t xml:space="preserve">Hurst and </w:t>
      </w:r>
      <w:proofErr w:type="spellStart"/>
      <w:r w:rsidR="002D0952" w:rsidRPr="00251411">
        <w:rPr>
          <w:rFonts w:ascii="Times New Roman" w:hAnsi="Times New Roman" w:cs="Times New Roman"/>
          <w:sz w:val="24"/>
          <w:szCs w:val="24"/>
          <w:lang w:val="en-US"/>
        </w:rPr>
        <w:t>Jiggins</w:t>
      </w:r>
      <w:proofErr w:type="spellEnd"/>
      <w:r w:rsidR="002D0952" w:rsidRPr="00251411">
        <w:rPr>
          <w:rFonts w:ascii="Times New Roman" w:hAnsi="Times New Roman" w:cs="Times New Roman"/>
          <w:sz w:val="24"/>
          <w:szCs w:val="24"/>
          <w:lang w:val="en-US"/>
        </w:rPr>
        <w:t xml:space="preserve"> 2005</w:t>
      </w:r>
      <w:r w:rsidR="000C4F17" w:rsidRPr="00251411">
        <w:rPr>
          <w:rFonts w:ascii="Times New Roman" w:hAnsi="Times New Roman" w:cs="Times New Roman"/>
          <w:sz w:val="24"/>
          <w:szCs w:val="24"/>
          <w:lang w:val="en-US"/>
        </w:rPr>
        <w:t xml:space="preserve">) </w:t>
      </w:r>
      <w:r w:rsidR="00D7522D" w:rsidRPr="00251411">
        <w:rPr>
          <w:rFonts w:ascii="Times New Roman" w:hAnsi="Times New Roman" w:cs="Times New Roman"/>
          <w:sz w:val="24"/>
          <w:szCs w:val="24"/>
          <w:lang w:val="en-US"/>
        </w:rPr>
        <w:t>or paternal gene flow</w:t>
      </w:r>
      <w:r w:rsidR="000C4F17" w:rsidRPr="00251411">
        <w:rPr>
          <w:rFonts w:ascii="Times New Roman" w:hAnsi="Times New Roman" w:cs="Times New Roman"/>
          <w:sz w:val="24"/>
          <w:szCs w:val="24"/>
          <w:lang w:val="en-US"/>
        </w:rPr>
        <w:t xml:space="preserve"> (</w:t>
      </w:r>
      <w:r w:rsidR="00F43409" w:rsidRPr="00251411">
        <w:rPr>
          <w:rFonts w:ascii="Times New Roman" w:hAnsi="Times New Roman" w:cs="Times New Roman"/>
          <w:sz w:val="24"/>
          <w:szCs w:val="24"/>
          <w:lang w:val="en-US"/>
        </w:rPr>
        <w:t>Chen et al. 2008</w:t>
      </w:r>
      <w:r w:rsidR="000C4F17" w:rsidRPr="00251411">
        <w:rPr>
          <w:rFonts w:ascii="Times New Roman" w:hAnsi="Times New Roman" w:cs="Times New Roman"/>
          <w:sz w:val="24"/>
          <w:szCs w:val="24"/>
          <w:lang w:val="en-US"/>
        </w:rPr>
        <w:t>)</w:t>
      </w:r>
      <w:r w:rsidR="00D7522D" w:rsidRPr="00251411">
        <w:rPr>
          <w:rFonts w:ascii="Times New Roman" w:hAnsi="Times New Roman" w:cs="Times New Roman"/>
          <w:sz w:val="24"/>
          <w:szCs w:val="24"/>
          <w:lang w:val="en-US"/>
        </w:rPr>
        <w:t xml:space="preserve">, a suitable </w:t>
      </w:r>
      <w:r w:rsidR="000E1F06" w:rsidRPr="00251411">
        <w:rPr>
          <w:rFonts w:ascii="Times New Roman" w:hAnsi="Times New Roman" w:cs="Times New Roman"/>
          <w:sz w:val="24"/>
          <w:szCs w:val="24"/>
          <w:lang w:val="en-US"/>
        </w:rPr>
        <w:t>nuclear</w:t>
      </w:r>
      <w:r w:rsidR="00D7522D" w:rsidRPr="00251411">
        <w:rPr>
          <w:rFonts w:ascii="Times New Roman" w:hAnsi="Times New Roman" w:cs="Times New Roman"/>
          <w:sz w:val="24"/>
          <w:szCs w:val="24"/>
          <w:lang w:val="en-US"/>
        </w:rPr>
        <w:t xml:space="preserve"> marker would be highly recommendable as a </w:t>
      </w:r>
      <w:r w:rsidR="00D848B4" w:rsidRPr="00251411">
        <w:rPr>
          <w:rFonts w:ascii="Times New Roman" w:hAnsi="Times New Roman" w:cs="Times New Roman"/>
          <w:sz w:val="24"/>
          <w:szCs w:val="24"/>
          <w:lang w:val="en-US"/>
        </w:rPr>
        <w:t>backup</w:t>
      </w:r>
      <w:r w:rsidR="00D7522D" w:rsidRPr="00251411">
        <w:rPr>
          <w:rFonts w:ascii="Times New Roman" w:hAnsi="Times New Roman" w:cs="Times New Roman"/>
          <w:sz w:val="24"/>
          <w:szCs w:val="24"/>
          <w:lang w:val="en-US"/>
        </w:rPr>
        <w:t xml:space="preserve"> for </w:t>
      </w:r>
      <w:r w:rsidR="000E1F06" w:rsidRPr="00251411">
        <w:rPr>
          <w:rFonts w:ascii="Times New Roman" w:hAnsi="Times New Roman" w:cs="Times New Roman"/>
          <w:sz w:val="24"/>
          <w:szCs w:val="24"/>
          <w:lang w:val="en-US"/>
        </w:rPr>
        <w:t>COI</w:t>
      </w:r>
      <w:r w:rsidR="00D7522D" w:rsidRPr="00251411">
        <w:rPr>
          <w:rFonts w:ascii="Times New Roman" w:hAnsi="Times New Roman" w:cs="Times New Roman"/>
          <w:sz w:val="24"/>
          <w:szCs w:val="24"/>
          <w:lang w:val="en-US"/>
        </w:rPr>
        <w:t xml:space="preserve"> in future metabarcoding studies. While 18s and 28s rDNA performed very well in our study, they may be too conserved for </w:t>
      </w:r>
      <w:r w:rsidR="00D848B4" w:rsidRPr="00251411">
        <w:rPr>
          <w:rFonts w:ascii="Times New Roman" w:hAnsi="Times New Roman" w:cs="Times New Roman"/>
          <w:sz w:val="24"/>
          <w:szCs w:val="24"/>
          <w:lang w:val="en-US"/>
        </w:rPr>
        <w:t>many</w:t>
      </w:r>
      <w:r w:rsidR="00D7522D" w:rsidRPr="00251411">
        <w:rPr>
          <w:rFonts w:ascii="Times New Roman" w:hAnsi="Times New Roman" w:cs="Times New Roman"/>
          <w:sz w:val="24"/>
          <w:szCs w:val="24"/>
          <w:lang w:val="en-US"/>
        </w:rPr>
        <w:t xml:space="preserve"> barcoding </w:t>
      </w:r>
      <w:r w:rsidR="00A774E9" w:rsidRPr="00251411">
        <w:rPr>
          <w:rFonts w:ascii="Times New Roman" w:hAnsi="Times New Roman" w:cs="Times New Roman"/>
          <w:sz w:val="24"/>
          <w:szCs w:val="24"/>
          <w:lang w:val="en-US"/>
        </w:rPr>
        <w:t>applications</w:t>
      </w:r>
      <w:r w:rsidR="001D5BDC" w:rsidRPr="00251411">
        <w:rPr>
          <w:rFonts w:ascii="Times New Roman" w:hAnsi="Times New Roman" w:cs="Times New Roman"/>
          <w:sz w:val="24"/>
          <w:szCs w:val="24"/>
          <w:lang w:val="en-US"/>
        </w:rPr>
        <w:t xml:space="preserve"> (Tang et al. 2012)</w:t>
      </w:r>
      <w:r w:rsidR="00D7522D" w:rsidRPr="00251411">
        <w:rPr>
          <w:rFonts w:ascii="Times New Roman" w:hAnsi="Times New Roman" w:cs="Times New Roman"/>
          <w:sz w:val="24"/>
          <w:szCs w:val="24"/>
          <w:lang w:val="en-US"/>
        </w:rPr>
        <w:t xml:space="preserve">. A </w:t>
      </w:r>
      <w:r w:rsidR="00A774E9" w:rsidRPr="00251411">
        <w:rPr>
          <w:rFonts w:ascii="Times New Roman" w:hAnsi="Times New Roman" w:cs="Times New Roman"/>
          <w:sz w:val="24"/>
          <w:szCs w:val="24"/>
          <w:lang w:val="en-US"/>
        </w:rPr>
        <w:t>promising</w:t>
      </w:r>
      <w:r w:rsidR="00D7522D" w:rsidRPr="00251411">
        <w:rPr>
          <w:rFonts w:ascii="Times New Roman" w:hAnsi="Times New Roman" w:cs="Times New Roman"/>
          <w:sz w:val="24"/>
          <w:szCs w:val="24"/>
          <w:lang w:val="en-US"/>
        </w:rPr>
        <w:t xml:space="preserve"> target might be the internal transcribed spacers</w:t>
      </w:r>
      <w:r w:rsidR="0025637D" w:rsidRPr="00251411">
        <w:rPr>
          <w:rFonts w:ascii="Times New Roman" w:hAnsi="Times New Roman" w:cs="Times New Roman"/>
          <w:sz w:val="24"/>
          <w:szCs w:val="24"/>
          <w:lang w:val="en-US"/>
        </w:rPr>
        <w:t xml:space="preserve"> of the ribosomal cluster</w:t>
      </w:r>
      <w:r w:rsidR="00D7522D" w:rsidRPr="00251411">
        <w:rPr>
          <w:rFonts w:ascii="Times New Roman" w:hAnsi="Times New Roman" w:cs="Times New Roman"/>
          <w:sz w:val="24"/>
          <w:szCs w:val="24"/>
          <w:lang w:val="en-US"/>
        </w:rPr>
        <w:t xml:space="preserve">, which are already successfully applied </w:t>
      </w:r>
      <w:r w:rsidR="00A774E9" w:rsidRPr="00251411">
        <w:rPr>
          <w:rFonts w:ascii="Times New Roman" w:hAnsi="Times New Roman" w:cs="Times New Roman"/>
          <w:sz w:val="24"/>
          <w:szCs w:val="24"/>
          <w:lang w:val="en-US"/>
        </w:rPr>
        <w:t>in fungal taxonomy</w:t>
      </w:r>
      <w:r w:rsidR="000C4F17" w:rsidRPr="00251411">
        <w:rPr>
          <w:rFonts w:ascii="Times New Roman" w:hAnsi="Times New Roman" w:cs="Times New Roman"/>
          <w:sz w:val="24"/>
          <w:szCs w:val="24"/>
          <w:lang w:val="en-US"/>
        </w:rPr>
        <w:t xml:space="preserve"> (</w:t>
      </w:r>
      <w:r w:rsidR="00EC1B15" w:rsidRPr="00251411">
        <w:rPr>
          <w:rFonts w:ascii="Times New Roman" w:hAnsi="Times New Roman" w:cs="Times New Roman"/>
          <w:sz w:val="24"/>
          <w:szCs w:val="24"/>
          <w:lang w:val="en-US"/>
        </w:rPr>
        <w:t>Nilsson et al. 2009</w:t>
      </w:r>
      <w:r w:rsidR="000C4F17" w:rsidRPr="00251411">
        <w:rPr>
          <w:rFonts w:ascii="Times New Roman" w:hAnsi="Times New Roman" w:cs="Times New Roman"/>
          <w:sz w:val="24"/>
          <w:szCs w:val="24"/>
          <w:lang w:val="en-US"/>
        </w:rPr>
        <w:t>)</w:t>
      </w:r>
      <w:r w:rsidR="00A774E9" w:rsidRPr="00251411">
        <w:rPr>
          <w:rFonts w:ascii="Times New Roman" w:hAnsi="Times New Roman" w:cs="Times New Roman"/>
          <w:sz w:val="24"/>
          <w:szCs w:val="24"/>
          <w:lang w:val="en-US"/>
        </w:rPr>
        <w:t>.</w:t>
      </w:r>
    </w:p>
    <w:p w14:paraId="0F975CAC" w14:textId="77777777" w:rsidR="00247D45" w:rsidRPr="00251411" w:rsidRDefault="00247D45" w:rsidP="00251411">
      <w:pPr>
        <w:spacing w:line="480" w:lineRule="auto"/>
        <w:jc w:val="both"/>
        <w:rPr>
          <w:rFonts w:ascii="Times New Roman" w:hAnsi="Times New Roman" w:cs="Times New Roman"/>
          <w:b/>
          <w:sz w:val="24"/>
          <w:szCs w:val="24"/>
          <w:lang w:val="en-US"/>
        </w:rPr>
      </w:pPr>
      <w:r w:rsidRPr="00251411">
        <w:rPr>
          <w:rFonts w:ascii="Times New Roman" w:hAnsi="Times New Roman" w:cs="Times New Roman"/>
          <w:b/>
          <w:sz w:val="24"/>
          <w:szCs w:val="24"/>
          <w:lang w:val="en-US"/>
        </w:rPr>
        <w:t>Conclusion</w:t>
      </w:r>
    </w:p>
    <w:p w14:paraId="3CCADFE4" w14:textId="77777777" w:rsidR="00CB11CB" w:rsidRPr="00251411" w:rsidRDefault="008E4391" w:rsidP="00251411">
      <w:pPr>
        <w:pStyle w:val="ListParagraph"/>
        <w:numPr>
          <w:ilvl w:val="0"/>
          <w:numId w:val="10"/>
        </w:num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Study shows that abundance of taxa in community tightly correlated to recovered reads</w:t>
      </w:r>
      <w:r w:rsidR="00FE7B5D" w:rsidRPr="00251411">
        <w:rPr>
          <w:rFonts w:ascii="Times New Roman" w:hAnsi="Times New Roman" w:cs="Times New Roman"/>
          <w:sz w:val="24"/>
          <w:szCs w:val="24"/>
          <w:lang w:val="en-US"/>
        </w:rPr>
        <w:t xml:space="preserve"> in amplicon approaches</w:t>
      </w:r>
    </w:p>
    <w:p w14:paraId="4DFC0A84" w14:textId="77777777" w:rsidR="008E4391" w:rsidRPr="00251411" w:rsidRDefault="008E4391" w:rsidP="00251411">
      <w:pPr>
        <w:pStyle w:val="ListParagraph"/>
        <w:numPr>
          <w:ilvl w:val="0"/>
          <w:numId w:val="10"/>
        </w:num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Bias between taxa </w:t>
      </w:r>
      <w:r w:rsidR="00CB11CB" w:rsidRPr="00251411">
        <w:rPr>
          <w:rFonts w:ascii="Times New Roman" w:hAnsi="Times New Roman" w:cs="Times New Roman"/>
          <w:sz w:val="24"/>
          <w:szCs w:val="24"/>
          <w:lang w:val="en-US"/>
        </w:rPr>
        <w:t xml:space="preserve">is similar in close relatives </w:t>
      </w:r>
      <w:r w:rsidRPr="00251411">
        <w:rPr>
          <w:rFonts w:ascii="Times New Roman" w:hAnsi="Times New Roman" w:cs="Times New Roman"/>
          <w:sz w:val="24"/>
          <w:szCs w:val="24"/>
          <w:lang w:val="en-US"/>
        </w:rPr>
        <w:t>could be overcome by correction factors if system is well known</w:t>
      </w:r>
    </w:p>
    <w:p w14:paraId="592C37E1" w14:textId="77777777" w:rsidR="00CB11CB" w:rsidRPr="00251411" w:rsidRDefault="00CB11CB" w:rsidP="00251411">
      <w:pPr>
        <w:pStyle w:val="ListParagraph"/>
        <w:numPr>
          <w:ilvl w:val="0"/>
          <w:numId w:val="10"/>
        </w:numPr>
        <w:spacing w:line="480" w:lineRule="auto"/>
        <w:jc w:val="both"/>
        <w:rPr>
          <w:rFonts w:ascii="Times New Roman" w:hAnsi="Times New Roman" w:cs="Times New Roman"/>
          <w:sz w:val="24"/>
          <w:szCs w:val="24"/>
          <w:lang w:val="en-US"/>
        </w:rPr>
      </w:pPr>
      <w:proofErr w:type="spellStart"/>
      <w:r w:rsidRPr="00251411">
        <w:rPr>
          <w:rFonts w:ascii="Times New Roman" w:hAnsi="Times New Roman" w:cs="Times New Roman"/>
          <w:sz w:val="24"/>
          <w:szCs w:val="24"/>
          <w:lang w:val="en-US"/>
        </w:rPr>
        <w:t>Bis</w:t>
      </w:r>
      <w:proofErr w:type="spellEnd"/>
      <w:r w:rsidRPr="00251411">
        <w:rPr>
          <w:rFonts w:ascii="Times New Roman" w:hAnsi="Times New Roman" w:cs="Times New Roman"/>
          <w:sz w:val="24"/>
          <w:szCs w:val="24"/>
          <w:lang w:val="en-US"/>
        </w:rPr>
        <w:t xml:space="preserve"> not necessarily by priming mutations but rather by copy number variation of loci </w:t>
      </w:r>
      <w:r w:rsidRPr="00251411">
        <w:rPr>
          <w:rFonts w:ascii="Times New Roman" w:hAnsi="Times New Roman" w:cs="Times New Roman"/>
          <w:sz w:val="24"/>
          <w:szCs w:val="24"/>
          <w:lang w:val="en-US"/>
        </w:rPr>
        <w:sym w:font="Wingdings" w:char="F0E0"/>
      </w:r>
      <w:r w:rsidRPr="00251411">
        <w:rPr>
          <w:rFonts w:ascii="Times New Roman" w:hAnsi="Times New Roman" w:cs="Times New Roman"/>
          <w:sz w:val="24"/>
          <w:szCs w:val="24"/>
          <w:lang w:val="en-US"/>
        </w:rPr>
        <w:t xml:space="preserve"> </w:t>
      </w:r>
      <w:proofErr w:type="spellStart"/>
      <w:r w:rsidRPr="00251411">
        <w:rPr>
          <w:rFonts w:ascii="Times New Roman" w:hAnsi="Times New Roman" w:cs="Times New Roman"/>
          <w:sz w:val="24"/>
          <w:szCs w:val="24"/>
          <w:lang w:val="en-US"/>
        </w:rPr>
        <w:t>pcr</w:t>
      </w:r>
      <w:proofErr w:type="spellEnd"/>
      <w:r w:rsidRPr="00251411">
        <w:rPr>
          <w:rFonts w:ascii="Times New Roman" w:hAnsi="Times New Roman" w:cs="Times New Roman"/>
          <w:sz w:val="24"/>
          <w:szCs w:val="24"/>
          <w:lang w:val="en-US"/>
        </w:rPr>
        <w:t xml:space="preserve"> approaches as useful as </w:t>
      </w:r>
      <w:proofErr w:type="spellStart"/>
      <w:r w:rsidRPr="00251411">
        <w:rPr>
          <w:rFonts w:ascii="Times New Roman" w:hAnsi="Times New Roman" w:cs="Times New Roman"/>
          <w:sz w:val="24"/>
          <w:szCs w:val="24"/>
          <w:lang w:val="en-US"/>
        </w:rPr>
        <w:t>pcr</w:t>
      </w:r>
      <w:proofErr w:type="spellEnd"/>
      <w:r w:rsidRPr="00251411">
        <w:rPr>
          <w:rFonts w:ascii="Times New Roman" w:hAnsi="Times New Roman" w:cs="Times New Roman"/>
          <w:sz w:val="24"/>
          <w:szCs w:val="24"/>
          <w:lang w:val="en-US"/>
        </w:rPr>
        <w:t xml:space="preserve"> free </w:t>
      </w:r>
      <w:proofErr w:type="spellStart"/>
      <w:r w:rsidRPr="00251411">
        <w:rPr>
          <w:rFonts w:ascii="Times New Roman" w:hAnsi="Times New Roman" w:cs="Times New Roman"/>
          <w:sz w:val="24"/>
          <w:szCs w:val="24"/>
          <w:lang w:val="en-US"/>
        </w:rPr>
        <w:t>aproaches</w:t>
      </w:r>
      <w:proofErr w:type="spellEnd"/>
    </w:p>
    <w:p w14:paraId="106888FC" w14:textId="77777777" w:rsidR="008E4391" w:rsidRPr="00251411" w:rsidRDefault="008E4391" w:rsidP="00251411">
      <w:pPr>
        <w:pStyle w:val="ListParagraph"/>
        <w:numPr>
          <w:ilvl w:val="0"/>
          <w:numId w:val="10"/>
        </w:num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lastRenderedPageBreak/>
        <w:t xml:space="preserve">Degenerate </w:t>
      </w:r>
      <w:proofErr w:type="spellStart"/>
      <w:r w:rsidRPr="00251411">
        <w:rPr>
          <w:rFonts w:ascii="Times New Roman" w:hAnsi="Times New Roman" w:cs="Times New Roman"/>
          <w:sz w:val="24"/>
          <w:szCs w:val="24"/>
          <w:lang w:val="en-US"/>
        </w:rPr>
        <w:t>coi</w:t>
      </w:r>
      <w:proofErr w:type="spellEnd"/>
      <w:r w:rsidRPr="00251411">
        <w:rPr>
          <w:rFonts w:ascii="Times New Roman" w:hAnsi="Times New Roman" w:cs="Times New Roman"/>
          <w:sz w:val="24"/>
          <w:szCs w:val="24"/>
          <w:lang w:val="en-US"/>
        </w:rPr>
        <w:t xml:space="preserve"> primer emerge as most useful markers, though nuclear back up might be necessary to counter drawbacks </w:t>
      </w:r>
      <w:r w:rsidR="00FE7B5D" w:rsidRPr="00251411">
        <w:rPr>
          <w:rFonts w:ascii="Times New Roman" w:hAnsi="Times New Roman" w:cs="Times New Roman"/>
          <w:sz w:val="24"/>
          <w:szCs w:val="24"/>
          <w:lang w:val="en-US"/>
        </w:rPr>
        <w:t>of COI</w:t>
      </w:r>
    </w:p>
    <w:p w14:paraId="155BE1A6" w14:textId="77777777" w:rsidR="00461C48" w:rsidRPr="00251411" w:rsidRDefault="008E4391" w:rsidP="00251411">
      <w:pPr>
        <w:pStyle w:val="ListParagraph"/>
        <w:numPr>
          <w:ilvl w:val="0"/>
          <w:numId w:val="10"/>
        </w:num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Still many additional factors like degradation bias, extraction bias need to be incorporated</w:t>
      </w:r>
    </w:p>
    <w:p w14:paraId="00EC5654" w14:textId="77777777" w:rsidR="0047647B" w:rsidRPr="00251411" w:rsidRDefault="0047647B" w:rsidP="00251411">
      <w:pPr>
        <w:spacing w:line="480" w:lineRule="auto"/>
        <w:jc w:val="both"/>
        <w:rPr>
          <w:rFonts w:ascii="Times New Roman" w:hAnsi="Times New Roman" w:cs="Times New Roman"/>
          <w:b/>
          <w:sz w:val="24"/>
          <w:szCs w:val="24"/>
          <w:lang w:val="en-US"/>
        </w:rPr>
      </w:pPr>
      <w:r w:rsidRPr="00251411">
        <w:rPr>
          <w:rFonts w:ascii="Times New Roman" w:hAnsi="Times New Roman" w:cs="Times New Roman"/>
          <w:b/>
          <w:sz w:val="24"/>
          <w:szCs w:val="24"/>
          <w:lang w:val="en-US"/>
        </w:rPr>
        <w:t>Acknowledgements</w:t>
      </w:r>
    </w:p>
    <w:p w14:paraId="05B890C3" w14:textId="77777777" w:rsidR="00960A1C" w:rsidRPr="00251411" w:rsidRDefault="00960A1C" w:rsidP="00251411">
      <w:pPr>
        <w:spacing w:line="480" w:lineRule="auto"/>
        <w:jc w:val="both"/>
        <w:rPr>
          <w:rFonts w:ascii="Times New Roman" w:hAnsi="Times New Roman" w:cs="Times New Roman"/>
          <w:b/>
          <w:sz w:val="24"/>
          <w:szCs w:val="24"/>
          <w:lang w:val="en-US"/>
        </w:rPr>
      </w:pPr>
      <w:r w:rsidRPr="00251411">
        <w:rPr>
          <w:rFonts w:ascii="Times New Roman" w:hAnsi="Times New Roman" w:cs="Times New Roman"/>
          <w:sz w:val="24"/>
          <w:szCs w:val="24"/>
          <w:lang w:val="en-US"/>
        </w:rPr>
        <w:t>We would like to thank Edward Greg Huang for help during fieldwork. Susan Kennedy thankfully provided help with the taxonomic identification of spiders.</w:t>
      </w:r>
      <w:r w:rsidRPr="00251411">
        <w:rPr>
          <w:rFonts w:ascii="Times New Roman" w:hAnsi="Times New Roman" w:cs="Times New Roman"/>
          <w:b/>
          <w:sz w:val="24"/>
          <w:szCs w:val="24"/>
          <w:lang w:val="en-US"/>
        </w:rPr>
        <w:t xml:space="preserve"> </w:t>
      </w:r>
      <w:r w:rsidRPr="00251411">
        <w:rPr>
          <w:rFonts w:ascii="Times New Roman" w:hAnsi="Times New Roman" w:cs="Times New Roman"/>
          <w:sz w:val="24"/>
          <w:szCs w:val="24"/>
          <w:lang w:val="en-US"/>
        </w:rPr>
        <w:t xml:space="preserve">HK was funded by a postdoctoral fellowship of the German Science Foundation (DFG). This work is funded by a grant of the National Science Foundation (NSF) to RG. The authors declare no conflict of interest. </w:t>
      </w:r>
    </w:p>
    <w:p w14:paraId="14963DD1" w14:textId="77777777" w:rsidR="0047647B" w:rsidRPr="00251411" w:rsidRDefault="0047647B" w:rsidP="00251411">
      <w:pPr>
        <w:spacing w:line="480" w:lineRule="auto"/>
        <w:jc w:val="both"/>
        <w:rPr>
          <w:rFonts w:ascii="Times New Roman" w:hAnsi="Times New Roman" w:cs="Times New Roman"/>
          <w:b/>
          <w:sz w:val="24"/>
          <w:szCs w:val="24"/>
          <w:lang w:val="en-US"/>
        </w:rPr>
      </w:pPr>
      <w:r w:rsidRPr="00251411">
        <w:rPr>
          <w:rFonts w:ascii="Times New Roman" w:hAnsi="Times New Roman" w:cs="Times New Roman"/>
          <w:b/>
          <w:sz w:val="24"/>
          <w:szCs w:val="24"/>
          <w:lang w:val="en-US"/>
        </w:rPr>
        <w:t>Data accessibility</w:t>
      </w:r>
    </w:p>
    <w:p w14:paraId="62CE4A02" w14:textId="77777777" w:rsidR="00960A1C" w:rsidRPr="00251411" w:rsidRDefault="00960A1C"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The following data will be made available in the Dryad Repository upon acceptance of the manuscript:</w:t>
      </w:r>
    </w:p>
    <w:p w14:paraId="1EFA0973" w14:textId="77777777" w:rsidR="0047647B" w:rsidRPr="00251411" w:rsidRDefault="00960A1C"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1. Read files for all </w:t>
      </w:r>
      <w:proofErr w:type="spellStart"/>
      <w:r w:rsidRPr="00251411">
        <w:rPr>
          <w:rFonts w:ascii="Times New Roman" w:hAnsi="Times New Roman" w:cs="Times New Roman"/>
          <w:sz w:val="24"/>
          <w:szCs w:val="24"/>
          <w:lang w:val="en-US"/>
        </w:rPr>
        <w:t>analyyed</w:t>
      </w:r>
      <w:proofErr w:type="spellEnd"/>
      <w:r w:rsidRPr="00251411">
        <w:rPr>
          <w:rFonts w:ascii="Times New Roman" w:hAnsi="Times New Roman" w:cs="Times New Roman"/>
          <w:sz w:val="24"/>
          <w:szCs w:val="24"/>
          <w:lang w:val="en-US"/>
        </w:rPr>
        <w:t xml:space="preserve"> sequences</w:t>
      </w:r>
    </w:p>
    <w:p w14:paraId="79493AD8" w14:textId="77777777" w:rsidR="0047647B" w:rsidRPr="00251411" w:rsidRDefault="00960A1C"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2. Analysis tables containing read counts, per mock community and taxon </w:t>
      </w:r>
    </w:p>
    <w:p w14:paraId="096367E8" w14:textId="77777777" w:rsidR="00CE7295" w:rsidRPr="00251411" w:rsidRDefault="0047647B" w:rsidP="00251411">
      <w:pPr>
        <w:spacing w:line="480" w:lineRule="auto"/>
        <w:jc w:val="both"/>
        <w:rPr>
          <w:rFonts w:ascii="Times New Roman" w:hAnsi="Times New Roman" w:cs="Times New Roman"/>
          <w:b/>
          <w:sz w:val="24"/>
          <w:szCs w:val="24"/>
          <w:lang w:val="en-US"/>
        </w:rPr>
      </w:pPr>
      <w:r w:rsidRPr="00251411">
        <w:rPr>
          <w:rFonts w:ascii="Times New Roman" w:hAnsi="Times New Roman" w:cs="Times New Roman"/>
          <w:b/>
          <w:sz w:val="24"/>
          <w:szCs w:val="24"/>
          <w:lang w:val="en-US"/>
        </w:rPr>
        <w:t>References</w:t>
      </w:r>
    </w:p>
    <w:p w14:paraId="4595F770" w14:textId="77777777" w:rsidR="008E4C60" w:rsidRPr="00251411" w:rsidRDefault="008E4C60" w:rsidP="00251411">
      <w:pPr>
        <w:spacing w:after="0" w:line="480" w:lineRule="auto"/>
        <w:ind w:left="360" w:hanging="360"/>
        <w:jc w:val="both"/>
        <w:rPr>
          <w:rFonts w:ascii="Times New Roman" w:hAnsi="Times New Roman" w:cs="Times New Roman"/>
          <w:sz w:val="24"/>
          <w:szCs w:val="24"/>
          <w:lang w:val="en-US"/>
        </w:rPr>
      </w:pPr>
      <w:proofErr w:type="spellStart"/>
      <w:r w:rsidRPr="00251411">
        <w:rPr>
          <w:rFonts w:ascii="Times New Roman" w:hAnsi="Times New Roman" w:cs="Times New Roman"/>
          <w:sz w:val="24"/>
          <w:szCs w:val="24"/>
          <w:lang w:val="en-US"/>
        </w:rPr>
        <w:t>Altschul</w:t>
      </w:r>
      <w:proofErr w:type="spellEnd"/>
      <w:r w:rsidRPr="00251411">
        <w:rPr>
          <w:rFonts w:ascii="Times New Roman" w:hAnsi="Times New Roman" w:cs="Times New Roman"/>
          <w:sz w:val="24"/>
          <w:szCs w:val="24"/>
          <w:lang w:val="en-US"/>
        </w:rPr>
        <w:t xml:space="preserve">, S.F., Gish, W., Miller, W., Myers, E.W. &amp; </w:t>
      </w:r>
      <w:proofErr w:type="spellStart"/>
      <w:r w:rsidRPr="00251411">
        <w:rPr>
          <w:rFonts w:ascii="Times New Roman" w:hAnsi="Times New Roman" w:cs="Times New Roman"/>
          <w:sz w:val="24"/>
          <w:szCs w:val="24"/>
          <w:lang w:val="en-US"/>
        </w:rPr>
        <w:t>Lipman</w:t>
      </w:r>
      <w:proofErr w:type="spellEnd"/>
      <w:r w:rsidRPr="00251411">
        <w:rPr>
          <w:rFonts w:ascii="Times New Roman" w:hAnsi="Times New Roman" w:cs="Times New Roman"/>
          <w:sz w:val="24"/>
          <w:szCs w:val="24"/>
          <w:lang w:val="en-US"/>
        </w:rPr>
        <w:t xml:space="preserve">, D.J. (1990) Basic local alignment search tool. </w:t>
      </w:r>
      <w:r w:rsidRPr="00251411">
        <w:rPr>
          <w:rFonts w:ascii="Times New Roman" w:hAnsi="Times New Roman" w:cs="Times New Roman"/>
          <w:i/>
          <w:sz w:val="24"/>
          <w:szCs w:val="24"/>
          <w:lang w:val="en-US"/>
        </w:rPr>
        <w:t>Journal of Molecular Biology</w:t>
      </w:r>
      <w:r w:rsidRPr="00251411">
        <w:rPr>
          <w:rFonts w:ascii="Times New Roman" w:hAnsi="Times New Roman" w:cs="Times New Roman"/>
          <w:sz w:val="24"/>
          <w:szCs w:val="24"/>
          <w:lang w:val="en-US"/>
        </w:rPr>
        <w:t xml:space="preserve">, </w:t>
      </w:r>
      <w:r w:rsidRPr="00251411">
        <w:rPr>
          <w:rFonts w:ascii="Times New Roman" w:hAnsi="Times New Roman" w:cs="Times New Roman"/>
          <w:b/>
          <w:sz w:val="24"/>
          <w:szCs w:val="24"/>
          <w:lang w:val="en-US"/>
        </w:rPr>
        <w:t>215</w:t>
      </w:r>
      <w:r w:rsidRPr="00251411">
        <w:rPr>
          <w:rFonts w:ascii="Times New Roman" w:hAnsi="Times New Roman" w:cs="Times New Roman"/>
          <w:sz w:val="24"/>
          <w:szCs w:val="24"/>
          <w:lang w:val="en-US"/>
        </w:rPr>
        <w:t>, 403-410.</w:t>
      </w:r>
    </w:p>
    <w:p w14:paraId="25425A75" w14:textId="77777777" w:rsidR="00F96900" w:rsidRPr="00251411" w:rsidRDefault="00F96900" w:rsidP="00251411">
      <w:pPr>
        <w:spacing w:line="480" w:lineRule="auto"/>
        <w:ind w:left="706" w:hanging="706"/>
        <w:jc w:val="both"/>
        <w:rPr>
          <w:rFonts w:ascii="Times New Roman" w:hAnsi="Times New Roman" w:cs="Times New Roman"/>
          <w:sz w:val="24"/>
          <w:szCs w:val="24"/>
          <w:lang w:val="en-US"/>
        </w:rPr>
      </w:pPr>
      <w:proofErr w:type="spellStart"/>
      <w:r w:rsidRPr="00251411">
        <w:rPr>
          <w:rFonts w:ascii="Times New Roman" w:hAnsi="Times New Roman" w:cs="Times New Roman"/>
          <w:sz w:val="24"/>
          <w:szCs w:val="24"/>
          <w:lang w:val="en-US"/>
        </w:rPr>
        <w:t>Angly</w:t>
      </w:r>
      <w:proofErr w:type="spellEnd"/>
      <w:r w:rsidRPr="00251411">
        <w:rPr>
          <w:rFonts w:ascii="Times New Roman" w:hAnsi="Times New Roman" w:cs="Times New Roman"/>
          <w:sz w:val="24"/>
          <w:szCs w:val="24"/>
          <w:lang w:val="en-US"/>
        </w:rPr>
        <w:t xml:space="preserve">, F. E., Dennis, P. G., </w:t>
      </w:r>
      <w:proofErr w:type="spellStart"/>
      <w:r w:rsidRPr="00251411">
        <w:rPr>
          <w:rFonts w:ascii="Times New Roman" w:hAnsi="Times New Roman" w:cs="Times New Roman"/>
          <w:sz w:val="24"/>
          <w:szCs w:val="24"/>
          <w:lang w:val="en-US"/>
        </w:rPr>
        <w:t>Skarshewski</w:t>
      </w:r>
      <w:proofErr w:type="spellEnd"/>
      <w:r w:rsidRPr="00251411">
        <w:rPr>
          <w:rFonts w:ascii="Times New Roman" w:hAnsi="Times New Roman" w:cs="Times New Roman"/>
          <w:sz w:val="24"/>
          <w:szCs w:val="24"/>
          <w:lang w:val="en-US"/>
        </w:rPr>
        <w:t xml:space="preserve">, A., </w:t>
      </w:r>
      <w:proofErr w:type="spellStart"/>
      <w:r w:rsidRPr="00251411">
        <w:rPr>
          <w:rFonts w:ascii="Times New Roman" w:hAnsi="Times New Roman" w:cs="Times New Roman"/>
          <w:sz w:val="24"/>
          <w:szCs w:val="24"/>
          <w:lang w:val="en-US"/>
        </w:rPr>
        <w:t>Vanwonterghem</w:t>
      </w:r>
      <w:proofErr w:type="spellEnd"/>
      <w:r w:rsidRPr="00251411">
        <w:rPr>
          <w:rFonts w:ascii="Times New Roman" w:hAnsi="Times New Roman" w:cs="Times New Roman"/>
          <w:sz w:val="24"/>
          <w:szCs w:val="24"/>
          <w:lang w:val="en-US"/>
        </w:rPr>
        <w:t xml:space="preserve">, I., </w:t>
      </w:r>
      <w:proofErr w:type="spellStart"/>
      <w:r w:rsidRPr="00251411">
        <w:rPr>
          <w:rFonts w:ascii="Times New Roman" w:hAnsi="Times New Roman" w:cs="Times New Roman"/>
          <w:sz w:val="24"/>
          <w:szCs w:val="24"/>
          <w:lang w:val="en-US"/>
        </w:rPr>
        <w:t>Hugenholtz</w:t>
      </w:r>
      <w:proofErr w:type="spellEnd"/>
      <w:r w:rsidRPr="00251411">
        <w:rPr>
          <w:rFonts w:ascii="Times New Roman" w:hAnsi="Times New Roman" w:cs="Times New Roman"/>
          <w:sz w:val="24"/>
          <w:szCs w:val="24"/>
          <w:lang w:val="en-US"/>
        </w:rPr>
        <w:t xml:space="preserve">, P., &amp; Tyson, G. W. (2014). </w:t>
      </w:r>
      <w:proofErr w:type="spellStart"/>
      <w:r w:rsidRPr="00251411">
        <w:rPr>
          <w:rFonts w:ascii="Times New Roman" w:hAnsi="Times New Roman" w:cs="Times New Roman"/>
          <w:sz w:val="24"/>
          <w:szCs w:val="24"/>
          <w:lang w:val="en-US"/>
        </w:rPr>
        <w:t>CopyRighter</w:t>
      </w:r>
      <w:proofErr w:type="spellEnd"/>
      <w:r w:rsidRPr="00251411">
        <w:rPr>
          <w:rFonts w:ascii="Times New Roman" w:hAnsi="Times New Roman" w:cs="Times New Roman"/>
          <w:sz w:val="24"/>
          <w:szCs w:val="24"/>
          <w:lang w:val="en-US"/>
        </w:rPr>
        <w:t xml:space="preserve">: a rapid tool for improving the accuracy of microbial community profiles through lineage-specific gene copy number correction. </w:t>
      </w:r>
      <w:r w:rsidRPr="00251411">
        <w:rPr>
          <w:rFonts w:ascii="Times New Roman" w:hAnsi="Times New Roman" w:cs="Times New Roman"/>
          <w:i/>
          <w:iCs/>
          <w:sz w:val="24"/>
          <w:szCs w:val="24"/>
          <w:lang w:val="en-US"/>
        </w:rPr>
        <w:t>Microbiome</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2</w:t>
      </w:r>
      <w:r w:rsidRPr="00251411">
        <w:rPr>
          <w:rFonts w:ascii="Times New Roman" w:hAnsi="Times New Roman" w:cs="Times New Roman"/>
          <w:sz w:val="24"/>
          <w:szCs w:val="24"/>
          <w:lang w:val="en-US"/>
        </w:rPr>
        <w:t>(1), 1.</w:t>
      </w:r>
    </w:p>
    <w:p w14:paraId="7D94FB04" w14:textId="77777777" w:rsidR="003F67B3" w:rsidRPr="00251411" w:rsidRDefault="003F67B3"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lastRenderedPageBreak/>
        <w:t xml:space="preserve">Barraclough, T. G., Hogan, J. E., &amp; </w:t>
      </w:r>
      <w:proofErr w:type="spellStart"/>
      <w:r w:rsidRPr="00251411">
        <w:rPr>
          <w:rFonts w:ascii="Times New Roman" w:hAnsi="Times New Roman" w:cs="Times New Roman"/>
          <w:sz w:val="24"/>
          <w:szCs w:val="24"/>
          <w:lang w:val="en-US"/>
        </w:rPr>
        <w:t>Vogler</w:t>
      </w:r>
      <w:proofErr w:type="spellEnd"/>
      <w:r w:rsidRPr="00251411">
        <w:rPr>
          <w:rFonts w:ascii="Times New Roman" w:hAnsi="Times New Roman" w:cs="Times New Roman"/>
          <w:sz w:val="24"/>
          <w:szCs w:val="24"/>
          <w:lang w:val="en-US"/>
        </w:rPr>
        <w:t xml:space="preserve">, A. P. (1999). Testing whether ecological factors promote </w:t>
      </w:r>
      <w:proofErr w:type="spellStart"/>
      <w:r w:rsidRPr="00251411">
        <w:rPr>
          <w:rFonts w:ascii="Times New Roman" w:hAnsi="Times New Roman" w:cs="Times New Roman"/>
          <w:sz w:val="24"/>
          <w:szCs w:val="24"/>
          <w:lang w:val="en-US"/>
        </w:rPr>
        <w:t>cladogenesis</w:t>
      </w:r>
      <w:proofErr w:type="spellEnd"/>
      <w:r w:rsidRPr="00251411">
        <w:rPr>
          <w:rFonts w:ascii="Times New Roman" w:hAnsi="Times New Roman" w:cs="Times New Roman"/>
          <w:sz w:val="24"/>
          <w:szCs w:val="24"/>
          <w:lang w:val="en-US"/>
        </w:rPr>
        <w:t xml:space="preserve"> in a group of tiger beetles (</w:t>
      </w:r>
      <w:proofErr w:type="spellStart"/>
      <w:r w:rsidRPr="00251411">
        <w:rPr>
          <w:rFonts w:ascii="Times New Roman" w:hAnsi="Times New Roman" w:cs="Times New Roman"/>
          <w:sz w:val="24"/>
          <w:szCs w:val="24"/>
          <w:lang w:val="en-US"/>
        </w:rPr>
        <w:t>Coleoptera</w:t>
      </w:r>
      <w:proofErr w:type="spellEnd"/>
      <w:r w:rsidRPr="00251411">
        <w:rPr>
          <w:rFonts w:ascii="Times New Roman" w:hAnsi="Times New Roman" w:cs="Times New Roman"/>
          <w:sz w:val="24"/>
          <w:szCs w:val="24"/>
          <w:lang w:val="en-US"/>
        </w:rPr>
        <w:t xml:space="preserve">: </w:t>
      </w:r>
      <w:proofErr w:type="spellStart"/>
      <w:r w:rsidRPr="00251411">
        <w:rPr>
          <w:rFonts w:ascii="Times New Roman" w:hAnsi="Times New Roman" w:cs="Times New Roman"/>
          <w:sz w:val="24"/>
          <w:szCs w:val="24"/>
          <w:lang w:val="en-US"/>
        </w:rPr>
        <w:t>Cicindelidae</w:t>
      </w:r>
      <w:proofErr w:type="spellEnd"/>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Proceedings of the Royal Society of London B: Biological Sciences</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266</w:t>
      </w:r>
      <w:r w:rsidRPr="00251411">
        <w:rPr>
          <w:rFonts w:ascii="Times New Roman" w:hAnsi="Times New Roman" w:cs="Times New Roman"/>
          <w:sz w:val="24"/>
          <w:szCs w:val="24"/>
          <w:lang w:val="en-US"/>
        </w:rPr>
        <w:t>(1423), 1061-1067.</w:t>
      </w:r>
    </w:p>
    <w:p w14:paraId="576EB15A" w14:textId="77777777" w:rsidR="00F66F43" w:rsidRPr="00251411" w:rsidRDefault="00F66F43" w:rsidP="00251411">
      <w:pPr>
        <w:spacing w:line="480" w:lineRule="auto"/>
        <w:ind w:left="706" w:hanging="706"/>
        <w:jc w:val="both"/>
        <w:rPr>
          <w:rFonts w:ascii="Times New Roman" w:hAnsi="Times New Roman" w:cs="Times New Roman"/>
          <w:sz w:val="24"/>
          <w:szCs w:val="24"/>
          <w:lang w:val="en-US"/>
        </w:rPr>
      </w:pPr>
      <w:proofErr w:type="spellStart"/>
      <w:r w:rsidRPr="00251411">
        <w:rPr>
          <w:rFonts w:ascii="Times New Roman" w:hAnsi="Times New Roman" w:cs="Times New Roman"/>
          <w:sz w:val="24"/>
          <w:szCs w:val="24"/>
        </w:rPr>
        <w:t>Bensasson</w:t>
      </w:r>
      <w:proofErr w:type="spellEnd"/>
      <w:r w:rsidRPr="00251411">
        <w:rPr>
          <w:rFonts w:ascii="Times New Roman" w:hAnsi="Times New Roman" w:cs="Times New Roman"/>
          <w:sz w:val="24"/>
          <w:szCs w:val="24"/>
        </w:rPr>
        <w:t xml:space="preserve">, D., Zhang, D. X., Hartl, D. L., &amp; Hewitt, G. M. (2001). </w:t>
      </w:r>
      <w:r w:rsidRPr="00251411">
        <w:rPr>
          <w:rFonts w:ascii="Times New Roman" w:hAnsi="Times New Roman" w:cs="Times New Roman"/>
          <w:sz w:val="24"/>
          <w:szCs w:val="24"/>
          <w:lang w:val="en-US"/>
        </w:rPr>
        <w:t xml:space="preserve">Mitochondrial pseudogenes: evolution's misplaced witnesses. </w:t>
      </w:r>
      <w:r w:rsidRPr="00251411">
        <w:rPr>
          <w:rFonts w:ascii="Times New Roman" w:hAnsi="Times New Roman" w:cs="Times New Roman"/>
          <w:i/>
          <w:iCs/>
          <w:sz w:val="24"/>
          <w:szCs w:val="24"/>
          <w:lang w:val="en-US"/>
        </w:rPr>
        <w:t>Trends in ecology &amp; evolution</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16</w:t>
      </w:r>
      <w:r w:rsidRPr="00251411">
        <w:rPr>
          <w:rFonts w:ascii="Times New Roman" w:hAnsi="Times New Roman" w:cs="Times New Roman"/>
          <w:sz w:val="24"/>
          <w:szCs w:val="24"/>
          <w:lang w:val="en-US"/>
        </w:rPr>
        <w:t>(6), 314-321.</w:t>
      </w:r>
    </w:p>
    <w:p w14:paraId="4C96AEEC" w14:textId="77777777" w:rsidR="003F67B3" w:rsidRPr="00251411" w:rsidRDefault="003F67B3"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Benson, D. A., Cavanaugh, M., Clark, K., </w:t>
      </w:r>
      <w:proofErr w:type="spellStart"/>
      <w:r w:rsidRPr="00251411">
        <w:rPr>
          <w:rFonts w:ascii="Times New Roman" w:hAnsi="Times New Roman" w:cs="Times New Roman"/>
          <w:sz w:val="24"/>
          <w:szCs w:val="24"/>
          <w:lang w:val="en-US"/>
        </w:rPr>
        <w:t>Karsch</w:t>
      </w:r>
      <w:proofErr w:type="spellEnd"/>
      <w:r w:rsidRPr="00251411">
        <w:rPr>
          <w:rFonts w:ascii="Times New Roman" w:hAnsi="Times New Roman" w:cs="Times New Roman"/>
          <w:sz w:val="24"/>
          <w:szCs w:val="24"/>
          <w:lang w:val="en-US"/>
        </w:rPr>
        <w:t xml:space="preserve">-Mizrachi, I., </w:t>
      </w:r>
      <w:proofErr w:type="spellStart"/>
      <w:r w:rsidRPr="00251411">
        <w:rPr>
          <w:rFonts w:ascii="Times New Roman" w:hAnsi="Times New Roman" w:cs="Times New Roman"/>
          <w:sz w:val="24"/>
          <w:szCs w:val="24"/>
          <w:lang w:val="en-US"/>
        </w:rPr>
        <w:t>Lipman</w:t>
      </w:r>
      <w:proofErr w:type="spellEnd"/>
      <w:r w:rsidRPr="00251411">
        <w:rPr>
          <w:rFonts w:ascii="Times New Roman" w:hAnsi="Times New Roman" w:cs="Times New Roman"/>
          <w:sz w:val="24"/>
          <w:szCs w:val="24"/>
          <w:lang w:val="en-US"/>
        </w:rPr>
        <w:t xml:space="preserve">, D. J., </w:t>
      </w:r>
      <w:proofErr w:type="spellStart"/>
      <w:r w:rsidRPr="00251411">
        <w:rPr>
          <w:rFonts w:ascii="Times New Roman" w:hAnsi="Times New Roman" w:cs="Times New Roman"/>
          <w:sz w:val="24"/>
          <w:szCs w:val="24"/>
          <w:lang w:val="en-US"/>
        </w:rPr>
        <w:t>Ostell</w:t>
      </w:r>
      <w:proofErr w:type="spellEnd"/>
      <w:r w:rsidRPr="00251411">
        <w:rPr>
          <w:rFonts w:ascii="Times New Roman" w:hAnsi="Times New Roman" w:cs="Times New Roman"/>
          <w:sz w:val="24"/>
          <w:szCs w:val="24"/>
          <w:lang w:val="en-US"/>
        </w:rPr>
        <w:t xml:space="preserve">, J., &amp; Sayers, E. W. (2013). </w:t>
      </w:r>
      <w:proofErr w:type="spellStart"/>
      <w:r w:rsidRPr="00251411">
        <w:rPr>
          <w:rFonts w:ascii="Times New Roman" w:hAnsi="Times New Roman" w:cs="Times New Roman"/>
          <w:sz w:val="24"/>
          <w:szCs w:val="24"/>
          <w:lang w:val="en-US"/>
        </w:rPr>
        <w:t>GenBank</w:t>
      </w:r>
      <w:proofErr w:type="spellEnd"/>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Nucleic acids research</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41</w:t>
      </w:r>
      <w:r w:rsidRPr="00251411">
        <w:rPr>
          <w:rFonts w:ascii="Times New Roman" w:hAnsi="Times New Roman" w:cs="Times New Roman"/>
          <w:sz w:val="24"/>
          <w:szCs w:val="24"/>
          <w:lang w:val="en-US"/>
        </w:rPr>
        <w:t>(D1), D36-D42.</w:t>
      </w:r>
    </w:p>
    <w:p w14:paraId="4BC17CC9" w14:textId="77777777" w:rsidR="00F43409" w:rsidRPr="00251411" w:rsidRDefault="00F43409" w:rsidP="00251411">
      <w:pPr>
        <w:spacing w:line="480" w:lineRule="auto"/>
        <w:ind w:left="706" w:hanging="706"/>
        <w:jc w:val="both"/>
        <w:rPr>
          <w:rFonts w:ascii="Times New Roman" w:hAnsi="Times New Roman" w:cs="Times New Roman"/>
          <w:sz w:val="28"/>
          <w:szCs w:val="24"/>
          <w:lang w:val="en-US"/>
        </w:rPr>
      </w:pPr>
      <w:r w:rsidRPr="00251411">
        <w:rPr>
          <w:rFonts w:ascii="Times New Roman" w:hAnsi="Times New Roman" w:cs="Times New Roman"/>
          <w:sz w:val="24"/>
          <w:lang w:val="en-US"/>
        </w:rPr>
        <w:t>Chen, S. F., Jones, G., &amp; Rossiter, S. J. (2008). Sex</w:t>
      </w:r>
      <w:r w:rsidRPr="00251411">
        <w:rPr>
          <w:rFonts w:ascii="Cambria Math" w:hAnsi="Cambria Math" w:cs="Cambria Math"/>
          <w:sz w:val="24"/>
          <w:lang w:val="en-US"/>
        </w:rPr>
        <w:t>‐</w:t>
      </w:r>
      <w:r w:rsidRPr="00251411">
        <w:rPr>
          <w:rFonts w:ascii="Times New Roman" w:hAnsi="Times New Roman" w:cs="Times New Roman"/>
          <w:sz w:val="24"/>
          <w:lang w:val="en-US"/>
        </w:rPr>
        <w:t xml:space="preserve">biased gene flow and colonization in the Formosan lesser horseshoe bat: inference from nuclear and mitochondrial markers. </w:t>
      </w:r>
      <w:r w:rsidRPr="00251411">
        <w:rPr>
          <w:rFonts w:ascii="Times New Roman" w:hAnsi="Times New Roman" w:cs="Times New Roman"/>
          <w:i/>
          <w:iCs/>
          <w:sz w:val="24"/>
          <w:lang w:val="en-US"/>
        </w:rPr>
        <w:t>Journal of Zoology</w:t>
      </w:r>
      <w:r w:rsidRPr="00251411">
        <w:rPr>
          <w:rFonts w:ascii="Times New Roman" w:hAnsi="Times New Roman" w:cs="Times New Roman"/>
          <w:sz w:val="24"/>
          <w:lang w:val="en-US"/>
        </w:rPr>
        <w:t xml:space="preserve">, </w:t>
      </w:r>
      <w:r w:rsidRPr="00251411">
        <w:rPr>
          <w:rFonts w:ascii="Times New Roman" w:hAnsi="Times New Roman" w:cs="Times New Roman"/>
          <w:i/>
          <w:iCs/>
          <w:sz w:val="24"/>
          <w:lang w:val="en-US"/>
        </w:rPr>
        <w:t>274</w:t>
      </w:r>
      <w:r w:rsidRPr="00251411">
        <w:rPr>
          <w:rFonts w:ascii="Times New Roman" w:hAnsi="Times New Roman" w:cs="Times New Roman"/>
          <w:sz w:val="24"/>
          <w:lang w:val="en-US"/>
        </w:rPr>
        <w:t>(3), 207-215.</w:t>
      </w:r>
    </w:p>
    <w:p w14:paraId="58DCF7D2" w14:textId="77777777" w:rsidR="00680980" w:rsidRPr="00251411" w:rsidRDefault="00680980"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Clarke, L. J., </w:t>
      </w:r>
      <w:proofErr w:type="spellStart"/>
      <w:r w:rsidRPr="00251411">
        <w:rPr>
          <w:rFonts w:ascii="Times New Roman" w:hAnsi="Times New Roman" w:cs="Times New Roman"/>
          <w:sz w:val="24"/>
          <w:szCs w:val="24"/>
          <w:lang w:val="en-US"/>
        </w:rPr>
        <w:t>Soubrier</w:t>
      </w:r>
      <w:proofErr w:type="spellEnd"/>
      <w:r w:rsidRPr="00251411">
        <w:rPr>
          <w:rFonts w:ascii="Times New Roman" w:hAnsi="Times New Roman" w:cs="Times New Roman"/>
          <w:sz w:val="24"/>
          <w:szCs w:val="24"/>
          <w:lang w:val="en-US"/>
        </w:rPr>
        <w:t xml:space="preserve">, J., </w:t>
      </w:r>
      <w:proofErr w:type="spellStart"/>
      <w:r w:rsidRPr="00251411">
        <w:rPr>
          <w:rFonts w:ascii="Times New Roman" w:hAnsi="Times New Roman" w:cs="Times New Roman"/>
          <w:sz w:val="24"/>
          <w:szCs w:val="24"/>
          <w:lang w:val="en-US"/>
        </w:rPr>
        <w:t>Weyrich</w:t>
      </w:r>
      <w:proofErr w:type="spellEnd"/>
      <w:r w:rsidRPr="00251411">
        <w:rPr>
          <w:rFonts w:ascii="Times New Roman" w:hAnsi="Times New Roman" w:cs="Times New Roman"/>
          <w:sz w:val="24"/>
          <w:szCs w:val="24"/>
          <w:lang w:val="en-US"/>
        </w:rPr>
        <w:t xml:space="preserve">, L. S., &amp; Cooper, A. (2014). Environmental </w:t>
      </w:r>
      <w:proofErr w:type="spellStart"/>
      <w:r w:rsidRPr="00251411">
        <w:rPr>
          <w:rFonts w:ascii="Times New Roman" w:hAnsi="Times New Roman" w:cs="Times New Roman"/>
          <w:sz w:val="24"/>
          <w:szCs w:val="24"/>
          <w:lang w:val="en-US"/>
        </w:rPr>
        <w:t>metabarcodes</w:t>
      </w:r>
      <w:proofErr w:type="spellEnd"/>
      <w:r w:rsidRPr="00251411">
        <w:rPr>
          <w:rFonts w:ascii="Times New Roman" w:hAnsi="Times New Roman" w:cs="Times New Roman"/>
          <w:sz w:val="24"/>
          <w:szCs w:val="24"/>
          <w:lang w:val="en-US"/>
        </w:rPr>
        <w:t xml:space="preserve"> for insects: in silico PCR reveals potential for taxonomic bias. </w:t>
      </w:r>
      <w:r w:rsidRPr="00251411">
        <w:rPr>
          <w:rFonts w:ascii="Times New Roman" w:hAnsi="Times New Roman" w:cs="Times New Roman"/>
          <w:i/>
          <w:iCs/>
          <w:sz w:val="24"/>
          <w:szCs w:val="24"/>
          <w:lang w:val="en-US"/>
        </w:rPr>
        <w:t>Molecular ecology resources</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14</w:t>
      </w:r>
      <w:r w:rsidRPr="00251411">
        <w:rPr>
          <w:rFonts w:ascii="Times New Roman" w:hAnsi="Times New Roman" w:cs="Times New Roman"/>
          <w:sz w:val="24"/>
          <w:szCs w:val="24"/>
          <w:lang w:val="en-US"/>
        </w:rPr>
        <w:t>(6), 1160-1170.</w:t>
      </w:r>
    </w:p>
    <w:p w14:paraId="301C1419" w14:textId="77777777" w:rsidR="003F67B3" w:rsidRPr="00251411" w:rsidRDefault="003F67B3" w:rsidP="00251411">
      <w:pPr>
        <w:spacing w:line="480" w:lineRule="auto"/>
        <w:ind w:left="706" w:hanging="706"/>
        <w:jc w:val="both"/>
        <w:rPr>
          <w:rFonts w:ascii="Times New Roman" w:hAnsi="Times New Roman" w:cs="Times New Roman"/>
          <w:sz w:val="24"/>
          <w:szCs w:val="24"/>
          <w:lang w:val="en-US"/>
        </w:rPr>
      </w:pPr>
      <w:proofErr w:type="spellStart"/>
      <w:r w:rsidRPr="00251411">
        <w:rPr>
          <w:rFonts w:ascii="Times New Roman" w:hAnsi="Times New Roman" w:cs="Times New Roman"/>
          <w:sz w:val="24"/>
          <w:szCs w:val="24"/>
          <w:lang w:val="en-US"/>
        </w:rPr>
        <w:t>Colgan</w:t>
      </w:r>
      <w:proofErr w:type="spellEnd"/>
      <w:r w:rsidRPr="00251411">
        <w:rPr>
          <w:rFonts w:ascii="Times New Roman" w:hAnsi="Times New Roman" w:cs="Times New Roman"/>
          <w:sz w:val="24"/>
          <w:szCs w:val="24"/>
          <w:lang w:val="en-US"/>
        </w:rPr>
        <w:t xml:space="preserve">, D. J., </w:t>
      </w:r>
      <w:proofErr w:type="spellStart"/>
      <w:r w:rsidRPr="00251411">
        <w:rPr>
          <w:rFonts w:ascii="Times New Roman" w:hAnsi="Times New Roman" w:cs="Times New Roman"/>
          <w:sz w:val="24"/>
          <w:szCs w:val="24"/>
          <w:lang w:val="en-US"/>
        </w:rPr>
        <w:t>McLauchlan</w:t>
      </w:r>
      <w:proofErr w:type="spellEnd"/>
      <w:r w:rsidRPr="00251411">
        <w:rPr>
          <w:rFonts w:ascii="Times New Roman" w:hAnsi="Times New Roman" w:cs="Times New Roman"/>
          <w:sz w:val="24"/>
          <w:szCs w:val="24"/>
          <w:lang w:val="en-US"/>
        </w:rPr>
        <w:t xml:space="preserve">, A., Wilson, G. D. F., Livingston, S. P., Edgecombe, G. D., </w:t>
      </w:r>
      <w:proofErr w:type="spellStart"/>
      <w:r w:rsidRPr="00251411">
        <w:rPr>
          <w:rFonts w:ascii="Times New Roman" w:hAnsi="Times New Roman" w:cs="Times New Roman"/>
          <w:sz w:val="24"/>
          <w:szCs w:val="24"/>
          <w:lang w:val="en-US"/>
        </w:rPr>
        <w:t>Macaranas</w:t>
      </w:r>
      <w:proofErr w:type="spellEnd"/>
      <w:r w:rsidRPr="00251411">
        <w:rPr>
          <w:rFonts w:ascii="Times New Roman" w:hAnsi="Times New Roman" w:cs="Times New Roman"/>
          <w:sz w:val="24"/>
          <w:szCs w:val="24"/>
          <w:lang w:val="en-US"/>
        </w:rPr>
        <w:t xml:space="preserve">, J., ... &amp; Gray, M. R. (1998). Histone H3 and U2 snRNA DNA sequences and arthropod molecular evolution. </w:t>
      </w:r>
      <w:r w:rsidRPr="00251411">
        <w:rPr>
          <w:rFonts w:ascii="Times New Roman" w:hAnsi="Times New Roman" w:cs="Times New Roman"/>
          <w:i/>
          <w:iCs/>
          <w:sz w:val="24"/>
          <w:szCs w:val="24"/>
          <w:lang w:val="en-US"/>
        </w:rPr>
        <w:t>Australian Journal of Zoology</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46</w:t>
      </w:r>
      <w:r w:rsidRPr="00251411">
        <w:rPr>
          <w:rFonts w:ascii="Times New Roman" w:hAnsi="Times New Roman" w:cs="Times New Roman"/>
          <w:sz w:val="24"/>
          <w:szCs w:val="24"/>
          <w:lang w:val="en-US"/>
        </w:rPr>
        <w:t>(5), 419-437.</w:t>
      </w:r>
    </w:p>
    <w:p w14:paraId="403BD0A2" w14:textId="77777777" w:rsidR="006E73B8" w:rsidRPr="00251411" w:rsidRDefault="006E73B8"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Crampton-Platt, A., Douglas, W. Y., Zhou, X., &amp; </w:t>
      </w:r>
      <w:proofErr w:type="spellStart"/>
      <w:r w:rsidRPr="00251411">
        <w:rPr>
          <w:rFonts w:ascii="Times New Roman" w:hAnsi="Times New Roman" w:cs="Times New Roman"/>
          <w:sz w:val="24"/>
          <w:szCs w:val="24"/>
          <w:lang w:val="en-US"/>
        </w:rPr>
        <w:t>Vogler</w:t>
      </w:r>
      <w:proofErr w:type="spellEnd"/>
      <w:r w:rsidRPr="00251411">
        <w:rPr>
          <w:rFonts w:ascii="Times New Roman" w:hAnsi="Times New Roman" w:cs="Times New Roman"/>
          <w:sz w:val="24"/>
          <w:szCs w:val="24"/>
          <w:lang w:val="en-US"/>
        </w:rPr>
        <w:t xml:space="preserve">, A. P. (2016). Mitochondrial metagenomics: letting the genes out of the bottle. </w:t>
      </w:r>
      <w:proofErr w:type="spellStart"/>
      <w:r w:rsidRPr="00251411">
        <w:rPr>
          <w:rFonts w:ascii="Times New Roman" w:hAnsi="Times New Roman" w:cs="Times New Roman"/>
          <w:i/>
          <w:iCs/>
          <w:sz w:val="24"/>
          <w:szCs w:val="24"/>
          <w:lang w:val="en-US"/>
        </w:rPr>
        <w:t>GigaScience</w:t>
      </w:r>
      <w:proofErr w:type="spellEnd"/>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5</w:t>
      </w:r>
      <w:r w:rsidRPr="00251411">
        <w:rPr>
          <w:rFonts w:ascii="Times New Roman" w:hAnsi="Times New Roman" w:cs="Times New Roman"/>
          <w:sz w:val="24"/>
          <w:szCs w:val="24"/>
          <w:lang w:val="en-US"/>
        </w:rPr>
        <w:t>(1), 1.</w:t>
      </w:r>
    </w:p>
    <w:p w14:paraId="51BFB09D" w14:textId="77777777" w:rsidR="00ED2490" w:rsidRPr="00251411" w:rsidRDefault="00ED2490" w:rsidP="00251411">
      <w:pPr>
        <w:spacing w:line="480" w:lineRule="auto"/>
        <w:ind w:left="706" w:hanging="706"/>
        <w:jc w:val="both"/>
        <w:rPr>
          <w:rFonts w:ascii="Times New Roman" w:hAnsi="Times New Roman" w:cs="Times New Roman"/>
          <w:sz w:val="24"/>
          <w:szCs w:val="24"/>
          <w:lang w:val="en-US"/>
        </w:rPr>
      </w:pPr>
      <w:proofErr w:type="spellStart"/>
      <w:r w:rsidRPr="00251411">
        <w:rPr>
          <w:rFonts w:ascii="Times New Roman" w:hAnsi="Times New Roman" w:cs="Times New Roman"/>
          <w:sz w:val="24"/>
          <w:szCs w:val="24"/>
          <w:lang w:val="en-US"/>
        </w:rPr>
        <w:t>Deagle</w:t>
      </w:r>
      <w:proofErr w:type="spellEnd"/>
      <w:r w:rsidRPr="00251411">
        <w:rPr>
          <w:rFonts w:ascii="Times New Roman" w:hAnsi="Times New Roman" w:cs="Times New Roman"/>
          <w:sz w:val="24"/>
          <w:szCs w:val="24"/>
          <w:lang w:val="en-US"/>
        </w:rPr>
        <w:t xml:space="preserve">, B. E., </w:t>
      </w:r>
      <w:proofErr w:type="spellStart"/>
      <w:r w:rsidRPr="00251411">
        <w:rPr>
          <w:rFonts w:ascii="Times New Roman" w:hAnsi="Times New Roman" w:cs="Times New Roman"/>
          <w:sz w:val="24"/>
          <w:szCs w:val="24"/>
          <w:lang w:val="en-US"/>
        </w:rPr>
        <w:t>Jarman</w:t>
      </w:r>
      <w:proofErr w:type="spellEnd"/>
      <w:r w:rsidRPr="00251411">
        <w:rPr>
          <w:rFonts w:ascii="Times New Roman" w:hAnsi="Times New Roman" w:cs="Times New Roman"/>
          <w:sz w:val="24"/>
          <w:szCs w:val="24"/>
          <w:lang w:val="en-US"/>
        </w:rPr>
        <w:t xml:space="preserve">, S. N., </w:t>
      </w:r>
      <w:proofErr w:type="spellStart"/>
      <w:r w:rsidRPr="00251411">
        <w:rPr>
          <w:rFonts w:ascii="Times New Roman" w:hAnsi="Times New Roman" w:cs="Times New Roman"/>
          <w:sz w:val="24"/>
          <w:szCs w:val="24"/>
          <w:lang w:val="en-US"/>
        </w:rPr>
        <w:t>Coissac</w:t>
      </w:r>
      <w:proofErr w:type="spellEnd"/>
      <w:r w:rsidRPr="00251411">
        <w:rPr>
          <w:rFonts w:ascii="Times New Roman" w:hAnsi="Times New Roman" w:cs="Times New Roman"/>
          <w:sz w:val="24"/>
          <w:szCs w:val="24"/>
          <w:lang w:val="en-US"/>
        </w:rPr>
        <w:t xml:space="preserve">, E., </w:t>
      </w:r>
      <w:proofErr w:type="spellStart"/>
      <w:r w:rsidRPr="00251411">
        <w:rPr>
          <w:rFonts w:ascii="Times New Roman" w:hAnsi="Times New Roman" w:cs="Times New Roman"/>
          <w:sz w:val="24"/>
          <w:szCs w:val="24"/>
          <w:lang w:val="en-US"/>
        </w:rPr>
        <w:t>Pompanon</w:t>
      </w:r>
      <w:proofErr w:type="spellEnd"/>
      <w:r w:rsidRPr="00251411">
        <w:rPr>
          <w:rFonts w:ascii="Times New Roman" w:hAnsi="Times New Roman" w:cs="Times New Roman"/>
          <w:sz w:val="24"/>
          <w:szCs w:val="24"/>
          <w:lang w:val="en-US"/>
        </w:rPr>
        <w:t xml:space="preserve">, F., &amp; </w:t>
      </w:r>
      <w:proofErr w:type="spellStart"/>
      <w:r w:rsidRPr="00251411">
        <w:rPr>
          <w:rFonts w:ascii="Times New Roman" w:hAnsi="Times New Roman" w:cs="Times New Roman"/>
          <w:sz w:val="24"/>
          <w:szCs w:val="24"/>
          <w:lang w:val="en-US"/>
        </w:rPr>
        <w:t>Taberlet</w:t>
      </w:r>
      <w:proofErr w:type="spellEnd"/>
      <w:r w:rsidRPr="00251411">
        <w:rPr>
          <w:rFonts w:ascii="Times New Roman" w:hAnsi="Times New Roman" w:cs="Times New Roman"/>
          <w:sz w:val="24"/>
          <w:szCs w:val="24"/>
          <w:lang w:val="en-US"/>
        </w:rPr>
        <w:t xml:space="preserve">, P. (2014). DNA metabarcoding and the cytochrome c oxidase subunit I marker: not a perfect match. </w:t>
      </w:r>
      <w:r w:rsidRPr="00251411">
        <w:rPr>
          <w:rFonts w:ascii="Times New Roman" w:hAnsi="Times New Roman" w:cs="Times New Roman"/>
          <w:i/>
          <w:iCs/>
          <w:sz w:val="24"/>
          <w:szCs w:val="24"/>
          <w:lang w:val="en-US"/>
        </w:rPr>
        <w:t>Biology letters</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10</w:t>
      </w:r>
      <w:r w:rsidRPr="00251411">
        <w:rPr>
          <w:rFonts w:ascii="Times New Roman" w:hAnsi="Times New Roman" w:cs="Times New Roman"/>
          <w:sz w:val="24"/>
          <w:szCs w:val="24"/>
          <w:lang w:val="en-US"/>
        </w:rPr>
        <w:t>(9), 20140562.</w:t>
      </w:r>
    </w:p>
    <w:p w14:paraId="41E7681A" w14:textId="77777777" w:rsidR="004301BB" w:rsidRPr="00251411" w:rsidRDefault="004301BB" w:rsidP="00251411">
      <w:pPr>
        <w:spacing w:after="0" w:line="480" w:lineRule="auto"/>
        <w:ind w:left="360" w:hanging="360"/>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lastRenderedPageBreak/>
        <w:t xml:space="preserve">Drummond, A. J., Newcomb, R. D., Buckley, T. R., </w:t>
      </w:r>
      <w:proofErr w:type="spellStart"/>
      <w:r w:rsidRPr="00251411">
        <w:rPr>
          <w:rFonts w:ascii="Times New Roman" w:hAnsi="Times New Roman" w:cs="Times New Roman"/>
          <w:sz w:val="24"/>
          <w:szCs w:val="24"/>
          <w:lang w:val="en-US"/>
        </w:rPr>
        <w:t>Xie</w:t>
      </w:r>
      <w:proofErr w:type="spellEnd"/>
      <w:r w:rsidRPr="00251411">
        <w:rPr>
          <w:rFonts w:ascii="Times New Roman" w:hAnsi="Times New Roman" w:cs="Times New Roman"/>
          <w:sz w:val="24"/>
          <w:szCs w:val="24"/>
          <w:lang w:val="en-US"/>
        </w:rPr>
        <w:t xml:space="preserve">, D., </w:t>
      </w:r>
      <w:proofErr w:type="spellStart"/>
      <w:r w:rsidRPr="00251411">
        <w:rPr>
          <w:rFonts w:ascii="Times New Roman" w:hAnsi="Times New Roman" w:cs="Times New Roman"/>
          <w:sz w:val="24"/>
          <w:szCs w:val="24"/>
          <w:lang w:val="en-US"/>
        </w:rPr>
        <w:t>Dopheide</w:t>
      </w:r>
      <w:proofErr w:type="spellEnd"/>
      <w:r w:rsidRPr="00251411">
        <w:rPr>
          <w:rFonts w:ascii="Times New Roman" w:hAnsi="Times New Roman" w:cs="Times New Roman"/>
          <w:sz w:val="24"/>
          <w:szCs w:val="24"/>
          <w:lang w:val="en-US"/>
        </w:rPr>
        <w:t xml:space="preserve">, A., Potter, B. C., ... &amp; Park, D. (2015). Evaluating a multigene environmental DNA approach for biodiversity assessment. </w:t>
      </w:r>
      <w:proofErr w:type="spellStart"/>
      <w:r w:rsidRPr="00251411">
        <w:rPr>
          <w:rFonts w:ascii="Times New Roman" w:hAnsi="Times New Roman" w:cs="Times New Roman"/>
          <w:i/>
          <w:iCs/>
          <w:sz w:val="24"/>
          <w:szCs w:val="24"/>
          <w:lang w:val="en-US"/>
        </w:rPr>
        <w:t>GigaScience</w:t>
      </w:r>
      <w:proofErr w:type="spellEnd"/>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4</w:t>
      </w:r>
      <w:r w:rsidRPr="00251411">
        <w:rPr>
          <w:rFonts w:ascii="Times New Roman" w:hAnsi="Times New Roman" w:cs="Times New Roman"/>
          <w:sz w:val="24"/>
          <w:szCs w:val="24"/>
          <w:lang w:val="en-US"/>
        </w:rPr>
        <w:t>(1), 1.</w:t>
      </w:r>
    </w:p>
    <w:p w14:paraId="65918AF4" w14:textId="77777777" w:rsidR="00ED2490" w:rsidRPr="00251411" w:rsidRDefault="00ED2490" w:rsidP="00251411">
      <w:pPr>
        <w:spacing w:after="0" w:line="480" w:lineRule="auto"/>
        <w:ind w:left="360" w:hanging="360"/>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Edgar, R. C., Haas, B. J., Clemente, J. C., Quince, C., &amp; Knight, R. (2011) UCHIME improves sensitivity and speed of chimera detection. </w:t>
      </w:r>
      <w:r w:rsidRPr="00251411">
        <w:rPr>
          <w:rFonts w:ascii="Times New Roman" w:hAnsi="Times New Roman" w:cs="Times New Roman"/>
          <w:i/>
          <w:iCs/>
          <w:sz w:val="24"/>
          <w:szCs w:val="24"/>
          <w:lang w:val="en-US"/>
        </w:rPr>
        <w:t>Bioinformatics</w:t>
      </w:r>
      <w:r w:rsidRPr="00251411">
        <w:rPr>
          <w:rFonts w:ascii="Times New Roman" w:hAnsi="Times New Roman" w:cs="Times New Roman"/>
          <w:sz w:val="24"/>
          <w:szCs w:val="24"/>
          <w:lang w:val="en-US"/>
        </w:rPr>
        <w:t xml:space="preserve">, </w:t>
      </w:r>
      <w:r w:rsidRPr="00251411">
        <w:rPr>
          <w:rFonts w:ascii="Times New Roman" w:hAnsi="Times New Roman" w:cs="Times New Roman"/>
          <w:b/>
          <w:iCs/>
          <w:sz w:val="24"/>
          <w:szCs w:val="24"/>
          <w:lang w:val="en-US"/>
        </w:rPr>
        <w:t>27</w:t>
      </w:r>
      <w:r w:rsidRPr="00251411">
        <w:rPr>
          <w:rFonts w:ascii="Times New Roman" w:hAnsi="Times New Roman" w:cs="Times New Roman"/>
          <w:sz w:val="24"/>
          <w:szCs w:val="24"/>
          <w:lang w:val="en-US"/>
        </w:rPr>
        <w:t>, 2194-2200.</w:t>
      </w:r>
    </w:p>
    <w:p w14:paraId="1B8CA6DB" w14:textId="77777777" w:rsidR="00ED2490" w:rsidRPr="00251411" w:rsidRDefault="00ED2490" w:rsidP="00251411">
      <w:pPr>
        <w:spacing w:line="480" w:lineRule="auto"/>
        <w:ind w:left="706" w:hanging="706"/>
        <w:jc w:val="both"/>
        <w:rPr>
          <w:rFonts w:ascii="Times New Roman" w:hAnsi="Times New Roman" w:cs="Times New Roman"/>
          <w:sz w:val="24"/>
          <w:szCs w:val="24"/>
        </w:rPr>
      </w:pPr>
      <w:proofErr w:type="spellStart"/>
      <w:r w:rsidRPr="00251411">
        <w:rPr>
          <w:rFonts w:ascii="Times New Roman" w:hAnsi="Times New Roman" w:cs="Times New Roman"/>
          <w:sz w:val="24"/>
          <w:szCs w:val="24"/>
          <w:lang w:val="en-US"/>
        </w:rPr>
        <w:t>Elbrecht</w:t>
      </w:r>
      <w:proofErr w:type="spellEnd"/>
      <w:r w:rsidRPr="00251411">
        <w:rPr>
          <w:rFonts w:ascii="Times New Roman" w:hAnsi="Times New Roman" w:cs="Times New Roman"/>
          <w:sz w:val="24"/>
          <w:szCs w:val="24"/>
          <w:lang w:val="en-US"/>
        </w:rPr>
        <w:t xml:space="preserve">, V., &amp; </w:t>
      </w:r>
      <w:proofErr w:type="spellStart"/>
      <w:r w:rsidRPr="00251411">
        <w:rPr>
          <w:rFonts w:ascii="Times New Roman" w:hAnsi="Times New Roman" w:cs="Times New Roman"/>
          <w:sz w:val="24"/>
          <w:szCs w:val="24"/>
          <w:lang w:val="en-US"/>
        </w:rPr>
        <w:t>Leese</w:t>
      </w:r>
      <w:proofErr w:type="spellEnd"/>
      <w:r w:rsidRPr="00251411">
        <w:rPr>
          <w:rFonts w:ascii="Times New Roman" w:hAnsi="Times New Roman" w:cs="Times New Roman"/>
          <w:sz w:val="24"/>
          <w:szCs w:val="24"/>
          <w:lang w:val="en-US"/>
        </w:rPr>
        <w:t xml:space="preserve">, F. (2015). Can DNA-based ecosystem assessments quantify species abundance? Testing primer bias and biomass—sequence relationships with an innovative metabarcoding protocol. </w:t>
      </w:r>
      <w:proofErr w:type="spellStart"/>
      <w:r w:rsidRPr="00251411">
        <w:rPr>
          <w:rFonts w:ascii="Times New Roman" w:hAnsi="Times New Roman" w:cs="Times New Roman"/>
          <w:i/>
          <w:iCs/>
          <w:sz w:val="24"/>
          <w:szCs w:val="24"/>
        </w:rPr>
        <w:t>PloS</w:t>
      </w:r>
      <w:proofErr w:type="spellEnd"/>
      <w:r w:rsidRPr="00251411">
        <w:rPr>
          <w:rFonts w:ascii="Times New Roman" w:hAnsi="Times New Roman" w:cs="Times New Roman"/>
          <w:i/>
          <w:iCs/>
          <w:sz w:val="24"/>
          <w:szCs w:val="24"/>
        </w:rPr>
        <w:t xml:space="preserve"> </w:t>
      </w:r>
      <w:proofErr w:type="spellStart"/>
      <w:r w:rsidRPr="00251411">
        <w:rPr>
          <w:rFonts w:ascii="Times New Roman" w:hAnsi="Times New Roman" w:cs="Times New Roman"/>
          <w:i/>
          <w:iCs/>
          <w:sz w:val="24"/>
          <w:szCs w:val="24"/>
        </w:rPr>
        <w:t>one</w:t>
      </w:r>
      <w:proofErr w:type="spellEnd"/>
      <w:r w:rsidRPr="00251411">
        <w:rPr>
          <w:rFonts w:ascii="Times New Roman" w:hAnsi="Times New Roman" w:cs="Times New Roman"/>
          <w:sz w:val="24"/>
          <w:szCs w:val="24"/>
        </w:rPr>
        <w:t xml:space="preserve">, </w:t>
      </w:r>
      <w:r w:rsidRPr="00251411">
        <w:rPr>
          <w:rFonts w:ascii="Times New Roman" w:hAnsi="Times New Roman" w:cs="Times New Roman"/>
          <w:i/>
          <w:iCs/>
          <w:sz w:val="24"/>
          <w:szCs w:val="24"/>
        </w:rPr>
        <w:t>10</w:t>
      </w:r>
      <w:r w:rsidRPr="00251411">
        <w:rPr>
          <w:rFonts w:ascii="Times New Roman" w:hAnsi="Times New Roman" w:cs="Times New Roman"/>
          <w:sz w:val="24"/>
          <w:szCs w:val="24"/>
        </w:rPr>
        <w:t>(7), e0130324.</w:t>
      </w:r>
    </w:p>
    <w:p w14:paraId="7DE9EED4" w14:textId="77777777" w:rsidR="00ED2490" w:rsidRPr="00251411" w:rsidRDefault="00ED2490" w:rsidP="00251411">
      <w:pPr>
        <w:spacing w:line="480" w:lineRule="auto"/>
        <w:ind w:left="706" w:hanging="706"/>
        <w:jc w:val="both"/>
        <w:rPr>
          <w:rFonts w:ascii="Times New Roman" w:hAnsi="Times New Roman" w:cs="Times New Roman"/>
          <w:sz w:val="24"/>
          <w:szCs w:val="24"/>
          <w:lang w:val="en-US"/>
        </w:rPr>
      </w:pPr>
      <w:proofErr w:type="spellStart"/>
      <w:r w:rsidRPr="00251411">
        <w:rPr>
          <w:rFonts w:ascii="Times New Roman" w:hAnsi="Times New Roman" w:cs="Times New Roman"/>
          <w:sz w:val="24"/>
          <w:szCs w:val="24"/>
        </w:rPr>
        <w:t>Elbrecht</w:t>
      </w:r>
      <w:proofErr w:type="spellEnd"/>
      <w:r w:rsidRPr="00251411">
        <w:rPr>
          <w:rFonts w:ascii="Times New Roman" w:hAnsi="Times New Roman" w:cs="Times New Roman"/>
          <w:sz w:val="24"/>
          <w:szCs w:val="24"/>
        </w:rPr>
        <w:t xml:space="preserve">, V., </w:t>
      </w:r>
      <w:proofErr w:type="spellStart"/>
      <w:r w:rsidRPr="00251411">
        <w:rPr>
          <w:rFonts w:ascii="Times New Roman" w:hAnsi="Times New Roman" w:cs="Times New Roman"/>
          <w:sz w:val="24"/>
          <w:szCs w:val="24"/>
        </w:rPr>
        <w:t>Taberlet</w:t>
      </w:r>
      <w:proofErr w:type="spellEnd"/>
      <w:r w:rsidRPr="00251411">
        <w:rPr>
          <w:rFonts w:ascii="Times New Roman" w:hAnsi="Times New Roman" w:cs="Times New Roman"/>
          <w:sz w:val="24"/>
          <w:szCs w:val="24"/>
        </w:rPr>
        <w:t xml:space="preserve">, P., </w:t>
      </w:r>
      <w:proofErr w:type="spellStart"/>
      <w:r w:rsidRPr="00251411">
        <w:rPr>
          <w:rFonts w:ascii="Times New Roman" w:hAnsi="Times New Roman" w:cs="Times New Roman"/>
          <w:sz w:val="24"/>
          <w:szCs w:val="24"/>
        </w:rPr>
        <w:t>Dejean</w:t>
      </w:r>
      <w:proofErr w:type="spellEnd"/>
      <w:r w:rsidRPr="00251411">
        <w:rPr>
          <w:rFonts w:ascii="Times New Roman" w:hAnsi="Times New Roman" w:cs="Times New Roman"/>
          <w:sz w:val="24"/>
          <w:szCs w:val="24"/>
        </w:rPr>
        <w:t xml:space="preserve">, T., </w:t>
      </w:r>
      <w:proofErr w:type="spellStart"/>
      <w:r w:rsidRPr="00251411">
        <w:rPr>
          <w:rFonts w:ascii="Times New Roman" w:hAnsi="Times New Roman" w:cs="Times New Roman"/>
          <w:sz w:val="24"/>
          <w:szCs w:val="24"/>
        </w:rPr>
        <w:t>Valentini</w:t>
      </w:r>
      <w:proofErr w:type="spellEnd"/>
      <w:r w:rsidRPr="00251411">
        <w:rPr>
          <w:rFonts w:ascii="Times New Roman" w:hAnsi="Times New Roman" w:cs="Times New Roman"/>
          <w:sz w:val="24"/>
          <w:szCs w:val="24"/>
        </w:rPr>
        <w:t xml:space="preserve">, A., </w:t>
      </w:r>
      <w:proofErr w:type="spellStart"/>
      <w:r w:rsidRPr="00251411">
        <w:rPr>
          <w:rFonts w:ascii="Times New Roman" w:hAnsi="Times New Roman" w:cs="Times New Roman"/>
          <w:sz w:val="24"/>
          <w:szCs w:val="24"/>
        </w:rPr>
        <w:t>Usseglio-Polatera</w:t>
      </w:r>
      <w:proofErr w:type="spellEnd"/>
      <w:r w:rsidRPr="00251411">
        <w:rPr>
          <w:rFonts w:ascii="Times New Roman" w:hAnsi="Times New Roman" w:cs="Times New Roman"/>
          <w:sz w:val="24"/>
          <w:szCs w:val="24"/>
        </w:rPr>
        <w:t xml:space="preserve">, P., Beisel, J. N., ... </w:t>
      </w:r>
      <w:r w:rsidRPr="00251411">
        <w:rPr>
          <w:rFonts w:ascii="Times New Roman" w:hAnsi="Times New Roman" w:cs="Times New Roman"/>
          <w:sz w:val="24"/>
          <w:szCs w:val="24"/>
          <w:lang w:val="en-US"/>
        </w:rPr>
        <w:t xml:space="preserve">&amp; </w:t>
      </w:r>
      <w:proofErr w:type="spellStart"/>
      <w:r w:rsidRPr="00251411">
        <w:rPr>
          <w:rFonts w:ascii="Times New Roman" w:hAnsi="Times New Roman" w:cs="Times New Roman"/>
          <w:sz w:val="24"/>
          <w:szCs w:val="24"/>
          <w:lang w:val="en-US"/>
        </w:rPr>
        <w:t>Leese</w:t>
      </w:r>
      <w:proofErr w:type="spellEnd"/>
      <w:r w:rsidRPr="00251411">
        <w:rPr>
          <w:rFonts w:ascii="Times New Roman" w:hAnsi="Times New Roman" w:cs="Times New Roman"/>
          <w:sz w:val="24"/>
          <w:szCs w:val="24"/>
          <w:lang w:val="en-US"/>
        </w:rPr>
        <w:t xml:space="preserve">, F. (2016). Testing the potential of a ribosomal 16S marker for DNA metabarcoding of insects. </w:t>
      </w:r>
      <w:proofErr w:type="spellStart"/>
      <w:r w:rsidRPr="00251411">
        <w:rPr>
          <w:rFonts w:ascii="Times New Roman" w:hAnsi="Times New Roman" w:cs="Times New Roman"/>
          <w:i/>
          <w:iCs/>
          <w:sz w:val="24"/>
          <w:szCs w:val="24"/>
          <w:lang w:val="en-US"/>
        </w:rPr>
        <w:t>PeerJ</w:t>
      </w:r>
      <w:proofErr w:type="spellEnd"/>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4</w:t>
      </w:r>
      <w:r w:rsidRPr="00251411">
        <w:rPr>
          <w:rFonts w:ascii="Times New Roman" w:hAnsi="Times New Roman" w:cs="Times New Roman"/>
          <w:sz w:val="24"/>
          <w:szCs w:val="24"/>
          <w:lang w:val="en-US"/>
        </w:rPr>
        <w:t>, e1966.</w:t>
      </w:r>
    </w:p>
    <w:p w14:paraId="127C41F7" w14:textId="77777777" w:rsidR="00ED2490" w:rsidRPr="00251411" w:rsidRDefault="00ED2490"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Fonseca, V. G., </w:t>
      </w:r>
      <w:proofErr w:type="spellStart"/>
      <w:r w:rsidRPr="00251411">
        <w:rPr>
          <w:rFonts w:ascii="Times New Roman" w:hAnsi="Times New Roman" w:cs="Times New Roman"/>
          <w:sz w:val="24"/>
          <w:szCs w:val="24"/>
          <w:lang w:val="en-US"/>
        </w:rPr>
        <w:t>Carvalho</w:t>
      </w:r>
      <w:proofErr w:type="spellEnd"/>
      <w:r w:rsidRPr="00251411">
        <w:rPr>
          <w:rFonts w:ascii="Times New Roman" w:hAnsi="Times New Roman" w:cs="Times New Roman"/>
          <w:sz w:val="24"/>
          <w:szCs w:val="24"/>
          <w:lang w:val="en-US"/>
        </w:rPr>
        <w:t xml:space="preserve">, G. R., Sung, W., Johnson, H. F., Power, D. M., Neill, S. P., ... &amp; </w:t>
      </w:r>
      <w:proofErr w:type="spellStart"/>
      <w:r w:rsidRPr="00251411">
        <w:rPr>
          <w:rFonts w:ascii="Times New Roman" w:hAnsi="Times New Roman" w:cs="Times New Roman"/>
          <w:sz w:val="24"/>
          <w:szCs w:val="24"/>
          <w:lang w:val="en-US"/>
        </w:rPr>
        <w:t>Creer</w:t>
      </w:r>
      <w:proofErr w:type="spellEnd"/>
      <w:r w:rsidRPr="00251411">
        <w:rPr>
          <w:rFonts w:ascii="Times New Roman" w:hAnsi="Times New Roman" w:cs="Times New Roman"/>
          <w:sz w:val="24"/>
          <w:szCs w:val="24"/>
          <w:lang w:val="en-US"/>
        </w:rPr>
        <w:t xml:space="preserve">, S. (2010). Second-generation environmental sequencing unmasks marine metazoan biodiversity. </w:t>
      </w:r>
      <w:r w:rsidRPr="00251411">
        <w:rPr>
          <w:rFonts w:ascii="Times New Roman" w:hAnsi="Times New Roman" w:cs="Times New Roman"/>
          <w:i/>
          <w:iCs/>
          <w:sz w:val="24"/>
          <w:szCs w:val="24"/>
          <w:lang w:val="en-US"/>
        </w:rPr>
        <w:t>Nature communications</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1</w:t>
      </w:r>
      <w:r w:rsidRPr="00251411">
        <w:rPr>
          <w:rFonts w:ascii="Times New Roman" w:hAnsi="Times New Roman" w:cs="Times New Roman"/>
          <w:sz w:val="24"/>
          <w:szCs w:val="24"/>
          <w:lang w:val="en-US"/>
        </w:rPr>
        <w:t>, 98.</w:t>
      </w:r>
    </w:p>
    <w:p w14:paraId="43FB5974" w14:textId="77777777" w:rsidR="00ED2490" w:rsidRPr="00251411" w:rsidRDefault="00ED2490" w:rsidP="00251411">
      <w:pPr>
        <w:spacing w:line="480" w:lineRule="auto"/>
        <w:ind w:left="706" w:hanging="706"/>
        <w:jc w:val="both"/>
        <w:rPr>
          <w:rFonts w:ascii="Times New Roman" w:hAnsi="Times New Roman" w:cs="Times New Roman"/>
          <w:sz w:val="24"/>
          <w:szCs w:val="24"/>
          <w:lang w:val="en-US"/>
        </w:rPr>
      </w:pPr>
      <w:proofErr w:type="spellStart"/>
      <w:r w:rsidRPr="00251411">
        <w:rPr>
          <w:rFonts w:ascii="Times New Roman" w:hAnsi="Times New Roman" w:cs="Times New Roman"/>
          <w:sz w:val="24"/>
          <w:szCs w:val="24"/>
          <w:lang w:val="en-US"/>
        </w:rPr>
        <w:t>Folmer</w:t>
      </w:r>
      <w:proofErr w:type="spellEnd"/>
      <w:r w:rsidRPr="00251411">
        <w:rPr>
          <w:rFonts w:ascii="Times New Roman" w:hAnsi="Times New Roman" w:cs="Times New Roman"/>
          <w:sz w:val="24"/>
          <w:szCs w:val="24"/>
          <w:lang w:val="en-US"/>
        </w:rPr>
        <w:t xml:space="preserve">, O. (1994). DNA primers for </w:t>
      </w:r>
      <w:proofErr w:type="spellStart"/>
      <w:r w:rsidRPr="00251411">
        <w:rPr>
          <w:rFonts w:ascii="Times New Roman" w:hAnsi="Times New Roman" w:cs="Times New Roman"/>
          <w:sz w:val="24"/>
          <w:szCs w:val="24"/>
          <w:lang w:val="en-US"/>
        </w:rPr>
        <w:t>ampliation</w:t>
      </w:r>
      <w:proofErr w:type="spellEnd"/>
      <w:r w:rsidRPr="00251411">
        <w:rPr>
          <w:rFonts w:ascii="Times New Roman" w:hAnsi="Times New Roman" w:cs="Times New Roman"/>
          <w:sz w:val="24"/>
          <w:szCs w:val="24"/>
          <w:lang w:val="en-US"/>
        </w:rPr>
        <w:t xml:space="preserve"> of mitochondrial cytochrome oxidase subunit I from diverse metazoan invertebrates. </w:t>
      </w:r>
      <w:r w:rsidRPr="00251411">
        <w:rPr>
          <w:rFonts w:ascii="Times New Roman" w:hAnsi="Times New Roman" w:cs="Times New Roman"/>
          <w:i/>
          <w:iCs/>
          <w:sz w:val="24"/>
          <w:szCs w:val="24"/>
          <w:lang w:val="en-US"/>
        </w:rPr>
        <w:t xml:space="preserve">Mol. Mar. Biol. </w:t>
      </w:r>
      <w:proofErr w:type="spellStart"/>
      <w:r w:rsidRPr="00251411">
        <w:rPr>
          <w:rFonts w:ascii="Times New Roman" w:hAnsi="Times New Roman" w:cs="Times New Roman"/>
          <w:i/>
          <w:iCs/>
          <w:sz w:val="24"/>
          <w:szCs w:val="24"/>
          <w:lang w:val="en-US"/>
        </w:rPr>
        <w:t>Biotechnol</w:t>
      </w:r>
      <w:proofErr w:type="spellEnd"/>
      <w:r w:rsidRPr="00251411">
        <w:rPr>
          <w:rFonts w:ascii="Times New Roman" w:hAnsi="Times New Roman" w:cs="Times New Roman"/>
          <w:i/>
          <w:iCs/>
          <w:sz w:val="24"/>
          <w:szCs w:val="24"/>
          <w:lang w:val="en-US"/>
        </w:rPr>
        <w:t>.</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3</w:t>
      </w:r>
      <w:r w:rsidRPr="00251411">
        <w:rPr>
          <w:rFonts w:ascii="Times New Roman" w:hAnsi="Times New Roman" w:cs="Times New Roman"/>
          <w:sz w:val="24"/>
          <w:szCs w:val="24"/>
          <w:lang w:val="en-US"/>
        </w:rPr>
        <w:t>, 294-299.</w:t>
      </w:r>
    </w:p>
    <w:p w14:paraId="1CA37DE0" w14:textId="77777777" w:rsidR="00ED2490" w:rsidRPr="00251411" w:rsidRDefault="00ED2490"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Gibson, J., </w:t>
      </w:r>
      <w:proofErr w:type="spellStart"/>
      <w:r w:rsidRPr="00251411">
        <w:rPr>
          <w:rFonts w:ascii="Times New Roman" w:hAnsi="Times New Roman" w:cs="Times New Roman"/>
          <w:sz w:val="24"/>
          <w:szCs w:val="24"/>
          <w:lang w:val="en-US"/>
        </w:rPr>
        <w:t>Shokralla</w:t>
      </w:r>
      <w:proofErr w:type="spellEnd"/>
      <w:r w:rsidRPr="00251411">
        <w:rPr>
          <w:rFonts w:ascii="Times New Roman" w:hAnsi="Times New Roman" w:cs="Times New Roman"/>
          <w:sz w:val="24"/>
          <w:szCs w:val="24"/>
          <w:lang w:val="en-US"/>
        </w:rPr>
        <w:t xml:space="preserve">, S., Porter, T. M., King, I., van </w:t>
      </w:r>
      <w:proofErr w:type="spellStart"/>
      <w:r w:rsidRPr="00251411">
        <w:rPr>
          <w:rFonts w:ascii="Times New Roman" w:hAnsi="Times New Roman" w:cs="Times New Roman"/>
          <w:sz w:val="24"/>
          <w:szCs w:val="24"/>
          <w:lang w:val="en-US"/>
        </w:rPr>
        <w:t>Konynenburg</w:t>
      </w:r>
      <w:proofErr w:type="spellEnd"/>
      <w:r w:rsidRPr="00251411">
        <w:rPr>
          <w:rFonts w:ascii="Times New Roman" w:hAnsi="Times New Roman" w:cs="Times New Roman"/>
          <w:sz w:val="24"/>
          <w:szCs w:val="24"/>
          <w:lang w:val="en-US"/>
        </w:rPr>
        <w:t xml:space="preserve">, S., Janzen, D. H., ... &amp; </w:t>
      </w:r>
      <w:proofErr w:type="spellStart"/>
      <w:r w:rsidRPr="00251411">
        <w:rPr>
          <w:rFonts w:ascii="Times New Roman" w:hAnsi="Times New Roman" w:cs="Times New Roman"/>
          <w:sz w:val="24"/>
          <w:szCs w:val="24"/>
          <w:lang w:val="en-US"/>
        </w:rPr>
        <w:t>Hajibabaei</w:t>
      </w:r>
      <w:proofErr w:type="spellEnd"/>
      <w:r w:rsidRPr="00251411">
        <w:rPr>
          <w:rFonts w:ascii="Times New Roman" w:hAnsi="Times New Roman" w:cs="Times New Roman"/>
          <w:sz w:val="24"/>
          <w:szCs w:val="24"/>
          <w:lang w:val="en-US"/>
        </w:rPr>
        <w:t xml:space="preserve">, M. (2014). Simultaneous assessment of the </w:t>
      </w:r>
      <w:proofErr w:type="spellStart"/>
      <w:r w:rsidRPr="00251411">
        <w:rPr>
          <w:rFonts w:ascii="Times New Roman" w:hAnsi="Times New Roman" w:cs="Times New Roman"/>
          <w:sz w:val="24"/>
          <w:szCs w:val="24"/>
          <w:lang w:val="en-US"/>
        </w:rPr>
        <w:t>macrobiome</w:t>
      </w:r>
      <w:proofErr w:type="spellEnd"/>
      <w:r w:rsidRPr="00251411">
        <w:rPr>
          <w:rFonts w:ascii="Times New Roman" w:hAnsi="Times New Roman" w:cs="Times New Roman"/>
          <w:sz w:val="24"/>
          <w:szCs w:val="24"/>
          <w:lang w:val="en-US"/>
        </w:rPr>
        <w:t xml:space="preserve"> and microbiome in a bulk sample of tropical arthropods through DNA </w:t>
      </w:r>
      <w:proofErr w:type="spellStart"/>
      <w:r w:rsidRPr="00251411">
        <w:rPr>
          <w:rFonts w:ascii="Times New Roman" w:hAnsi="Times New Roman" w:cs="Times New Roman"/>
          <w:sz w:val="24"/>
          <w:szCs w:val="24"/>
          <w:lang w:val="en-US"/>
        </w:rPr>
        <w:t>metasystematics</w:t>
      </w:r>
      <w:proofErr w:type="spellEnd"/>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Proceedings of the National Academy of Sciences</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111</w:t>
      </w:r>
      <w:r w:rsidRPr="00251411">
        <w:rPr>
          <w:rFonts w:ascii="Times New Roman" w:hAnsi="Times New Roman" w:cs="Times New Roman"/>
          <w:sz w:val="24"/>
          <w:szCs w:val="24"/>
          <w:lang w:val="en-US"/>
        </w:rPr>
        <w:t>(22), 8007-8012.</w:t>
      </w:r>
    </w:p>
    <w:p w14:paraId="4A1A3406" w14:textId="0F6679E6" w:rsidR="004D0550" w:rsidRPr="00251411" w:rsidRDefault="004D0550" w:rsidP="00251411">
      <w:pPr>
        <w:spacing w:line="480" w:lineRule="auto"/>
        <w:ind w:left="706" w:hanging="706"/>
        <w:jc w:val="both"/>
        <w:rPr>
          <w:rFonts w:ascii="Times New Roman" w:eastAsia="Times New Roman" w:hAnsi="Times New Roman" w:cs="Times New Roman"/>
          <w:sz w:val="24"/>
          <w:szCs w:val="24"/>
          <w:lang w:val="en-US"/>
        </w:rPr>
      </w:pPr>
      <w:proofErr w:type="spellStart"/>
      <w:r w:rsidRPr="000C2509">
        <w:rPr>
          <w:rFonts w:ascii="Times New Roman" w:eastAsia="Times New Roman" w:hAnsi="Times New Roman" w:cs="Times New Roman"/>
          <w:sz w:val="24"/>
          <w:szCs w:val="24"/>
          <w:lang w:val="en-US"/>
        </w:rPr>
        <w:t>Giner</w:t>
      </w:r>
      <w:proofErr w:type="spellEnd"/>
      <w:r w:rsidRPr="000C2509">
        <w:rPr>
          <w:rFonts w:ascii="Times New Roman" w:eastAsia="Times New Roman" w:hAnsi="Times New Roman" w:cs="Times New Roman"/>
          <w:sz w:val="24"/>
          <w:szCs w:val="24"/>
          <w:lang w:val="en-US"/>
        </w:rPr>
        <w:t xml:space="preserve">, Caterina R., Irene </w:t>
      </w:r>
      <w:proofErr w:type="spellStart"/>
      <w:r w:rsidRPr="000C2509">
        <w:rPr>
          <w:rFonts w:ascii="Times New Roman" w:eastAsia="Times New Roman" w:hAnsi="Times New Roman" w:cs="Times New Roman"/>
          <w:sz w:val="24"/>
          <w:szCs w:val="24"/>
          <w:lang w:val="en-US"/>
        </w:rPr>
        <w:t>Forn</w:t>
      </w:r>
      <w:proofErr w:type="spellEnd"/>
      <w:r w:rsidRPr="000C2509">
        <w:rPr>
          <w:rFonts w:ascii="Times New Roman" w:eastAsia="Times New Roman" w:hAnsi="Times New Roman" w:cs="Times New Roman"/>
          <w:sz w:val="24"/>
          <w:szCs w:val="24"/>
          <w:lang w:val="en-US"/>
        </w:rPr>
        <w:t xml:space="preserve">, Sarah </w:t>
      </w:r>
      <w:proofErr w:type="spellStart"/>
      <w:r w:rsidRPr="000C2509">
        <w:rPr>
          <w:rFonts w:ascii="Times New Roman" w:eastAsia="Times New Roman" w:hAnsi="Times New Roman" w:cs="Times New Roman"/>
          <w:sz w:val="24"/>
          <w:szCs w:val="24"/>
          <w:lang w:val="en-US"/>
        </w:rPr>
        <w:t>Romac</w:t>
      </w:r>
      <w:proofErr w:type="spellEnd"/>
      <w:r w:rsidRPr="000C2509">
        <w:rPr>
          <w:rFonts w:ascii="Times New Roman" w:eastAsia="Times New Roman" w:hAnsi="Times New Roman" w:cs="Times New Roman"/>
          <w:sz w:val="24"/>
          <w:szCs w:val="24"/>
          <w:lang w:val="en-US"/>
        </w:rPr>
        <w:t xml:space="preserve">, Ramiro </w:t>
      </w:r>
      <w:proofErr w:type="spellStart"/>
      <w:r w:rsidRPr="000C2509">
        <w:rPr>
          <w:rFonts w:ascii="Times New Roman" w:eastAsia="Times New Roman" w:hAnsi="Times New Roman" w:cs="Times New Roman"/>
          <w:sz w:val="24"/>
          <w:szCs w:val="24"/>
          <w:lang w:val="en-US"/>
        </w:rPr>
        <w:t>Logares</w:t>
      </w:r>
      <w:proofErr w:type="spellEnd"/>
      <w:r w:rsidRPr="000C2509">
        <w:rPr>
          <w:rFonts w:ascii="Times New Roman" w:eastAsia="Times New Roman" w:hAnsi="Times New Roman" w:cs="Times New Roman"/>
          <w:sz w:val="24"/>
          <w:szCs w:val="24"/>
          <w:lang w:val="en-US"/>
        </w:rPr>
        <w:t xml:space="preserve">, </w:t>
      </w:r>
      <w:proofErr w:type="spellStart"/>
      <w:r w:rsidRPr="000C2509">
        <w:rPr>
          <w:rFonts w:ascii="Times New Roman" w:eastAsia="Times New Roman" w:hAnsi="Times New Roman" w:cs="Times New Roman"/>
          <w:sz w:val="24"/>
          <w:szCs w:val="24"/>
          <w:lang w:val="en-US"/>
        </w:rPr>
        <w:t>Colomban</w:t>
      </w:r>
      <w:proofErr w:type="spellEnd"/>
      <w:r w:rsidRPr="000C2509">
        <w:rPr>
          <w:rFonts w:ascii="Times New Roman" w:eastAsia="Times New Roman" w:hAnsi="Times New Roman" w:cs="Times New Roman"/>
          <w:sz w:val="24"/>
          <w:szCs w:val="24"/>
          <w:lang w:val="en-US"/>
        </w:rPr>
        <w:t xml:space="preserve"> de Vargas, und Ramon </w:t>
      </w:r>
      <w:proofErr w:type="spellStart"/>
      <w:r w:rsidRPr="000C2509">
        <w:rPr>
          <w:rFonts w:ascii="Times New Roman" w:eastAsia="Times New Roman" w:hAnsi="Times New Roman" w:cs="Times New Roman"/>
          <w:sz w:val="24"/>
          <w:szCs w:val="24"/>
          <w:lang w:val="en-US"/>
        </w:rPr>
        <w:t>Massana</w:t>
      </w:r>
      <w:proofErr w:type="spellEnd"/>
      <w:r w:rsidRPr="00251411">
        <w:rPr>
          <w:rFonts w:ascii="Times New Roman" w:eastAsia="Times New Roman" w:hAnsi="Times New Roman" w:cs="Times New Roman"/>
          <w:sz w:val="24"/>
          <w:szCs w:val="24"/>
          <w:lang w:val="en-US"/>
        </w:rPr>
        <w:t xml:space="preserve"> (2016)</w:t>
      </w:r>
      <w:r w:rsidRPr="000C2509">
        <w:rPr>
          <w:rFonts w:ascii="Times New Roman" w:eastAsia="Times New Roman" w:hAnsi="Times New Roman" w:cs="Times New Roman"/>
          <w:sz w:val="24"/>
          <w:szCs w:val="24"/>
          <w:lang w:val="en-US"/>
        </w:rPr>
        <w:t xml:space="preserve">. „Environmental Sequencing Provides Reasonable Estimates of the Relative Abundance of Specific </w:t>
      </w:r>
      <w:proofErr w:type="spellStart"/>
      <w:proofErr w:type="gramStart"/>
      <w:r w:rsidRPr="000C2509">
        <w:rPr>
          <w:rFonts w:ascii="Times New Roman" w:eastAsia="Times New Roman" w:hAnsi="Times New Roman" w:cs="Times New Roman"/>
          <w:sz w:val="24"/>
          <w:szCs w:val="24"/>
          <w:lang w:val="en-US"/>
        </w:rPr>
        <w:t>Picoeukaryotes</w:t>
      </w:r>
      <w:proofErr w:type="spellEnd"/>
      <w:r w:rsidRPr="000C2509">
        <w:rPr>
          <w:rFonts w:ascii="Times New Roman" w:eastAsia="Times New Roman" w:hAnsi="Times New Roman" w:cs="Times New Roman"/>
          <w:sz w:val="24"/>
          <w:szCs w:val="24"/>
          <w:lang w:val="en-US"/>
        </w:rPr>
        <w:t>“</w:t>
      </w:r>
      <w:proofErr w:type="gramEnd"/>
      <w:r w:rsidRPr="000C2509">
        <w:rPr>
          <w:rFonts w:ascii="Times New Roman" w:eastAsia="Times New Roman" w:hAnsi="Times New Roman" w:cs="Times New Roman"/>
          <w:sz w:val="24"/>
          <w:szCs w:val="24"/>
          <w:lang w:val="en-US"/>
        </w:rPr>
        <w:t xml:space="preserve">. </w:t>
      </w:r>
      <w:r w:rsidRPr="000C2509">
        <w:rPr>
          <w:rFonts w:ascii="Times New Roman" w:eastAsia="Times New Roman" w:hAnsi="Times New Roman" w:cs="Times New Roman"/>
          <w:i/>
          <w:iCs/>
          <w:sz w:val="24"/>
          <w:szCs w:val="24"/>
          <w:lang w:val="en-US"/>
        </w:rPr>
        <w:t>Applied and Environmental Microbiology</w:t>
      </w:r>
      <w:r w:rsidRPr="00251411">
        <w:rPr>
          <w:rFonts w:ascii="Times New Roman" w:eastAsia="Times New Roman" w:hAnsi="Times New Roman" w:cs="Times New Roman"/>
          <w:sz w:val="24"/>
          <w:szCs w:val="24"/>
          <w:lang w:val="en-US"/>
        </w:rPr>
        <w:t xml:space="preserve">, </w:t>
      </w:r>
      <w:r w:rsidRPr="000C2509">
        <w:rPr>
          <w:rFonts w:ascii="Times New Roman" w:eastAsia="Times New Roman" w:hAnsi="Times New Roman" w:cs="Times New Roman"/>
          <w:sz w:val="24"/>
          <w:szCs w:val="24"/>
          <w:lang w:val="en-US"/>
        </w:rPr>
        <w:t>AEM.00</w:t>
      </w:r>
      <w:r w:rsidRPr="00251411">
        <w:rPr>
          <w:rFonts w:ascii="Times New Roman" w:eastAsia="Times New Roman" w:hAnsi="Times New Roman" w:cs="Times New Roman"/>
          <w:sz w:val="24"/>
          <w:szCs w:val="24"/>
          <w:lang w:val="en-US"/>
        </w:rPr>
        <w:t>560-16</w:t>
      </w:r>
      <w:r w:rsidRPr="000C2509">
        <w:rPr>
          <w:rFonts w:ascii="Times New Roman" w:eastAsia="Times New Roman" w:hAnsi="Times New Roman" w:cs="Times New Roman"/>
          <w:sz w:val="24"/>
          <w:szCs w:val="24"/>
          <w:lang w:val="en-US"/>
        </w:rPr>
        <w:t>.</w:t>
      </w:r>
    </w:p>
    <w:p w14:paraId="4720BFD5" w14:textId="785759BA" w:rsidR="004301BB" w:rsidRPr="00251411" w:rsidRDefault="004301BB" w:rsidP="00251411">
      <w:pPr>
        <w:spacing w:after="0" w:line="480" w:lineRule="auto"/>
        <w:ind w:left="360" w:hanging="360"/>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lastRenderedPageBreak/>
        <w:t>Gómez</w:t>
      </w:r>
      <w:r w:rsidRPr="00251411">
        <w:rPr>
          <w:rFonts w:ascii="Cambria Math" w:hAnsi="Cambria Math" w:cs="Cambria Math"/>
          <w:sz w:val="24"/>
          <w:szCs w:val="24"/>
          <w:lang w:val="en-US"/>
        </w:rPr>
        <w:t>‐</w:t>
      </w:r>
      <w:r w:rsidRPr="00251411">
        <w:rPr>
          <w:rFonts w:ascii="Times New Roman" w:hAnsi="Times New Roman" w:cs="Times New Roman"/>
          <w:sz w:val="24"/>
          <w:szCs w:val="24"/>
          <w:lang w:val="en-US"/>
        </w:rPr>
        <w:t>Rodríguez, C., Crampton</w:t>
      </w:r>
      <w:r w:rsidRPr="00251411">
        <w:rPr>
          <w:rFonts w:ascii="Cambria Math" w:hAnsi="Cambria Math" w:cs="Cambria Math"/>
          <w:sz w:val="24"/>
          <w:szCs w:val="24"/>
          <w:lang w:val="en-US"/>
        </w:rPr>
        <w:t>‐</w:t>
      </w:r>
      <w:r w:rsidRPr="00251411">
        <w:rPr>
          <w:rFonts w:ascii="Times New Roman" w:hAnsi="Times New Roman" w:cs="Times New Roman"/>
          <w:sz w:val="24"/>
          <w:szCs w:val="24"/>
          <w:lang w:val="en-US"/>
        </w:rPr>
        <w:t xml:space="preserve">Platt, A., Timmermans, M. J., </w:t>
      </w:r>
      <w:proofErr w:type="spellStart"/>
      <w:r w:rsidRPr="00251411">
        <w:rPr>
          <w:rFonts w:ascii="Times New Roman" w:hAnsi="Times New Roman" w:cs="Times New Roman"/>
          <w:sz w:val="24"/>
          <w:szCs w:val="24"/>
          <w:lang w:val="en-US"/>
        </w:rPr>
        <w:t>Baselga</w:t>
      </w:r>
      <w:proofErr w:type="spellEnd"/>
      <w:r w:rsidRPr="00251411">
        <w:rPr>
          <w:rFonts w:ascii="Times New Roman" w:hAnsi="Times New Roman" w:cs="Times New Roman"/>
          <w:sz w:val="24"/>
          <w:szCs w:val="24"/>
          <w:lang w:val="en-US"/>
        </w:rPr>
        <w:t xml:space="preserve">, A., &amp; </w:t>
      </w:r>
      <w:proofErr w:type="spellStart"/>
      <w:r w:rsidRPr="00251411">
        <w:rPr>
          <w:rFonts w:ascii="Times New Roman" w:hAnsi="Times New Roman" w:cs="Times New Roman"/>
          <w:sz w:val="24"/>
          <w:szCs w:val="24"/>
          <w:lang w:val="en-US"/>
        </w:rPr>
        <w:t>Vogler</w:t>
      </w:r>
      <w:proofErr w:type="spellEnd"/>
      <w:r w:rsidRPr="00251411">
        <w:rPr>
          <w:rFonts w:ascii="Times New Roman" w:hAnsi="Times New Roman" w:cs="Times New Roman"/>
          <w:sz w:val="24"/>
          <w:szCs w:val="24"/>
          <w:lang w:val="en-US"/>
        </w:rPr>
        <w:t xml:space="preserve">, A. P. (2015). Validating the power of mitochondrial metagenomics for community ecology and </w:t>
      </w:r>
      <w:proofErr w:type="spellStart"/>
      <w:r w:rsidRPr="00251411">
        <w:rPr>
          <w:rFonts w:ascii="Times New Roman" w:hAnsi="Times New Roman" w:cs="Times New Roman"/>
          <w:sz w:val="24"/>
          <w:szCs w:val="24"/>
          <w:lang w:val="en-US"/>
        </w:rPr>
        <w:t>phylogenetics</w:t>
      </w:r>
      <w:proofErr w:type="spellEnd"/>
      <w:r w:rsidRPr="00251411">
        <w:rPr>
          <w:rFonts w:ascii="Times New Roman" w:hAnsi="Times New Roman" w:cs="Times New Roman"/>
          <w:sz w:val="24"/>
          <w:szCs w:val="24"/>
          <w:lang w:val="en-US"/>
        </w:rPr>
        <w:t xml:space="preserve"> of complex assemblages. </w:t>
      </w:r>
      <w:r w:rsidRPr="00251411">
        <w:rPr>
          <w:rFonts w:ascii="Times New Roman" w:hAnsi="Times New Roman" w:cs="Times New Roman"/>
          <w:i/>
          <w:iCs/>
          <w:sz w:val="24"/>
          <w:szCs w:val="24"/>
          <w:lang w:val="en-US"/>
        </w:rPr>
        <w:t>Methods in Ecology and Evolution</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6</w:t>
      </w:r>
      <w:r w:rsidRPr="00251411">
        <w:rPr>
          <w:rFonts w:ascii="Times New Roman" w:hAnsi="Times New Roman" w:cs="Times New Roman"/>
          <w:sz w:val="24"/>
          <w:szCs w:val="24"/>
          <w:lang w:val="en-US"/>
        </w:rPr>
        <w:t>(8), 883-894.</w:t>
      </w:r>
    </w:p>
    <w:p w14:paraId="4E6C36D4" w14:textId="77777777" w:rsidR="00ED2490" w:rsidRPr="00251411" w:rsidRDefault="00ED2490" w:rsidP="00251411">
      <w:pPr>
        <w:spacing w:after="0" w:line="480" w:lineRule="auto"/>
        <w:ind w:left="360" w:hanging="360"/>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Gordon, A. &amp; Hannon, G.J. (2010) </w:t>
      </w:r>
      <w:proofErr w:type="spellStart"/>
      <w:r w:rsidRPr="00251411">
        <w:rPr>
          <w:rFonts w:ascii="Times New Roman" w:hAnsi="Times New Roman" w:cs="Times New Roman"/>
          <w:sz w:val="24"/>
          <w:szCs w:val="24"/>
          <w:lang w:val="en-US"/>
        </w:rPr>
        <w:t>Fastx</w:t>
      </w:r>
      <w:proofErr w:type="spellEnd"/>
      <w:r w:rsidRPr="00251411">
        <w:rPr>
          <w:rFonts w:ascii="Times New Roman" w:hAnsi="Times New Roman" w:cs="Times New Roman"/>
          <w:sz w:val="24"/>
          <w:szCs w:val="24"/>
          <w:lang w:val="en-US"/>
        </w:rPr>
        <w:t xml:space="preserve">-toolkit. </w:t>
      </w:r>
      <w:r w:rsidRPr="00251411">
        <w:rPr>
          <w:rFonts w:ascii="Times New Roman" w:hAnsi="Times New Roman" w:cs="Times New Roman"/>
          <w:i/>
          <w:sz w:val="24"/>
          <w:szCs w:val="24"/>
          <w:lang w:val="en-US"/>
        </w:rPr>
        <w:t xml:space="preserve">Computer Program Distributed by the Author, Website http://hannonlab. </w:t>
      </w:r>
      <w:proofErr w:type="spellStart"/>
      <w:r w:rsidRPr="00251411">
        <w:rPr>
          <w:rFonts w:ascii="Times New Roman" w:hAnsi="Times New Roman" w:cs="Times New Roman"/>
          <w:i/>
          <w:sz w:val="24"/>
          <w:szCs w:val="24"/>
          <w:lang w:val="en-US"/>
        </w:rPr>
        <w:t>cshl</w:t>
      </w:r>
      <w:proofErr w:type="spellEnd"/>
      <w:r w:rsidRPr="00251411">
        <w:rPr>
          <w:rFonts w:ascii="Times New Roman" w:hAnsi="Times New Roman" w:cs="Times New Roman"/>
          <w:i/>
          <w:sz w:val="24"/>
          <w:szCs w:val="24"/>
          <w:lang w:val="en-US"/>
        </w:rPr>
        <w:t xml:space="preserve">. </w:t>
      </w:r>
      <w:proofErr w:type="spellStart"/>
      <w:r w:rsidRPr="00251411">
        <w:rPr>
          <w:rFonts w:ascii="Times New Roman" w:hAnsi="Times New Roman" w:cs="Times New Roman"/>
          <w:i/>
          <w:sz w:val="24"/>
          <w:szCs w:val="24"/>
          <w:lang w:val="en-US"/>
        </w:rPr>
        <w:t>edu</w:t>
      </w:r>
      <w:proofErr w:type="spellEnd"/>
      <w:r w:rsidRPr="00251411">
        <w:rPr>
          <w:rFonts w:ascii="Times New Roman" w:hAnsi="Times New Roman" w:cs="Times New Roman"/>
          <w:i/>
          <w:sz w:val="24"/>
          <w:szCs w:val="24"/>
          <w:lang w:val="en-US"/>
        </w:rPr>
        <w:t>/</w:t>
      </w:r>
      <w:proofErr w:type="spellStart"/>
      <w:r w:rsidRPr="00251411">
        <w:rPr>
          <w:rFonts w:ascii="Times New Roman" w:hAnsi="Times New Roman" w:cs="Times New Roman"/>
          <w:i/>
          <w:sz w:val="24"/>
          <w:szCs w:val="24"/>
          <w:lang w:val="en-US"/>
        </w:rPr>
        <w:t>fastx_toolkit</w:t>
      </w:r>
      <w:proofErr w:type="spellEnd"/>
      <w:r w:rsidRPr="00251411">
        <w:rPr>
          <w:rFonts w:ascii="Times New Roman" w:hAnsi="Times New Roman" w:cs="Times New Roman"/>
          <w:i/>
          <w:sz w:val="24"/>
          <w:szCs w:val="24"/>
          <w:lang w:val="en-US"/>
        </w:rPr>
        <w:t>/index. html [accessed 2014–2015]</w:t>
      </w:r>
      <w:r w:rsidRPr="00251411">
        <w:rPr>
          <w:rFonts w:ascii="Times New Roman" w:hAnsi="Times New Roman" w:cs="Times New Roman"/>
          <w:sz w:val="24"/>
          <w:szCs w:val="24"/>
          <w:lang w:val="en-US"/>
        </w:rPr>
        <w:t>.</w:t>
      </w:r>
    </w:p>
    <w:p w14:paraId="288044CC" w14:textId="77777777" w:rsidR="00ED2490" w:rsidRPr="00251411" w:rsidRDefault="00ED2490"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Hebert, P. D., </w:t>
      </w:r>
      <w:proofErr w:type="spellStart"/>
      <w:r w:rsidRPr="00251411">
        <w:rPr>
          <w:rFonts w:ascii="Times New Roman" w:hAnsi="Times New Roman" w:cs="Times New Roman"/>
          <w:sz w:val="24"/>
          <w:szCs w:val="24"/>
          <w:lang w:val="en-US"/>
        </w:rPr>
        <w:t>Ratnasingham</w:t>
      </w:r>
      <w:proofErr w:type="spellEnd"/>
      <w:r w:rsidRPr="00251411">
        <w:rPr>
          <w:rFonts w:ascii="Times New Roman" w:hAnsi="Times New Roman" w:cs="Times New Roman"/>
          <w:sz w:val="24"/>
          <w:szCs w:val="24"/>
          <w:lang w:val="en-US"/>
        </w:rPr>
        <w:t xml:space="preserve">, S., &amp; de </w:t>
      </w:r>
      <w:proofErr w:type="spellStart"/>
      <w:r w:rsidRPr="00251411">
        <w:rPr>
          <w:rFonts w:ascii="Times New Roman" w:hAnsi="Times New Roman" w:cs="Times New Roman"/>
          <w:sz w:val="24"/>
          <w:szCs w:val="24"/>
          <w:lang w:val="en-US"/>
        </w:rPr>
        <w:t>Waard</w:t>
      </w:r>
      <w:proofErr w:type="spellEnd"/>
      <w:r w:rsidRPr="00251411">
        <w:rPr>
          <w:rFonts w:ascii="Times New Roman" w:hAnsi="Times New Roman" w:cs="Times New Roman"/>
          <w:sz w:val="24"/>
          <w:szCs w:val="24"/>
          <w:lang w:val="en-US"/>
        </w:rPr>
        <w:t xml:space="preserve">, J. R. (2003). Barcoding animal life: cytochrome c oxidase subunit 1 divergences among closely related species. </w:t>
      </w:r>
      <w:r w:rsidRPr="00251411">
        <w:rPr>
          <w:rFonts w:ascii="Times New Roman" w:hAnsi="Times New Roman" w:cs="Times New Roman"/>
          <w:i/>
          <w:iCs/>
          <w:sz w:val="24"/>
          <w:szCs w:val="24"/>
          <w:lang w:val="en-US"/>
        </w:rPr>
        <w:t>Proceedings of the Royal Society of London B: Biological Sciences</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270</w:t>
      </w:r>
      <w:r w:rsidRPr="00251411">
        <w:rPr>
          <w:rFonts w:ascii="Times New Roman" w:hAnsi="Times New Roman" w:cs="Times New Roman"/>
          <w:sz w:val="24"/>
          <w:szCs w:val="24"/>
          <w:lang w:val="en-US"/>
        </w:rPr>
        <w:t>(</w:t>
      </w:r>
      <w:proofErr w:type="spellStart"/>
      <w:r w:rsidRPr="00251411">
        <w:rPr>
          <w:rFonts w:ascii="Times New Roman" w:hAnsi="Times New Roman" w:cs="Times New Roman"/>
          <w:sz w:val="24"/>
          <w:szCs w:val="24"/>
          <w:lang w:val="en-US"/>
        </w:rPr>
        <w:t>Suppl</w:t>
      </w:r>
      <w:proofErr w:type="spellEnd"/>
      <w:r w:rsidRPr="00251411">
        <w:rPr>
          <w:rFonts w:ascii="Times New Roman" w:hAnsi="Times New Roman" w:cs="Times New Roman"/>
          <w:sz w:val="24"/>
          <w:szCs w:val="24"/>
          <w:lang w:val="en-US"/>
        </w:rPr>
        <w:t xml:space="preserve"> 1), S96-S99.</w:t>
      </w:r>
    </w:p>
    <w:p w14:paraId="5BDC2185" w14:textId="77777777" w:rsidR="00ED2490" w:rsidRPr="00251411" w:rsidRDefault="00ED2490"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rPr>
        <w:t xml:space="preserve">Hebert, P. D., </w:t>
      </w:r>
      <w:proofErr w:type="spellStart"/>
      <w:r w:rsidRPr="00251411">
        <w:rPr>
          <w:rFonts w:ascii="Times New Roman" w:hAnsi="Times New Roman" w:cs="Times New Roman"/>
          <w:sz w:val="24"/>
          <w:szCs w:val="24"/>
        </w:rPr>
        <w:t>Penton</w:t>
      </w:r>
      <w:proofErr w:type="spellEnd"/>
      <w:r w:rsidRPr="00251411">
        <w:rPr>
          <w:rFonts w:ascii="Times New Roman" w:hAnsi="Times New Roman" w:cs="Times New Roman"/>
          <w:sz w:val="24"/>
          <w:szCs w:val="24"/>
        </w:rPr>
        <w:t xml:space="preserve">, E. H., Burns, J. M., Janzen, D. H., &amp; Hallwachs, W. (2004). </w:t>
      </w:r>
      <w:r w:rsidRPr="00251411">
        <w:rPr>
          <w:rFonts w:ascii="Times New Roman" w:hAnsi="Times New Roman" w:cs="Times New Roman"/>
          <w:sz w:val="24"/>
          <w:szCs w:val="24"/>
          <w:lang w:val="en-US"/>
        </w:rPr>
        <w:t xml:space="preserve">Ten species in one: DNA barcoding reveals cryptic species in the </w:t>
      </w:r>
      <w:proofErr w:type="spellStart"/>
      <w:r w:rsidRPr="00251411">
        <w:rPr>
          <w:rFonts w:ascii="Times New Roman" w:hAnsi="Times New Roman" w:cs="Times New Roman"/>
          <w:sz w:val="24"/>
          <w:szCs w:val="24"/>
          <w:lang w:val="en-US"/>
        </w:rPr>
        <w:t>neotropical</w:t>
      </w:r>
      <w:proofErr w:type="spellEnd"/>
      <w:r w:rsidRPr="00251411">
        <w:rPr>
          <w:rFonts w:ascii="Times New Roman" w:hAnsi="Times New Roman" w:cs="Times New Roman"/>
          <w:sz w:val="24"/>
          <w:szCs w:val="24"/>
          <w:lang w:val="en-US"/>
        </w:rPr>
        <w:t xml:space="preserve"> skipper butterfly </w:t>
      </w:r>
      <w:proofErr w:type="spellStart"/>
      <w:r w:rsidRPr="00251411">
        <w:rPr>
          <w:rFonts w:ascii="Times New Roman" w:hAnsi="Times New Roman" w:cs="Times New Roman"/>
          <w:sz w:val="24"/>
          <w:szCs w:val="24"/>
          <w:lang w:val="en-US"/>
        </w:rPr>
        <w:t>Astraptes</w:t>
      </w:r>
      <w:proofErr w:type="spellEnd"/>
      <w:r w:rsidRPr="00251411">
        <w:rPr>
          <w:rFonts w:ascii="Times New Roman" w:hAnsi="Times New Roman" w:cs="Times New Roman"/>
          <w:sz w:val="24"/>
          <w:szCs w:val="24"/>
          <w:lang w:val="en-US"/>
        </w:rPr>
        <w:t xml:space="preserve"> </w:t>
      </w:r>
      <w:proofErr w:type="spellStart"/>
      <w:r w:rsidRPr="00251411">
        <w:rPr>
          <w:rFonts w:ascii="Times New Roman" w:hAnsi="Times New Roman" w:cs="Times New Roman"/>
          <w:sz w:val="24"/>
          <w:szCs w:val="24"/>
          <w:lang w:val="en-US"/>
        </w:rPr>
        <w:t>fulgerator</w:t>
      </w:r>
      <w:proofErr w:type="spellEnd"/>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Proceedings of the National Academy of Sciences of the United States of America</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101</w:t>
      </w:r>
      <w:r w:rsidRPr="00251411">
        <w:rPr>
          <w:rFonts w:ascii="Times New Roman" w:hAnsi="Times New Roman" w:cs="Times New Roman"/>
          <w:sz w:val="24"/>
          <w:szCs w:val="24"/>
          <w:lang w:val="en-US"/>
        </w:rPr>
        <w:t xml:space="preserve">(41), 14812-14817. </w:t>
      </w:r>
    </w:p>
    <w:p w14:paraId="26FEDC3C" w14:textId="77777777" w:rsidR="00494A21" w:rsidRPr="00251411" w:rsidRDefault="00ED2490" w:rsidP="00251411">
      <w:pPr>
        <w:spacing w:line="480" w:lineRule="auto"/>
        <w:ind w:left="706" w:hanging="706"/>
        <w:jc w:val="both"/>
        <w:rPr>
          <w:rFonts w:ascii="Times New Roman" w:hAnsi="Times New Roman" w:cs="Times New Roman"/>
          <w:sz w:val="24"/>
          <w:szCs w:val="24"/>
          <w:lang w:val="en-US"/>
        </w:rPr>
      </w:pPr>
      <w:proofErr w:type="spellStart"/>
      <w:r w:rsidRPr="00251411">
        <w:rPr>
          <w:rFonts w:ascii="Times New Roman" w:hAnsi="Times New Roman" w:cs="Times New Roman"/>
          <w:sz w:val="24"/>
          <w:szCs w:val="24"/>
          <w:lang w:val="en-US"/>
        </w:rPr>
        <w:t>Heid</w:t>
      </w:r>
      <w:proofErr w:type="spellEnd"/>
      <w:r w:rsidRPr="00251411">
        <w:rPr>
          <w:rFonts w:ascii="Times New Roman" w:hAnsi="Times New Roman" w:cs="Times New Roman"/>
          <w:sz w:val="24"/>
          <w:szCs w:val="24"/>
          <w:lang w:val="en-US"/>
        </w:rPr>
        <w:t xml:space="preserve">, C. A., Stevens, J., </w:t>
      </w:r>
      <w:proofErr w:type="spellStart"/>
      <w:r w:rsidRPr="00251411">
        <w:rPr>
          <w:rFonts w:ascii="Times New Roman" w:hAnsi="Times New Roman" w:cs="Times New Roman"/>
          <w:sz w:val="24"/>
          <w:szCs w:val="24"/>
          <w:lang w:val="en-US"/>
        </w:rPr>
        <w:t>Livak</w:t>
      </w:r>
      <w:proofErr w:type="spellEnd"/>
      <w:r w:rsidRPr="00251411">
        <w:rPr>
          <w:rFonts w:ascii="Times New Roman" w:hAnsi="Times New Roman" w:cs="Times New Roman"/>
          <w:sz w:val="24"/>
          <w:szCs w:val="24"/>
          <w:lang w:val="en-US"/>
        </w:rPr>
        <w:t xml:space="preserve">, K. J., &amp; Williams, P. M. (1996). Real time quantitative PCR. </w:t>
      </w:r>
      <w:r w:rsidRPr="00251411">
        <w:rPr>
          <w:rFonts w:ascii="Times New Roman" w:hAnsi="Times New Roman" w:cs="Times New Roman"/>
          <w:i/>
          <w:iCs/>
          <w:sz w:val="24"/>
          <w:szCs w:val="24"/>
          <w:lang w:val="en-US"/>
        </w:rPr>
        <w:t>Genome research</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6</w:t>
      </w:r>
      <w:r w:rsidRPr="00251411">
        <w:rPr>
          <w:rFonts w:ascii="Times New Roman" w:hAnsi="Times New Roman" w:cs="Times New Roman"/>
          <w:sz w:val="24"/>
          <w:szCs w:val="24"/>
          <w:lang w:val="en-US"/>
        </w:rPr>
        <w:t>(10), 986-994.</w:t>
      </w:r>
    </w:p>
    <w:p w14:paraId="1A53B960" w14:textId="77777777" w:rsidR="002D0952" w:rsidRPr="00251411" w:rsidRDefault="002D0952"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Hurst, G. D., &amp; </w:t>
      </w:r>
      <w:proofErr w:type="spellStart"/>
      <w:r w:rsidRPr="00251411">
        <w:rPr>
          <w:rFonts w:ascii="Times New Roman" w:hAnsi="Times New Roman" w:cs="Times New Roman"/>
          <w:sz w:val="24"/>
          <w:szCs w:val="24"/>
          <w:lang w:val="en-US"/>
        </w:rPr>
        <w:t>Jiggins</w:t>
      </w:r>
      <w:proofErr w:type="spellEnd"/>
      <w:r w:rsidRPr="00251411">
        <w:rPr>
          <w:rFonts w:ascii="Times New Roman" w:hAnsi="Times New Roman" w:cs="Times New Roman"/>
          <w:sz w:val="24"/>
          <w:szCs w:val="24"/>
          <w:lang w:val="en-US"/>
        </w:rPr>
        <w:t xml:space="preserve">, F. M. (2005). Problems with mitochondrial DNA as a marker in population, phylogeographic and phylogenetic studies: the effects of inherited symbionts. </w:t>
      </w:r>
      <w:r w:rsidRPr="00251411">
        <w:rPr>
          <w:rFonts w:ascii="Times New Roman" w:hAnsi="Times New Roman" w:cs="Times New Roman"/>
          <w:i/>
          <w:iCs/>
          <w:sz w:val="24"/>
          <w:szCs w:val="24"/>
          <w:lang w:val="en-US"/>
        </w:rPr>
        <w:t>Proceedings of the Royal Society of London B: Biological Sciences</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272</w:t>
      </w:r>
      <w:r w:rsidRPr="00251411">
        <w:rPr>
          <w:rFonts w:ascii="Times New Roman" w:hAnsi="Times New Roman" w:cs="Times New Roman"/>
          <w:sz w:val="24"/>
          <w:szCs w:val="24"/>
          <w:lang w:val="en-US"/>
        </w:rPr>
        <w:t>(1572), 1525-1534.</w:t>
      </w:r>
    </w:p>
    <w:p w14:paraId="18FB479B" w14:textId="77777777" w:rsidR="00494A21" w:rsidRPr="00251411" w:rsidRDefault="00494A21"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Ji, Y., Ashton, L., </w:t>
      </w:r>
      <w:proofErr w:type="spellStart"/>
      <w:r w:rsidRPr="00251411">
        <w:rPr>
          <w:rFonts w:ascii="Times New Roman" w:hAnsi="Times New Roman" w:cs="Times New Roman"/>
          <w:sz w:val="24"/>
          <w:szCs w:val="24"/>
          <w:lang w:val="en-US"/>
        </w:rPr>
        <w:t>Pedley</w:t>
      </w:r>
      <w:proofErr w:type="spellEnd"/>
      <w:r w:rsidRPr="00251411">
        <w:rPr>
          <w:rFonts w:ascii="Times New Roman" w:hAnsi="Times New Roman" w:cs="Times New Roman"/>
          <w:sz w:val="24"/>
          <w:szCs w:val="24"/>
          <w:lang w:val="en-US"/>
        </w:rPr>
        <w:t xml:space="preserve">, S. M., Edwards, D. P., Tang, Y., Nakamura, A., ... &amp; Larsen, T. H. (2013). Reliable, verifiable and efficient monitoring of biodiversity via metabarcoding. </w:t>
      </w:r>
      <w:r w:rsidRPr="00251411">
        <w:rPr>
          <w:rFonts w:ascii="Times New Roman" w:hAnsi="Times New Roman" w:cs="Times New Roman"/>
          <w:i/>
          <w:iCs/>
          <w:sz w:val="24"/>
          <w:szCs w:val="24"/>
          <w:lang w:val="en-US"/>
        </w:rPr>
        <w:t>Ecology letters</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16</w:t>
      </w:r>
      <w:r w:rsidRPr="00251411">
        <w:rPr>
          <w:rFonts w:ascii="Times New Roman" w:hAnsi="Times New Roman" w:cs="Times New Roman"/>
          <w:sz w:val="24"/>
          <w:szCs w:val="24"/>
          <w:lang w:val="en-US"/>
        </w:rPr>
        <w:t>(10), 1245-1257.</w:t>
      </w:r>
    </w:p>
    <w:p w14:paraId="7AF6D3D5" w14:textId="77777777" w:rsidR="008C5555" w:rsidRPr="00251411" w:rsidRDefault="008C5555" w:rsidP="00251411">
      <w:pPr>
        <w:spacing w:line="480" w:lineRule="auto"/>
        <w:ind w:left="706" w:hanging="706"/>
        <w:jc w:val="both"/>
        <w:rPr>
          <w:rFonts w:ascii="Times New Roman" w:hAnsi="Times New Roman" w:cs="Times New Roman"/>
          <w:b/>
          <w:sz w:val="24"/>
          <w:szCs w:val="24"/>
          <w:lang w:val="en-US"/>
        </w:rPr>
      </w:pPr>
      <w:proofErr w:type="spellStart"/>
      <w:r w:rsidRPr="00251411">
        <w:rPr>
          <w:rFonts w:ascii="Times New Roman" w:hAnsi="Times New Roman" w:cs="Times New Roman"/>
          <w:sz w:val="24"/>
          <w:szCs w:val="24"/>
          <w:lang w:val="en-US"/>
        </w:rPr>
        <w:lastRenderedPageBreak/>
        <w:t>Kartzinel</w:t>
      </w:r>
      <w:proofErr w:type="spellEnd"/>
      <w:r w:rsidRPr="00251411">
        <w:rPr>
          <w:rFonts w:ascii="Times New Roman" w:hAnsi="Times New Roman" w:cs="Times New Roman"/>
          <w:sz w:val="24"/>
          <w:szCs w:val="24"/>
          <w:lang w:val="en-US"/>
        </w:rPr>
        <w:t xml:space="preserve">, T. R., Chen, P. A., Coverdale, T. C., Erickson, D. L., Kress, W. J., Kuzmina, M. L., ... &amp; Pringle, R. M. (2015). DNA metabarcoding illuminates dietary niche partitioning by African large herbivores. </w:t>
      </w:r>
      <w:r w:rsidRPr="00251411">
        <w:rPr>
          <w:rFonts w:ascii="Times New Roman" w:hAnsi="Times New Roman" w:cs="Times New Roman"/>
          <w:i/>
          <w:iCs/>
          <w:sz w:val="24"/>
          <w:szCs w:val="24"/>
          <w:lang w:val="en-US"/>
        </w:rPr>
        <w:t>Proceedings of the National Academy of Sciences</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112</w:t>
      </w:r>
      <w:r w:rsidRPr="00251411">
        <w:rPr>
          <w:rFonts w:ascii="Times New Roman" w:hAnsi="Times New Roman" w:cs="Times New Roman"/>
          <w:sz w:val="24"/>
          <w:szCs w:val="24"/>
          <w:lang w:val="en-US"/>
        </w:rPr>
        <w:t>(26), 8019-8024.</w:t>
      </w:r>
    </w:p>
    <w:p w14:paraId="6A297A01" w14:textId="77777777" w:rsidR="00E578CC" w:rsidRPr="00251411" w:rsidRDefault="00E578CC" w:rsidP="00251411">
      <w:pPr>
        <w:spacing w:line="480" w:lineRule="auto"/>
        <w:ind w:left="706" w:hanging="706"/>
        <w:jc w:val="both"/>
        <w:rPr>
          <w:rFonts w:ascii="Times New Roman" w:hAnsi="Times New Roman" w:cs="Times New Roman"/>
          <w:sz w:val="24"/>
          <w:szCs w:val="24"/>
          <w:lang w:val="en-US"/>
        </w:rPr>
      </w:pPr>
      <w:proofErr w:type="spellStart"/>
      <w:r w:rsidRPr="00251411">
        <w:rPr>
          <w:rFonts w:ascii="Times New Roman" w:hAnsi="Times New Roman" w:cs="Times New Roman"/>
          <w:sz w:val="24"/>
          <w:szCs w:val="24"/>
          <w:lang w:val="en-US"/>
        </w:rPr>
        <w:t>Kembel</w:t>
      </w:r>
      <w:proofErr w:type="spellEnd"/>
      <w:r w:rsidRPr="00251411">
        <w:rPr>
          <w:rFonts w:ascii="Times New Roman" w:hAnsi="Times New Roman" w:cs="Times New Roman"/>
          <w:sz w:val="24"/>
          <w:szCs w:val="24"/>
          <w:lang w:val="en-US"/>
        </w:rPr>
        <w:t xml:space="preserve">, S. W., Wu, M., </w:t>
      </w:r>
      <w:proofErr w:type="spellStart"/>
      <w:r w:rsidRPr="00251411">
        <w:rPr>
          <w:rFonts w:ascii="Times New Roman" w:hAnsi="Times New Roman" w:cs="Times New Roman"/>
          <w:sz w:val="24"/>
          <w:szCs w:val="24"/>
          <w:lang w:val="en-US"/>
        </w:rPr>
        <w:t>Eisen</w:t>
      </w:r>
      <w:proofErr w:type="spellEnd"/>
      <w:r w:rsidRPr="00251411">
        <w:rPr>
          <w:rFonts w:ascii="Times New Roman" w:hAnsi="Times New Roman" w:cs="Times New Roman"/>
          <w:sz w:val="24"/>
          <w:szCs w:val="24"/>
          <w:lang w:val="en-US"/>
        </w:rPr>
        <w:t xml:space="preserve">, J. A., &amp; Green, J. L. (2012). Incorporating 16S gene copy number information improves estimates of microbial diversity and abundance. </w:t>
      </w:r>
      <w:proofErr w:type="spellStart"/>
      <w:r w:rsidRPr="00251411">
        <w:rPr>
          <w:rFonts w:ascii="Times New Roman" w:hAnsi="Times New Roman" w:cs="Times New Roman"/>
          <w:i/>
          <w:iCs/>
          <w:sz w:val="24"/>
          <w:szCs w:val="24"/>
          <w:lang w:val="en-US"/>
        </w:rPr>
        <w:t>PLoS</w:t>
      </w:r>
      <w:proofErr w:type="spellEnd"/>
      <w:r w:rsidRPr="00251411">
        <w:rPr>
          <w:rFonts w:ascii="Times New Roman" w:hAnsi="Times New Roman" w:cs="Times New Roman"/>
          <w:i/>
          <w:iCs/>
          <w:sz w:val="24"/>
          <w:szCs w:val="24"/>
          <w:lang w:val="en-US"/>
        </w:rPr>
        <w:t xml:space="preserve"> </w:t>
      </w:r>
      <w:proofErr w:type="spellStart"/>
      <w:r w:rsidRPr="00251411">
        <w:rPr>
          <w:rFonts w:ascii="Times New Roman" w:hAnsi="Times New Roman" w:cs="Times New Roman"/>
          <w:i/>
          <w:iCs/>
          <w:sz w:val="24"/>
          <w:szCs w:val="24"/>
          <w:lang w:val="en-US"/>
        </w:rPr>
        <w:t>Comput</w:t>
      </w:r>
      <w:proofErr w:type="spellEnd"/>
      <w:r w:rsidRPr="00251411">
        <w:rPr>
          <w:rFonts w:ascii="Times New Roman" w:hAnsi="Times New Roman" w:cs="Times New Roman"/>
          <w:i/>
          <w:iCs/>
          <w:sz w:val="24"/>
          <w:szCs w:val="24"/>
          <w:lang w:val="en-US"/>
        </w:rPr>
        <w:t xml:space="preserve"> </w:t>
      </w:r>
      <w:proofErr w:type="spellStart"/>
      <w:r w:rsidRPr="00251411">
        <w:rPr>
          <w:rFonts w:ascii="Times New Roman" w:hAnsi="Times New Roman" w:cs="Times New Roman"/>
          <w:i/>
          <w:iCs/>
          <w:sz w:val="24"/>
          <w:szCs w:val="24"/>
          <w:lang w:val="en-US"/>
        </w:rPr>
        <w:t>Biol</w:t>
      </w:r>
      <w:proofErr w:type="spellEnd"/>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8</w:t>
      </w:r>
      <w:r w:rsidRPr="00251411">
        <w:rPr>
          <w:rFonts w:ascii="Times New Roman" w:hAnsi="Times New Roman" w:cs="Times New Roman"/>
          <w:sz w:val="24"/>
          <w:szCs w:val="24"/>
          <w:lang w:val="en-US"/>
        </w:rPr>
        <w:t>(10), e1002743.</w:t>
      </w:r>
    </w:p>
    <w:p w14:paraId="543A5A4B" w14:textId="77777777" w:rsidR="00ED2490" w:rsidRPr="00251411" w:rsidRDefault="00ED2490"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Kocher, T. D., Thomas, W. K., Meyer, A., Edwards, S. V., </w:t>
      </w:r>
      <w:proofErr w:type="spellStart"/>
      <w:r w:rsidRPr="00251411">
        <w:rPr>
          <w:rFonts w:ascii="Times New Roman" w:hAnsi="Times New Roman" w:cs="Times New Roman"/>
          <w:sz w:val="24"/>
          <w:szCs w:val="24"/>
          <w:lang w:val="en-US"/>
        </w:rPr>
        <w:t>Pääbo</w:t>
      </w:r>
      <w:proofErr w:type="spellEnd"/>
      <w:r w:rsidRPr="00251411">
        <w:rPr>
          <w:rFonts w:ascii="Times New Roman" w:hAnsi="Times New Roman" w:cs="Times New Roman"/>
          <w:sz w:val="24"/>
          <w:szCs w:val="24"/>
          <w:lang w:val="en-US"/>
        </w:rPr>
        <w:t xml:space="preserve">, S., </w:t>
      </w:r>
      <w:proofErr w:type="spellStart"/>
      <w:r w:rsidRPr="00251411">
        <w:rPr>
          <w:rFonts w:ascii="Times New Roman" w:hAnsi="Times New Roman" w:cs="Times New Roman"/>
          <w:sz w:val="24"/>
          <w:szCs w:val="24"/>
          <w:lang w:val="en-US"/>
        </w:rPr>
        <w:t>Villablanca</w:t>
      </w:r>
      <w:proofErr w:type="spellEnd"/>
      <w:r w:rsidRPr="00251411">
        <w:rPr>
          <w:rFonts w:ascii="Times New Roman" w:hAnsi="Times New Roman" w:cs="Times New Roman"/>
          <w:sz w:val="24"/>
          <w:szCs w:val="24"/>
          <w:lang w:val="en-US"/>
        </w:rPr>
        <w:t xml:space="preserve">, F. X., &amp; Wilson, A. C. (1989). Dynamics of mitochondrial DNA evolution in animals: amplification and sequencing with conserved primers. </w:t>
      </w:r>
      <w:r w:rsidRPr="00251411">
        <w:rPr>
          <w:rFonts w:ascii="Times New Roman" w:hAnsi="Times New Roman" w:cs="Times New Roman"/>
          <w:i/>
          <w:iCs/>
          <w:sz w:val="24"/>
          <w:szCs w:val="24"/>
          <w:lang w:val="en-US"/>
        </w:rPr>
        <w:t>Proceedings of the National Academy of Sciences</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86</w:t>
      </w:r>
      <w:r w:rsidRPr="00251411">
        <w:rPr>
          <w:rFonts w:ascii="Times New Roman" w:hAnsi="Times New Roman" w:cs="Times New Roman"/>
          <w:sz w:val="24"/>
          <w:szCs w:val="24"/>
          <w:lang w:val="en-US"/>
        </w:rPr>
        <w:t>(16), 6196-6200.</w:t>
      </w:r>
    </w:p>
    <w:p w14:paraId="5DA6D898" w14:textId="77777777" w:rsidR="002542E7" w:rsidRPr="00251411" w:rsidRDefault="002542E7" w:rsidP="00251411">
      <w:pPr>
        <w:spacing w:after="0" w:line="480" w:lineRule="auto"/>
        <w:ind w:left="360" w:hanging="360"/>
        <w:jc w:val="both"/>
        <w:rPr>
          <w:rFonts w:ascii="Times New Roman" w:hAnsi="Times New Roman" w:cs="Times New Roman"/>
          <w:sz w:val="24"/>
          <w:szCs w:val="24"/>
          <w:lang w:val="pt-BR"/>
        </w:rPr>
      </w:pPr>
      <w:r w:rsidRPr="00251411">
        <w:rPr>
          <w:rFonts w:ascii="Times New Roman" w:hAnsi="Times New Roman" w:cs="Times New Roman"/>
          <w:sz w:val="24"/>
          <w:szCs w:val="24"/>
          <w:lang w:val="en-US"/>
        </w:rPr>
        <w:t xml:space="preserve">Kress, W. J., </w:t>
      </w:r>
      <w:proofErr w:type="spellStart"/>
      <w:r w:rsidRPr="00251411">
        <w:rPr>
          <w:rFonts w:ascii="Times New Roman" w:hAnsi="Times New Roman" w:cs="Times New Roman"/>
          <w:sz w:val="24"/>
          <w:szCs w:val="24"/>
          <w:lang w:val="en-US"/>
        </w:rPr>
        <w:t>García</w:t>
      </w:r>
      <w:proofErr w:type="spellEnd"/>
      <w:r w:rsidRPr="00251411">
        <w:rPr>
          <w:rFonts w:ascii="Times New Roman" w:hAnsi="Times New Roman" w:cs="Times New Roman"/>
          <w:sz w:val="24"/>
          <w:szCs w:val="24"/>
          <w:lang w:val="en-US"/>
        </w:rPr>
        <w:t xml:space="preserve">-Robledo, C., </w:t>
      </w:r>
      <w:proofErr w:type="spellStart"/>
      <w:r w:rsidRPr="00251411">
        <w:rPr>
          <w:rFonts w:ascii="Times New Roman" w:hAnsi="Times New Roman" w:cs="Times New Roman"/>
          <w:sz w:val="24"/>
          <w:szCs w:val="24"/>
          <w:lang w:val="en-US"/>
        </w:rPr>
        <w:t>Uriarte</w:t>
      </w:r>
      <w:proofErr w:type="spellEnd"/>
      <w:r w:rsidRPr="00251411">
        <w:rPr>
          <w:rFonts w:ascii="Times New Roman" w:hAnsi="Times New Roman" w:cs="Times New Roman"/>
          <w:sz w:val="24"/>
          <w:szCs w:val="24"/>
          <w:lang w:val="en-US"/>
        </w:rPr>
        <w:t xml:space="preserve">, M., &amp; Erickson, D. L. (2015). DNA barcodes for ecology, evolution, and conservation. </w:t>
      </w:r>
      <w:r w:rsidRPr="00251411">
        <w:rPr>
          <w:rFonts w:ascii="Times New Roman" w:hAnsi="Times New Roman" w:cs="Times New Roman"/>
          <w:i/>
          <w:iCs/>
          <w:sz w:val="24"/>
          <w:szCs w:val="24"/>
          <w:lang w:val="en-US"/>
        </w:rPr>
        <w:t>Trends in ecology &amp; evolution</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30</w:t>
      </w:r>
      <w:r w:rsidRPr="00251411">
        <w:rPr>
          <w:rFonts w:ascii="Times New Roman" w:hAnsi="Times New Roman" w:cs="Times New Roman"/>
          <w:sz w:val="24"/>
          <w:szCs w:val="24"/>
          <w:lang w:val="en-US"/>
        </w:rPr>
        <w:t>(1), 25-35.</w:t>
      </w:r>
    </w:p>
    <w:p w14:paraId="64D027E4" w14:textId="77777777" w:rsidR="00ED2490" w:rsidRPr="00251411" w:rsidRDefault="00ED2490" w:rsidP="00251411">
      <w:pPr>
        <w:spacing w:after="0" w:line="480" w:lineRule="auto"/>
        <w:ind w:left="360" w:hanging="360"/>
        <w:jc w:val="both"/>
        <w:rPr>
          <w:rFonts w:ascii="Times New Roman" w:hAnsi="Times New Roman" w:cs="Times New Roman"/>
          <w:sz w:val="24"/>
          <w:szCs w:val="24"/>
          <w:lang w:val="pt-BR"/>
        </w:rPr>
      </w:pPr>
      <w:r w:rsidRPr="00251411">
        <w:rPr>
          <w:rFonts w:ascii="Times New Roman" w:hAnsi="Times New Roman" w:cs="Times New Roman"/>
          <w:sz w:val="24"/>
          <w:szCs w:val="24"/>
          <w:lang w:val="pt-BR"/>
        </w:rPr>
        <w:t xml:space="preserve">Lange, V., Böhme, I., Hofmann, J., Lang, K., Sauter, J., Schöne, B., Paul, P., Albrecht, V., Andreas, J.M., Baier, D.M., Nething, J., Ehninger, U., Schwarzelt, C., Pingel, J., Ehninger, G. &amp; Schmidt, A.H. (2014) Cost-efficient high-throughput HLA typing by MiSeq amplicon sequencing. </w:t>
      </w:r>
      <w:r w:rsidRPr="00251411">
        <w:rPr>
          <w:rFonts w:ascii="Times New Roman" w:hAnsi="Times New Roman" w:cs="Times New Roman"/>
          <w:i/>
          <w:sz w:val="24"/>
          <w:szCs w:val="24"/>
          <w:lang w:val="pt-BR"/>
        </w:rPr>
        <w:t>BMC Genomics</w:t>
      </w:r>
      <w:r w:rsidRPr="00251411">
        <w:rPr>
          <w:rFonts w:ascii="Times New Roman" w:hAnsi="Times New Roman" w:cs="Times New Roman"/>
          <w:sz w:val="24"/>
          <w:szCs w:val="24"/>
          <w:lang w:val="pt-BR"/>
        </w:rPr>
        <w:t xml:space="preserve">, </w:t>
      </w:r>
      <w:r w:rsidRPr="00251411">
        <w:rPr>
          <w:rFonts w:ascii="Times New Roman" w:hAnsi="Times New Roman" w:cs="Times New Roman"/>
          <w:b/>
          <w:sz w:val="24"/>
          <w:szCs w:val="24"/>
          <w:lang w:val="pt-BR"/>
        </w:rPr>
        <w:t>15</w:t>
      </w:r>
      <w:r w:rsidRPr="00251411">
        <w:rPr>
          <w:rFonts w:ascii="Times New Roman" w:hAnsi="Times New Roman" w:cs="Times New Roman"/>
          <w:sz w:val="24"/>
          <w:szCs w:val="24"/>
          <w:lang w:val="pt-BR"/>
        </w:rPr>
        <w:t>, 63.</w:t>
      </w:r>
    </w:p>
    <w:p w14:paraId="20974C84" w14:textId="77777777" w:rsidR="00ED2490" w:rsidRPr="00251411" w:rsidRDefault="00ED2490" w:rsidP="00251411">
      <w:pPr>
        <w:spacing w:after="0" w:line="480" w:lineRule="auto"/>
        <w:ind w:left="360" w:hanging="360"/>
        <w:jc w:val="both"/>
        <w:rPr>
          <w:rFonts w:ascii="Times New Roman" w:hAnsi="Times New Roman" w:cs="Times New Roman"/>
          <w:sz w:val="24"/>
          <w:szCs w:val="24"/>
          <w:lang w:val="en-US"/>
        </w:rPr>
      </w:pPr>
      <w:proofErr w:type="spellStart"/>
      <w:r w:rsidRPr="00251411">
        <w:rPr>
          <w:rFonts w:ascii="Times New Roman" w:hAnsi="Times New Roman" w:cs="Times New Roman"/>
          <w:sz w:val="24"/>
          <w:szCs w:val="24"/>
          <w:lang w:val="en-US"/>
        </w:rPr>
        <w:t>Leray</w:t>
      </w:r>
      <w:proofErr w:type="spellEnd"/>
      <w:r w:rsidRPr="00251411">
        <w:rPr>
          <w:rFonts w:ascii="Times New Roman" w:hAnsi="Times New Roman" w:cs="Times New Roman"/>
          <w:sz w:val="24"/>
          <w:szCs w:val="24"/>
          <w:lang w:val="en-US"/>
        </w:rPr>
        <w:t xml:space="preserve">, M., Yang, J.Y., Meyer, C.P., Mills, S.C., </w:t>
      </w:r>
      <w:proofErr w:type="spellStart"/>
      <w:r w:rsidRPr="00251411">
        <w:rPr>
          <w:rFonts w:ascii="Times New Roman" w:hAnsi="Times New Roman" w:cs="Times New Roman"/>
          <w:sz w:val="24"/>
          <w:szCs w:val="24"/>
          <w:lang w:val="en-US"/>
        </w:rPr>
        <w:t>Agudelo</w:t>
      </w:r>
      <w:proofErr w:type="spellEnd"/>
      <w:r w:rsidRPr="00251411">
        <w:rPr>
          <w:rFonts w:ascii="Times New Roman" w:hAnsi="Times New Roman" w:cs="Times New Roman"/>
          <w:sz w:val="24"/>
          <w:szCs w:val="24"/>
          <w:lang w:val="en-US"/>
        </w:rPr>
        <w:t xml:space="preserve">, N., </w:t>
      </w:r>
      <w:proofErr w:type="spellStart"/>
      <w:r w:rsidRPr="00251411">
        <w:rPr>
          <w:rFonts w:ascii="Times New Roman" w:hAnsi="Times New Roman" w:cs="Times New Roman"/>
          <w:sz w:val="24"/>
          <w:szCs w:val="24"/>
          <w:lang w:val="en-US"/>
        </w:rPr>
        <w:t>Ranwez</w:t>
      </w:r>
      <w:proofErr w:type="spellEnd"/>
      <w:r w:rsidRPr="00251411">
        <w:rPr>
          <w:rFonts w:ascii="Times New Roman" w:hAnsi="Times New Roman" w:cs="Times New Roman"/>
          <w:sz w:val="24"/>
          <w:szCs w:val="24"/>
          <w:lang w:val="en-US"/>
        </w:rPr>
        <w:t xml:space="preserve">, V., Boehm, J.T. &amp; Machida, R.J. (2013) A new versatile primer set targeting a short fragment of the mitochondrial COI region for metabarcoding metazoan diversity: application for characterizing coral reef fish gut contents. </w:t>
      </w:r>
      <w:r w:rsidRPr="00251411">
        <w:rPr>
          <w:rFonts w:ascii="Times New Roman" w:hAnsi="Times New Roman" w:cs="Times New Roman"/>
          <w:i/>
          <w:sz w:val="24"/>
          <w:szCs w:val="24"/>
          <w:lang w:val="en-US"/>
        </w:rPr>
        <w:t>Frontiers in Zoology</w:t>
      </w:r>
      <w:r w:rsidRPr="00251411">
        <w:rPr>
          <w:rFonts w:ascii="Times New Roman" w:hAnsi="Times New Roman" w:cs="Times New Roman"/>
          <w:sz w:val="24"/>
          <w:szCs w:val="24"/>
          <w:lang w:val="en-US"/>
        </w:rPr>
        <w:t xml:space="preserve">, </w:t>
      </w:r>
      <w:r w:rsidRPr="00251411">
        <w:rPr>
          <w:rFonts w:ascii="Times New Roman" w:hAnsi="Times New Roman" w:cs="Times New Roman"/>
          <w:b/>
          <w:sz w:val="24"/>
          <w:szCs w:val="24"/>
          <w:lang w:val="en-US"/>
        </w:rPr>
        <w:t>10</w:t>
      </w:r>
      <w:r w:rsidRPr="00251411">
        <w:rPr>
          <w:rFonts w:ascii="Times New Roman" w:hAnsi="Times New Roman" w:cs="Times New Roman"/>
          <w:sz w:val="24"/>
          <w:szCs w:val="24"/>
          <w:lang w:val="en-US"/>
        </w:rPr>
        <w:t>, 1-14.</w:t>
      </w:r>
    </w:p>
    <w:p w14:paraId="675F3300" w14:textId="77777777" w:rsidR="00ED2490" w:rsidRPr="00251411" w:rsidRDefault="00ED2490" w:rsidP="00251411">
      <w:pPr>
        <w:spacing w:line="480" w:lineRule="auto"/>
        <w:ind w:left="706" w:hanging="706"/>
        <w:jc w:val="both"/>
        <w:rPr>
          <w:rFonts w:ascii="Times New Roman" w:hAnsi="Times New Roman" w:cs="Times New Roman"/>
          <w:sz w:val="24"/>
          <w:szCs w:val="24"/>
          <w:lang w:val="en-US"/>
        </w:rPr>
      </w:pPr>
      <w:proofErr w:type="spellStart"/>
      <w:r w:rsidRPr="00251411">
        <w:rPr>
          <w:rFonts w:ascii="Times New Roman" w:hAnsi="Times New Roman" w:cs="Times New Roman"/>
          <w:sz w:val="24"/>
          <w:szCs w:val="24"/>
          <w:lang w:val="en-US"/>
        </w:rPr>
        <w:t>Leray</w:t>
      </w:r>
      <w:proofErr w:type="spellEnd"/>
      <w:r w:rsidRPr="00251411">
        <w:rPr>
          <w:rFonts w:ascii="Times New Roman" w:hAnsi="Times New Roman" w:cs="Times New Roman"/>
          <w:sz w:val="24"/>
          <w:szCs w:val="24"/>
          <w:lang w:val="en-US"/>
        </w:rPr>
        <w:t xml:space="preserve">, M., &amp; Knowlton, N. (2015). DNA barcoding and metabarcoding of standardized samples reveal patterns of marine benthic diversity. </w:t>
      </w:r>
      <w:r w:rsidRPr="00251411">
        <w:rPr>
          <w:rFonts w:ascii="Times New Roman" w:hAnsi="Times New Roman" w:cs="Times New Roman"/>
          <w:i/>
          <w:iCs/>
          <w:sz w:val="24"/>
          <w:szCs w:val="24"/>
          <w:lang w:val="en-US"/>
        </w:rPr>
        <w:t>Proceedings of the National Academy of Sciences</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112</w:t>
      </w:r>
      <w:r w:rsidRPr="00251411">
        <w:rPr>
          <w:rFonts w:ascii="Times New Roman" w:hAnsi="Times New Roman" w:cs="Times New Roman"/>
          <w:sz w:val="24"/>
          <w:szCs w:val="24"/>
          <w:lang w:val="en-US"/>
        </w:rPr>
        <w:t>(7), 2076-2081.</w:t>
      </w:r>
    </w:p>
    <w:p w14:paraId="4A34790A" w14:textId="77777777" w:rsidR="00ED2490" w:rsidRPr="00251411" w:rsidRDefault="00ED2490" w:rsidP="00251411">
      <w:pPr>
        <w:spacing w:line="480" w:lineRule="auto"/>
        <w:ind w:left="706" w:hanging="706"/>
        <w:jc w:val="both"/>
        <w:rPr>
          <w:rFonts w:ascii="Times New Roman" w:hAnsi="Times New Roman" w:cs="Times New Roman"/>
          <w:sz w:val="24"/>
          <w:szCs w:val="24"/>
        </w:rPr>
      </w:pPr>
      <w:r w:rsidRPr="00251411">
        <w:rPr>
          <w:rFonts w:ascii="Times New Roman" w:hAnsi="Times New Roman" w:cs="Times New Roman"/>
          <w:sz w:val="24"/>
          <w:szCs w:val="24"/>
          <w:lang w:val="en-US"/>
        </w:rPr>
        <w:lastRenderedPageBreak/>
        <w:t xml:space="preserve">Machida, R. J., &amp; Knowlton, N. (2012). PCR Primers for metazoan nuclear 18S and 28S ribosomal DNA sequences. </w:t>
      </w:r>
      <w:proofErr w:type="spellStart"/>
      <w:r w:rsidRPr="00251411">
        <w:rPr>
          <w:rFonts w:ascii="Times New Roman" w:hAnsi="Times New Roman" w:cs="Times New Roman"/>
          <w:i/>
          <w:iCs/>
          <w:sz w:val="24"/>
          <w:szCs w:val="24"/>
        </w:rPr>
        <w:t>PLoS</w:t>
      </w:r>
      <w:proofErr w:type="spellEnd"/>
      <w:r w:rsidRPr="00251411">
        <w:rPr>
          <w:rFonts w:ascii="Times New Roman" w:hAnsi="Times New Roman" w:cs="Times New Roman"/>
          <w:i/>
          <w:iCs/>
          <w:sz w:val="24"/>
          <w:szCs w:val="24"/>
        </w:rPr>
        <w:t xml:space="preserve"> </w:t>
      </w:r>
      <w:proofErr w:type="spellStart"/>
      <w:r w:rsidRPr="00251411">
        <w:rPr>
          <w:rFonts w:ascii="Times New Roman" w:hAnsi="Times New Roman" w:cs="Times New Roman"/>
          <w:i/>
          <w:iCs/>
          <w:sz w:val="24"/>
          <w:szCs w:val="24"/>
        </w:rPr>
        <w:t>one</w:t>
      </w:r>
      <w:proofErr w:type="spellEnd"/>
      <w:r w:rsidRPr="00251411">
        <w:rPr>
          <w:rFonts w:ascii="Times New Roman" w:hAnsi="Times New Roman" w:cs="Times New Roman"/>
          <w:sz w:val="24"/>
          <w:szCs w:val="24"/>
        </w:rPr>
        <w:t xml:space="preserve">, </w:t>
      </w:r>
      <w:r w:rsidRPr="00251411">
        <w:rPr>
          <w:rFonts w:ascii="Times New Roman" w:hAnsi="Times New Roman" w:cs="Times New Roman"/>
          <w:i/>
          <w:iCs/>
          <w:sz w:val="24"/>
          <w:szCs w:val="24"/>
        </w:rPr>
        <w:t>7</w:t>
      </w:r>
      <w:r w:rsidRPr="00251411">
        <w:rPr>
          <w:rFonts w:ascii="Times New Roman" w:hAnsi="Times New Roman" w:cs="Times New Roman"/>
          <w:sz w:val="24"/>
          <w:szCs w:val="24"/>
        </w:rPr>
        <w:t>(9), e46180.</w:t>
      </w:r>
    </w:p>
    <w:p w14:paraId="5A146001" w14:textId="77777777" w:rsidR="0056502B" w:rsidRPr="00251411" w:rsidRDefault="0056502B" w:rsidP="00251411">
      <w:pPr>
        <w:spacing w:after="0" w:line="480" w:lineRule="auto"/>
        <w:ind w:left="706" w:hanging="706"/>
        <w:jc w:val="both"/>
        <w:rPr>
          <w:rFonts w:ascii="Times New Roman" w:eastAsia="Times New Roman" w:hAnsi="Times New Roman" w:cs="Times New Roman"/>
          <w:sz w:val="24"/>
          <w:szCs w:val="24"/>
          <w:lang w:val="en-US"/>
        </w:rPr>
      </w:pPr>
      <w:proofErr w:type="spellStart"/>
      <w:r w:rsidRPr="00251411">
        <w:rPr>
          <w:rFonts w:ascii="Times New Roman" w:hAnsi="Times New Roman" w:cs="Times New Roman"/>
          <w:sz w:val="24"/>
          <w:szCs w:val="24"/>
        </w:rPr>
        <w:t>Morinière</w:t>
      </w:r>
      <w:proofErr w:type="spellEnd"/>
      <w:r w:rsidRPr="00251411">
        <w:rPr>
          <w:rFonts w:ascii="Times New Roman" w:hAnsi="Times New Roman" w:cs="Times New Roman"/>
          <w:sz w:val="24"/>
          <w:szCs w:val="24"/>
        </w:rPr>
        <w:t xml:space="preserve">, J., de </w:t>
      </w:r>
      <w:proofErr w:type="spellStart"/>
      <w:r w:rsidRPr="00251411">
        <w:rPr>
          <w:rFonts w:ascii="Times New Roman" w:hAnsi="Times New Roman" w:cs="Times New Roman"/>
          <w:sz w:val="24"/>
          <w:szCs w:val="24"/>
        </w:rPr>
        <w:t>Araujo</w:t>
      </w:r>
      <w:proofErr w:type="spellEnd"/>
      <w:r w:rsidRPr="00251411">
        <w:rPr>
          <w:rFonts w:ascii="Times New Roman" w:hAnsi="Times New Roman" w:cs="Times New Roman"/>
          <w:sz w:val="24"/>
          <w:szCs w:val="24"/>
        </w:rPr>
        <w:t xml:space="preserve">, B. C., Lam, A. W., Hausmann, A., Balke, M., Schmidt, S., ... </w:t>
      </w:r>
      <w:r w:rsidRPr="00251411">
        <w:rPr>
          <w:rFonts w:ascii="Times New Roman" w:hAnsi="Times New Roman" w:cs="Times New Roman"/>
          <w:sz w:val="24"/>
          <w:szCs w:val="24"/>
          <w:lang w:val="en-US"/>
        </w:rPr>
        <w:t xml:space="preserve">&amp; </w:t>
      </w:r>
      <w:proofErr w:type="spellStart"/>
      <w:r w:rsidRPr="00251411">
        <w:rPr>
          <w:rFonts w:ascii="Times New Roman" w:hAnsi="Times New Roman" w:cs="Times New Roman"/>
          <w:sz w:val="24"/>
          <w:szCs w:val="24"/>
          <w:lang w:val="en-US"/>
        </w:rPr>
        <w:t>Haszprunar</w:t>
      </w:r>
      <w:proofErr w:type="spellEnd"/>
      <w:r w:rsidRPr="00251411">
        <w:rPr>
          <w:rFonts w:ascii="Times New Roman" w:hAnsi="Times New Roman" w:cs="Times New Roman"/>
          <w:sz w:val="24"/>
          <w:szCs w:val="24"/>
          <w:lang w:val="en-US"/>
        </w:rPr>
        <w:t xml:space="preserve">, G. (2016). Species Identification in Malaise Trap Samples by DNA Barcoding Based on NGS Technologies and a Scoring Matrix. </w:t>
      </w:r>
      <w:proofErr w:type="spellStart"/>
      <w:r w:rsidRPr="00251411">
        <w:rPr>
          <w:rFonts w:ascii="Times New Roman" w:hAnsi="Times New Roman" w:cs="Times New Roman"/>
          <w:i/>
          <w:iCs/>
          <w:sz w:val="24"/>
          <w:szCs w:val="24"/>
          <w:lang w:val="en-US"/>
        </w:rPr>
        <w:t>PloS</w:t>
      </w:r>
      <w:proofErr w:type="spellEnd"/>
      <w:r w:rsidRPr="00251411">
        <w:rPr>
          <w:rFonts w:ascii="Times New Roman" w:hAnsi="Times New Roman" w:cs="Times New Roman"/>
          <w:i/>
          <w:iCs/>
          <w:sz w:val="24"/>
          <w:szCs w:val="24"/>
          <w:lang w:val="en-US"/>
        </w:rPr>
        <w:t xml:space="preserve"> one</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11</w:t>
      </w:r>
      <w:r w:rsidRPr="00251411">
        <w:rPr>
          <w:rFonts w:ascii="Times New Roman" w:hAnsi="Times New Roman" w:cs="Times New Roman"/>
          <w:sz w:val="24"/>
          <w:szCs w:val="24"/>
          <w:lang w:val="en-US"/>
        </w:rPr>
        <w:t>(5), e0155497.</w:t>
      </w:r>
    </w:p>
    <w:p w14:paraId="5AB3EB5E" w14:textId="77777777" w:rsidR="00EC1B15" w:rsidRPr="00251411" w:rsidRDefault="00EC1B15" w:rsidP="00251411">
      <w:pPr>
        <w:spacing w:after="0" w:line="480" w:lineRule="auto"/>
        <w:ind w:left="706" w:hanging="706"/>
        <w:jc w:val="both"/>
        <w:rPr>
          <w:rFonts w:ascii="Times New Roman" w:eastAsia="Times New Roman" w:hAnsi="Times New Roman" w:cs="Times New Roman"/>
          <w:sz w:val="24"/>
          <w:szCs w:val="24"/>
          <w:lang w:val="en-US"/>
        </w:rPr>
      </w:pPr>
      <w:r w:rsidRPr="00251411">
        <w:rPr>
          <w:rFonts w:ascii="Times New Roman" w:hAnsi="Times New Roman" w:cs="Times New Roman"/>
          <w:sz w:val="24"/>
          <w:szCs w:val="24"/>
          <w:lang w:val="en-US"/>
        </w:rPr>
        <w:t xml:space="preserve">Nilsson, R. H., </w:t>
      </w:r>
      <w:proofErr w:type="spellStart"/>
      <w:r w:rsidRPr="00251411">
        <w:rPr>
          <w:rFonts w:ascii="Times New Roman" w:hAnsi="Times New Roman" w:cs="Times New Roman"/>
          <w:sz w:val="24"/>
          <w:szCs w:val="24"/>
          <w:lang w:val="en-US"/>
        </w:rPr>
        <w:t>Ryberg</w:t>
      </w:r>
      <w:proofErr w:type="spellEnd"/>
      <w:r w:rsidRPr="00251411">
        <w:rPr>
          <w:rFonts w:ascii="Times New Roman" w:hAnsi="Times New Roman" w:cs="Times New Roman"/>
          <w:sz w:val="24"/>
          <w:szCs w:val="24"/>
          <w:lang w:val="en-US"/>
        </w:rPr>
        <w:t xml:space="preserve">, M., </w:t>
      </w:r>
      <w:proofErr w:type="spellStart"/>
      <w:r w:rsidRPr="00251411">
        <w:rPr>
          <w:rFonts w:ascii="Times New Roman" w:hAnsi="Times New Roman" w:cs="Times New Roman"/>
          <w:sz w:val="24"/>
          <w:szCs w:val="24"/>
          <w:lang w:val="en-US"/>
        </w:rPr>
        <w:t>Abarenkov</w:t>
      </w:r>
      <w:proofErr w:type="spellEnd"/>
      <w:r w:rsidRPr="00251411">
        <w:rPr>
          <w:rFonts w:ascii="Times New Roman" w:hAnsi="Times New Roman" w:cs="Times New Roman"/>
          <w:sz w:val="24"/>
          <w:szCs w:val="24"/>
          <w:lang w:val="en-US"/>
        </w:rPr>
        <w:t xml:space="preserve">, K., </w:t>
      </w:r>
      <w:proofErr w:type="spellStart"/>
      <w:r w:rsidRPr="00251411">
        <w:rPr>
          <w:rFonts w:ascii="Times New Roman" w:hAnsi="Times New Roman" w:cs="Times New Roman"/>
          <w:sz w:val="24"/>
          <w:szCs w:val="24"/>
          <w:lang w:val="en-US"/>
        </w:rPr>
        <w:t>Sjökvist</w:t>
      </w:r>
      <w:proofErr w:type="spellEnd"/>
      <w:r w:rsidRPr="00251411">
        <w:rPr>
          <w:rFonts w:ascii="Times New Roman" w:hAnsi="Times New Roman" w:cs="Times New Roman"/>
          <w:sz w:val="24"/>
          <w:szCs w:val="24"/>
          <w:lang w:val="en-US"/>
        </w:rPr>
        <w:t xml:space="preserve">, E., &amp; </w:t>
      </w:r>
      <w:proofErr w:type="spellStart"/>
      <w:r w:rsidRPr="00251411">
        <w:rPr>
          <w:rFonts w:ascii="Times New Roman" w:hAnsi="Times New Roman" w:cs="Times New Roman"/>
          <w:sz w:val="24"/>
          <w:szCs w:val="24"/>
          <w:lang w:val="en-US"/>
        </w:rPr>
        <w:t>Kristiansson</w:t>
      </w:r>
      <w:proofErr w:type="spellEnd"/>
      <w:r w:rsidRPr="00251411">
        <w:rPr>
          <w:rFonts w:ascii="Times New Roman" w:hAnsi="Times New Roman" w:cs="Times New Roman"/>
          <w:sz w:val="24"/>
          <w:szCs w:val="24"/>
          <w:lang w:val="en-US"/>
        </w:rPr>
        <w:t xml:space="preserve">, E. (2009). The ITS region as a target for characterization of fungal communities using emerging sequencing technologies. </w:t>
      </w:r>
      <w:r w:rsidRPr="00251411">
        <w:rPr>
          <w:rFonts w:ascii="Times New Roman" w:hAnsi="Times New Roman" w:cs="Times New Roman"/>
          <w:i/>
          <w:iCs/>
          <w:sz w:val="24"/>
          <w:szCs w:val="24"/>
          <w:lang w:val="en-US"/>
        </w:rPr>
        <w:t>FEMS Microbiology Letters</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296</w:t>
      </w:r>
      <w:r w:rsidRPr="00251411">
        <w:rPr>
          <w:rFonts w:ascii="Times New Roman" w:hAnsi="Times New Roman" w:cs="Times New Roman"/>
          <w:sz w:val="24"/>
          <w:szCs w:val="24"/>
          <w:lang w:val="en-US"/>
        </w:rPr>
        <w:t>(1), 97-101.</w:t>
      </w:r>
    </w:p>
    <w:p w14:paraId="4359494B" w14:textId="77777777" w:rsidR="00ED2490" w:rsidRPr="00251411" w:rsidRDefault="00ED2490" w:rsidP="00251411">
      <w:pPr>
        <w:spacing w:after="0" w:line="480" w:lineRule="auto"/>
        <w:ind w:left="706" w:hanging="706"/>
        <w:jc w:val="both"/>
        <w:rPr>
          <w:rFonts w:ascii="Times New Roman" w:eastAsia="Times New Roman" w:hAnsi="Times New Roman" w:cs="Times New Roman"/>
          <w:sz w:val="24"/>
          <w:szCs w:val="24"/>
        </w:rPr>
      </w:pPr>
      <w:proofErr w:type="spellStart"/>
      <w:r w:rsidRPr="00251411">
        <w:rPr>
          <w:rFonts w:ascii="Times New Roman" w:eastAsia="Times New Roman" w:hAnsi="Times New Roman" w:cs="Times New Roman"/>
          <w:sz w:val="24"/>
          <w:szCs w:val="24"/>
          <w:lang w:val="en-US"/>
        </w:rPr>
        <w:t>Palumbi</w:t>
      </w:r>
      <w:proofErr w:type="spellEnd"/>
      <w:r w:rsidRPr="00251411">
        <w:rPr>
          <w:rFonts w:ascii="Times New Roman" w:eastAsia="Times New Roman" w:hAnsi="Times New Roman" w:cs="Times New Roman"/>
          <w:sz w:val="24"/>
          <w:szCs w:val="24"/>
          <w:lang w:val="en-US"/>
        </w:rPr>
        <w:t xml:space="preserve">, S. R., Martin, A., Romano, S., McMillan, W. O., </w:t>
      </w:r>
      <w:proofErr w:type="spellStart"/>
      <w:r w:rsidRPr="00251411">
        <w:rPr>
          <w:rFonts w:ascii="Times New Roman" w:eastAsia="Times New Roman" w:hAnsi="Times New Roman" w:cs="Times New Roman"/>
          <w:sz w:val="24"/>
          <w:szCs w:val="24"/>
          <w:lang w:val="en-US"/>
        </w:rPr>
        <w:t>Stice</w:t>
      </w:r>
      <w:proofErr w:type="spellEnd"/>
      <w:r w:rsidRPr="00251411">
        <w:rPr>
          <w:rFonts w:ascii="Times New Roman" w:eastAsia="Times New Roman" w:hAnsi="Times New Roman" w:cs="Times New Roman"/>
          <w:sz w:val="24"/>
          <w:szCs w:val="24"/>
          <w:lang w:val="en-US"/>
        </w:rPr>
        <w:t xml:space="preserve">, L. &amp; Grabowski, G. (1991). The Simple Fool's Guide to PCR, Version 2.0. Privately published, Univ. </w:t>
      </w:r>
      <w:r w:rsidRPr="00251411">
        <w:rPr>
          <w:rFonts w:ascii="Times New Roman" w:eastAsia="Times New Roman" w:hAnsi="Times New Roman" w:cs="Times New Roman"/>
          <w:sz w:val="24"/>
          <w:szCs w:val="24"/>
        </w:rPr>
        <w:t>Hawaii</w:t>
      </w:r>
    </w:p>
    <w:p w14:paraId="535D9B69" w14:textId="77777777" w:rsidR="00971F41" w:rsidRPr="00251411" w:rsidRDefault="00971F41"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rPr>
        <w:t xml:space="preserve">Piotrowski, A., Bruder, C. E., Andersson, R., de </w:t>
      </w:r>
      <w:proofErr w:type="spellStart"/>
      <w:r w:rsidRPr="00251411">
        <w:rPr>
          <w:rFonts w:ascii="Times New Roman" w:hAnsi="Times New Roman" w:cs="Times New Roman"/>
          <w:sz w:val="24"/>
          <w:szCs w:val="24"/>
        </w:rPr>
        <w:t>Ståhl</w:t>
      </w:r>
      <w:proofErr w:type="spellEnd"/>
      <w:r w:rsidRPr="00251411">
        <w:rPr>
          <w:rFonts w:ascii="Times New Roman" w:hAnsi="Times New Roman" w:cs="Times New Roman"/>
          <w:sz w:val="24"/>
          <w:szCs w:val="24"/>
        </w:rPr>
        <w:t xml:space="preserve">, T. D., Menzel, U., </w:t>
      </w:r>
      <w:proofErr w:type="spellStart"/>
      <w:r w:rsidRPr="00251411">
        <w:rPr>
          <w:rFonts w:ascii="Times New Roman" w:hAnsi="Times New Roman" w:cs="Times New Roman"/>
          <w:sz w:val="24"/>
          <w:szCs w:val="24"/>
        </w:rPr>
        <w:t>Sandgren</w:t>
      </w:r>
      <w:proofErr w:type="spellEnd"/>
      <w:r w:rsidRPr="00251411">
        <w:rPr>
          <w:rFonts w:ascii="Times New Roman" w:hAnsi="Times New Roman" w:cs="Times New Roman"/>
          <w:sz w:val="24"/>
          <w:szCs w:val="24"/>
        </w:rPr>
        <w:t xml:space="preserve">, J., ... </w:t>
      </w:r>
      <w:r w:rsidRPr="00251411">
        <w:rPr>
          <w:rFonts w:ascii="Times New Roman" w:hAnsi="Times New Roman" w:cs="Times New Roman"/>
          <w:sz w:val="24"/>
          <w:szCs w:val="24"/>
          <w:lang w:val="en-US"/>
        </w:rPr>
        <w:t xml:space="preserve">&amp; Bartoszewski, R. (2008). Somatic mosaicism for copy number variation in differentiated human tissues. </w:t>
      </w:r>
      <w:r w:rsidRPr="00251411">
        <w:rPr>
          <w:rFonts w:ascii="Times New Roman" w:hAnsi="Times New Roman" w:cs="Times New Roman"/>
          <w:i/>
          <w:iCs/>
          <w:sz w:val="24"/>
          <w:szCs w:val="24"/>
          <w:lang w:val="en-US"/>
        </w:rPr>
        <w:t>Human mutation</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29</w:t>
      </w:r>
      <w:r w:rsidRPr="00251411">
        <w:rPr>
          <w:rFonts w:ascii="Times New Roman" w:hAnsi="Times New Roman" w:cs="Times New Roman"/>
          <w:sz w:val="24"/>
          <w:szCs w:val="24"/>
          <w:lang w:val="en-US"/>
        </w:rPr>
        <w:t>(9), 1118-1124.</w:t>
      </w:r>
    </w:p>
    <w:p w14:paraId="491FEAD4" w14:textId="77777777" w:rsidR="00ED2490" w:rsidRPr="00251411" w:rsidRDefault="00ED2490" w:rsidP="00251411">
      <w:pPr>
        <w:spacing w:line="480" w:lineRule="auto"/>
        <w:ind w:left="706" w:hanging="706"/>
        <w:jc w:val="both"/>
        <w:rPr>
          <w:rFonts w:ascii="Times New Roman" w:hAnsi="Times New Roman" w:cs="Times New Roman"/>
          <w:b/>
          <w:sz w:val="24"/>
          <w:szCs w:val="24"/>
          <w:lang w:val="en-US"/>
        </w:rPr>
      </w:pPr>
      <w:proofErr w:type="spellStart"/>
      <w:r w:rsidRPr="00251411">
        <w:rPr>
          <w:rFonts w:ascii="Times New Roman" w:hAnsi="Times New Roman" w:cs="Times New Roman"/>
          <w:sz w:val="24"/>
          <w:szCs w:val="24"/>
          <w:lang w:val="en-US"/>
        </w:rPr>
        <w:t>Ratnasingham</w:t>
      </w:r>
      <w:proofErr w:type="spellEnd"/>
      <w:r w:rsidRPr="00251411">
        <w:rPr>
          <w:rFonts w:ascii="Times New Roman" w:hAnsi="Times New Roman" w:cs="Times New Roman"/>
          <w:sz w:val="24"/>
          <w:szCs w:val="24"/>
          <w:lang w:val="en-US"/>
        </w:rPr>
        <w:t xml:space="preserve">, S., &amp; Hebert, P. D. (2007). BOLD: The Barcode of Life Data System (http://www. </w:t>
      </w:r>
      <w:proofErr w:type="spellStart"/>
      <w:r w:rsidRPr="00251411">
        <w:rPr>
          <w:rFonts w:ascii="Times New Roman" w:hAnsi="Times New Roman" w:cs="Times New Roman"/>
          <w:sz w:val="24"/>
          <w:szCs w:val="24"/>
          <w:lang w:val="en-US"/>
        </w:rPr>
        <w:t>barcodinglife</w:t>
      </w:r>
      <w:proofErr w:type="spellEnd"/>
      <w:r w:rsidRPr="00251411">
        <w:rPr>
          <w:rFonts w:ascii="Times New Roman" w:hAnsi="Times New Roman" w:cs="Times New Roman"/>
          <w:sz w:val="24"/>
          <w:szCs w:val="24"/>
          <w:lang w:val="en-US"/>
        </w:rPr>
        <w:t xml:space="preserve">. org). </w:t>
      </w:r>
      <w:r w:rsidRPr="00251411">
        <w:rPr>
          <w:rFonts w:ascii="Times New Roman" w:hAnsi="Times New Roman" w:cs="Times New Roman"/>
          <w:i/>
          <w:iCs/>
          <w:sz w:val="24"/>
          <w:szCs w:val="24"/>
          <w:lang w:val="en-US"/>
        </w:rPr>
        <w:t>Molecular ecology notes</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7</w:t>
      </w:r>
      <w:r w:rsidRPr="00251411">
        <w:rPr>
          <w:rFonts w:ascii="Times New Roman" w:hAnsi="Times New Roman" w:cs="Times New Roman"/>
          <w:sz w:val="24"/>
          <w:szCs w:val="24"/>
          <w:lang w:val="en-US"/>
        </w:rPr>
        <w:t>(3), 355-364.</w:t>
      </w:r>
    </w:p>
    <w:p w14:paraId="68809F21" w14:textId="77777777" w:rsidR="000B56AF" w:rsidRPr="00251411" w:rsidRDefault="000B56AF" w:rsidP="00251411">
      <w:pPr>
        <w:spacing w:line="480" w:lineRule="auto"/>
        <w:ind w:left="706" w:hanging="706"/>
        <w:jc w:val="both"/>
        <w:rPr>
          <w:rFonts w:ascii="Times New Roman" w:hAnsi="Times New Roman" w:cs="Times New Roman"/>
          <w:sz w:val="28"/>
          <w:szCs w:val="24"/>
          <w:lang w:val="en-US"/>
        </w:rPr>
      </w:pPr>
      <w:r w:rsidRPr="00251411">
        <w:rPr>
          <w:rFonts w:ascii="Times New Roman" w:hAnsi="Times New Roman" w:cs="Times New Roman"/>
          <w:sz w:val="24"/>
          <w:lang w:val="en-US"/>
        </w:rPr>
        <w:t xml:space="preserve">Rogers, S. O., &amp; </w:t>
      </w:r>
      <w:proofErr w:type="spellStart"/>
      <w:r w:rsidRPr="00251411">
        <w:rPr>
          <w:rFonts w:ascii="Times New Roman" w:hAnsi="Times New Roman" w:cs="Times New Roman"/>
          <w:sz w:val="24"/>
          <w:lang w:val="en-US"/>
        </w:rPr>
        <w:t>Bendich</w:t>
      </w:r>
      <w:proofErr w:type="spellEnd"/>
      <w:r w:rsidRPr="00251411">
        <w:rPr>
          <w:rFonts w:ascii="Times New Roman" w:hAnsi="Times New Roman" w:cs="Times New Roman"/>
          <w:sz w:val="24"/>
          <w:lang w:val="en-US"/>
        </w:rPr>
        <w:t xml:space="preserve">, A. J. (1987). Ribosomal RNA genes in plants: variability in copy number and in the intergenic spacer. </w:t>
      </w:r>
      <w:r w:rsidRPr="00251411">
        <w:rPr>
          <w:rFonts w:ascii="Times New Roman" w:hAnsi="Times New Roman" w:cs="Times New Roman"/>
          <w:i/>
          <w:iCs/>
          <w:sz w:val="24"/>
          <w:lang w:val="en-US"/>
        </w:rPr>
        <w:t>Plant Molecular Biology</w:t>
      </w:r>
      <w:r w:rsidRPr="00251411">
        <w:rPr>
          <w:rFonts w:ascii="Times New Roman" w:hAnsi="Times New Roman" w:cs="Times New Roman"/>
          <w:sz w:val="24"/>
          <w:lang w:val="en-US"/>
        </w:rPr>
        <w:t xml:space="preserve">, </w:t>
      </w:r>
      <w:r w:rsidRPr="00251411">
        <w:rPr>
          <w:rFonts w:ascii="Times New Roman" w:hAnsi="Times New Roman" w:cs="Times New Roman"/>
          <w:i/>
          <w:iCs/>
          <w:sz w:val="24"/>
          <w:lang w:val="en-US"/>
        </w:rPr>
        <w:t>9</w:t>
      </w:r>
      <w:r w:rsidRPr="00251411">
        <w:rPr>
          <w:rFonts w:ascii="Times New Roman" w:hAnsi="Times New Roman" w:cs="Times New Roman"/>
          <w:sz w:val="24"/>
          <w:lang w:val="en-US"/>
        </w:rPr>
        <w:t>(5), 509-520.</w:t>
      </w:r>
    </w:p>
    <w:p w14:paraId="2965A635" w14:textId="77777777" w:rsidR="002542E7" w:rsidRPr="00251411" w:rsidRDefault="002542E7" w:rsidP="00251411">
      <w:pPr>
        <w:spacing w:line="480" w:lineRule="auto"/>
        <w:ind w:left="706" w:hanging="706"/>
        <w:jc w:val="both"/>
        <w:rPr>
          <w:rFonts w:ascii="Times New Roman" w:hAnsi="Times New Roman" w:cs="Times New Roman"/>
          <w:sz w:val="24"/>
          <w:szCs w:val="24"/>
          <w:lang w:val="en-US"/>
        </w:rPr>
      </w:pPr>
      <w:proofErr w:type="spellStart"/>
      <w:r w:rsidRPr="00251411">
        <w:rPr>
          <w:rFonts w:ascii="Times New Roman" w:hAnsi="Times New Roman" w:cs="Times New Roman"/>
          <w:sz w:val="24"/>
          <w:szCs w:val="24"/>
          <w:lang w:val="en-US"/>
        </w:rPr>
        <w:t>Shokralla</w:t>
      </w:r>
      <w:proofErr w:type="spellEnd"/>
      <w:r w:rsidRPr="00251411">
        <w:rPr>
          <w:rFonts w:ascii="Times New Roman" w:hAnsi="Times New Roman" w:cs="Times New Roman"/>
          <w:sz w:val="24"/>
          <w:szCs w:val="24"/>
          <w:lang w:val="en-US"/>
        </w:rPr>
        <w:t xml:space="preserve">, S., Spall, J. L., Gibson, J. F., &amp; </w:t>
      </w:r>
      <w:proofErr w:type="spellStart"/>
      <w:r w:rsidRPr="00251411">
        <w:rPr>
          <w:rFonts w:ascii="Times New Roman" w:hAnsi="Times New Roman" w:cs="Times New Roman"/>
          <w:sz w:val="24"/>
          <w:szCs w:val="24"/>
          <w:lang w:val="en-US"/>
        </w:rPr>
        <w:t>Hajibabaei</w:t>
      </w:r>
      <w:proofErr w:type="spellEnd"/>
      <w:r w:rsidRPr="00251411">
        <w:rPr>
          <w:rFonts w:ascii="Times New Roman" w:hAnsi="Times New Roman" w:cs="Times New Roman"/>
          <w:sz w:val="24"/>
          <w:szCs w:val="24"/>
          <w:lang w:val="en-US"/>
        </w:rPr>
        <w:t>, M. (2012). Next</w:t>
      </w:r>
      <w:r w:rsidRPr="00251411">
        <w:rPr>
          <w:rFonts w:ascii="Cambria Math" w:hAnsi="Cambria Math" w:cs="Cambria Math"/>
          <w:sz w:val="24"/>
          <w:szCs w:val="24"/>
          <w:lang w:val="en-US"/>
        </w:rPr>
        <w:t>‐</w:t>
      </w:r>
      <w:r w:rsidRPr="00251411">
        <w:rPr>
          <w:rFonts w:ascii="Times New Roman" w:hAnsi="Times New Roman" w:cs="Times New Roman"/>
          <w:sz w:val="24"/>
          <w:szCs w:val="24"/>
          <w:lang w:val="en-US"/>
        </w:rPr>
        <w:t xml:space="preserve">generation sequencing technologies for environmental DNA research. </w:t>
      </w:r>
      <w:r w:rsidRPr="00251411">
        <w:rPr>
          <w:rFonts w:ascii="Times New Roman" w:hAnsi="Times New Roman" w:cs="Times New Roman"/>
          <w:i/>
          <w:iCs/>
          <w:sz w:val="24"/>
          <w:szCs w:val="24"/>
          <w:lang w:val="en-US"/>
        </w:rPr>
        <w:t>Molecular ecology</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21</w:t>
      </w:r>
      <w:r w:rsidRPr="00251411">
        <w:rPr>
          <w:rFonts w:ascii="Times New Roman" w:hAnsi="Times New Roman" w:cs="Times New Roman"/>
          <w:sz w:val="24"/>
          <w:szCs w:val="24"/>
          <w:lang w:val="en-US"/>
        </w:rPr>
        <w:t>(8), 1794-1805.</w:t>
      </w:r>
    </w:p>
    <w:p w14:paraId="3BA60457" w14:textId="77777777" w:rsidR="00ED2490" w:rsidRPr="00251411" w:rsidRDefault="00ED2490" w:rsidP="00251411">
      <w:pPr>
        <w:spacing w:line="480" w:lineRule="auto"/>
        <w:ind w:left="706" w:hanging="706"/>
        <w:jc w:val="both"/>
        <w:rPr>
          <w:rFonts w:ascii="Times New Roman" w:hAnsi="Times New Roman" w:cs="Times New Roman"/>
          <w:sz w:val="24"/>
          <w:szCs w:val="24"/>
          <w:lang w:val="en-US"/>
        </w:rPr>
      </w:pPr>
      <w:proofErr w:type="spellStart"/>
      <w:r w:rsidRPr="00251411">
        <w:rPr>
          <w:rFonts w:ascii="Times New Roman" w:hAnsi="Times New Roman" w:cs="Times New Roman"/>
          <w:sz w:val="24"/>
          <w:szCs w:val="24"/>
        </w:rPr>
        <w:t>Shokralla</w:t>
      </w:r>
      <w:proofErr w:type="spellEnd"/>
      <w:r w:rsidRPr="00251411">
        <w:rPr>
          <w:rFonts w:ascii="Times New Roman" w:hAnsi="Times New Roman" w:cs="Times New Roman"/>
          <w:sz w:val="24"/>
          <w:szCs w:val="24"/>
        </w:rPr>
        <w:t xml:space="preserve">, S., Porter, T. M., Gibson, J. F., </w:t>
      </w:r>
      <w:proofErr w:type="spellStart"/>
      <w:r w:rsidRPr="00251411">
        <w:rPr>
          <w:rFonts w:ascii="Times New Roman" w:hAnsi="Times New Roman" w:cs="Times New Roman"/>
          <w:sz w:val="24"/>
          <w:szCs w:val="24"/>
        </w:rPr>
        <w:t>Dobosz</w:t>
      </w:r>
      <w:proofErr w:type="spellEnd"/>
      <w:r w:rsidRPr="00251411">
        <w:rPr>
          <w:rFonts w:ascii="Times New Roman" w:hAnsi="Times New Roman" w:cs="Times New Roman"/>
          <w:sz w:val="24"/>
          <w:szCs w:val="24"/>
        </w:rPr>
        <w:t xml:space="preserve">, R., Janzen, D. H., Hallwachs, W., ... </w:t>
      </w:r>
      <w:r w:rsidRPr="00251411">
        <w:rPr>
          <w:rFonts w:ascii="Times New Roman" w:hAnsi="Times New Roman" w:cs="Times New Roman"/>
          <w:sz w:val="24"/>
          <w:szCs w:val="24"/>
          <w:lang w:val="en-US"/>
        </w:rPr>
        <w:t xml:space="preserve">&amp; </w:t>
      </w:r>
      <w:proofErr w:type="spellStart"/>
      <w:r w:rsidRPr="00251411">
        <w:rPr>
          <w:rFonts w:ascii="Times New Roman" w:hAnsi="Times New Roman" w:cs="Times New Roman"/>
          <w:sz w:val="24"/>
          <w:szCs w:val="24"/>
          <w:lang w:val="en-US"/>
        </w:rPr>
        <w:t>Hajibabaei</w:t>
      </w:r>
      <w:proofErr w:type="spellEnd"/>
      <w:r w:rsidRPr="00251411">
        <w:rPr>
          <w:rFonts w:ascii="Times New Roman" w:hAnsi="Times New Roman" w:cs="Times New Roman"/>
          <w:sz w:val="24"/>
          <w:szCs w:val="24"/>
          <w:lang w:val="en-US"/>
        </w:rPr>
        <w:t xml:space="preserve">, M. (2015). Massively parallel multiplex DNA sequencing for specimen identification using an Illumina MiSeq platform. </w:t>
      </w:r>
      <w:r w:rsidRPr="00251411">
        <w:rPr>
          <w:rFonts w:ascii="Times New Roman" w:hAnsi="Times New Roman" w:cs="Times New Roman"/>
          <w:i/>
          <w:iCs/>
          <w:sz w:val="24"/>
          <w:szCs w:val="24"/>
          <w:lang w:val="en-US"/>
        </w:rPr>
        <w:t>Scientific reports</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5</w:t>
      </w:r>
      <w:r w:rsidRPr="00251411">
        <w:rPr>
          <w:rFonts w:ascii="Times New Roman" w:hAnsi="Times New Roman" w:cs="Times New Roman"/>
          <w:sz w:val="24"/>
          <w:szCs w:val="24"/>
          <w:lang w:val="en-US"/>
        </w:rPr>
        <w:t>.</w:t>
      </w:r>
    </w:p>
    <w:p w14:paraId="6880B4B5" w14:textId="77777777" w:rsidR="004D0550" w:rsidRPr="00251411" w:rsidRDefault="004D0550" w:rsidP="00251411">
      <w:pPr>
        <w:spacing w:line="480" w:lineRule="auto"/>
        <w:ind w:left="706" w:hanging="706"/>
        <w:jc w:val="both"/>
        <w:rPr>
          <w:rFonts w:ascii="Times New Roman" w:hAnsi="Times New Roman" w:cs="Times New Roman"/>
          <w:sz w:val="24"/>
          <w:szCs w:val="24"/>
          <w:lang w:val="en-US"/>
        </w:rPr>
      </w:pPr>
    </w:p>
    <w:p w14:paraId="296FF6B9" w14:textId="055AC163" w:rsidR="004D0550" w:rsidRPr="000C2509" w:rsidRDefault="004D0550" w:rsidP="00251411">
      <w:pPr>
        <w:spacing w:line="480" w:lineRule="auto"/>
        <w:ind w:left="706" w:hanging="706"/>
        <w:jc w:val="both"/>
        <w:rPr>
          <w:rFonts w:ascii="Times New Roman" w:eastAsia="Times New Roman" w:hAnsi="Times New Roman" w:cs="Times New Roman"/>
          <w:sz w:val="24"/>
          <w:szCs w:val="24"/>
          <w:lang w:val="en-US"/>
        </w:rPr>
      </w:pPr>
      <w:proofErr w:type="spellStart"/>
      <w:r w:rsidRPr="000C2509">
        <w:rPr>
          <w:rFonts w:ascii="Times New Roman" w:eastAsia="Times New Roman" w:hAnsi="Times New Roman" w:cs="Times New Roman"/>
          <w:sz w:val="24"/>
          <w:szCs w:val="24"/>
          <w:lang w:val="en-US"/>
        </w:rPr>
        <w:lastRenderedPageBreak/>
        <w:t>Sohn</w:t>
      </w:r>
      <w:proofErr w:type="spellEnd"/>
      <w:r w:rsidRPr="000C2509">
        <w:rPr>
          <w:rFonts w:ascii="Times New Roman" w:eastAsia="Times New Roman" w:hAnsi="Times New Roman" w:cs="Times New Roman"/>
          <w:sz w:val="24"/>
          <w:szCs w:val="24"/>
          <w:lang w:val="en-US"/>
        </w:rPr>
        <w:t xml:space="preserve">, Michael B., </w:t>
      </w:r>
      <w:proofErr w:type="spellStart"/>
      <w:r w:rsidRPr="000C2509">
        <w:rPr>
          <w:rFonts w:ascii="Times New Roman" w:eastAsia="Times New Roman" w:hAnsi="Times New Roman" w:cs="Times New Roman"/>
          <w:sz w:val="24"/>
          <w:szCs w:val="24"/>
          <w:lang w:val="en-US"/>
        </w:rPr>
        <w:t>Lingling</w:t>
      </w:r>
      <w:proofErr w:type="spellEnd"/>
      <w:r w:rsidRPr="000C2509">
        <w:rPr>
          <w:rFonts w:ascii="Times New Roman" w:eastAsia="Times New Roman" w:hAnsi="Times New Roman" w:cs="Times New Roman"/>
          <w:sz w:val="24"/>
          <w:szCs w:val="24"/>
          <w:lang w:val="en-US"/>
        </w:rPr>
        <w:t xml:space="preserve"> </w:t>
      </w:r>
      <w:proofErr w:type="gramStart"/>
      <w:r w:rsidRPr="000C2509">
        <w:rPr>
          <w:rFonts w:ascii="Times New Roman" w:eastAsia="Times New Roman" w:hAnsi="Times New Roman" w:cs="Times New Roman"/>
          <w:sz w:val="24"/>
          <w:szCs w:val="24"/>
          <w:lang w:val="en-US"/>
        </w:rPr>
        <w:t>An</w:t>
      </w:r>
      <w:proofErr w:type="gramEnd"/>
      <w:r w:rsidRPr="000C2509">
        <w:rPr>
          <w:rFonts w:ascii="Times New Roman" w:eastAsia="Times New Roman" w:hAnsi="Times New Roman" w:cs="Times New Roman"/>
          <w:sz w:val="24"/>
          <w:szCs w:val="24"/>
          <w:lang w:val="en-US"/>
        </w:rPr>
        <w:t xml:space="preserve">, </w:t>
      </w:r>
      <w:proofErr w:type="spellStart"/>
      <w:r w:rsidRPr="000C2509">
        <w:rPr>
          <w:rFonts w:ascii="Times New Roman" w:eastAsia="Times New Roman" w:hAnsi="Times New Roman" w:cs="Times New Roman"/>
          <w:sz w:val="24"/>
          <w:szCs w:val="24"/>
          <w:lang w:val="en-US"/>
        </w:rPr>
        <w:t>Naruekamol</w:t>
      </w:r>
      <w:proofErr w:type="spellEnd"/>
      <w:r w:rsidRPr="000C2509">
        <w:rPr>
          <w:rFonts w:ascii="Times New Roman" w:eastAsia="Times New Roman" w:hAnsi="Times New Roman" w:cs="Times New Roman"/>
          <w:sz w:val="24"/>
          <w:szCs w:val="24"/>
          <w:lang w:val="en-US"/>
        </w:rPr>
        <w:t xml:space="preserve"> </w:t>
      </w:r>
      <w:proofErr w:type="spellStart"/>
      <w:r w:rsidRPr="000C2509">
        <w:rPr>
          <w:rFonts w:ascii="Times New Roman" w:eastAsia="Times New Roman" w:hAnsi="Times New Roman" w:cs="Times New Roman"/>
          <w:sz w:val="24"/>
          <w:szCs w:val="24"/>
          <w:lang w:val="en-US"/>
        </w:rPr>
        <w:t>Pookhao</w:t>
      </w:r>
      <w:proofErr w:type="spellEnd"/>
      <w:r w:rsidRPr="000C2509">
        <w:rPr>
          <w:rFonts w:ascii="Times New Roman" w:eastAsia="Times New Roman" w:hAnsi="Times New Roman" w:cs="Times New Roman"/>
          <w:sz w:val="24"/>
          <w:szCs w:val="24"/>
          <w:lang w:val="en-US"/>
        </w:rPr>
        <w:t xml:space="preserve">, und </w:t>
      </w:r>
      <w:proofErr w:type="spellStart"/>
      <w:r w:rsidRPr="000C2509">
        <w:rPr>
          <w:rFonts w:ascii="Times New Roman" w:eastAsia="Times New Roman" w:hAnsi="Times New Roman" w:cs="Times New Roman"/>
          <w:sz w:val="24"/>
          <w:szCs w:val="24"/>
          <w:lang w:val="en-US"/>
        </w:rPr>
        <w:t>Qike</w:t>
      </w:r>
      <w:proofErr w:type="spellEnd"/>
      <w:r w:rsidRPr="000C2509">
        <w:rPr>
          <w:rFonts w:ascii="Times New Roman" w:eastAsia="Times New Roman" w:hAnsi="Times New Roman" w:cs="Times New Roman"/>
          <w:sz w:val="24"/>
          <w:szCs w:val="24"/>
          <w:lang w:val="en-US"/>
        </w:rPr>
        <w:t xml:space="preserve"> Li</w:t>
      </w:r>
      <w:r w:rsidR="00212953" w:rsidRPr="00251411">
        <w:rPr>
          <w:rFonts w:ascii="Times New Roman" w:eastAsia="Times New Roman" w:hAnsi="Times New Roman" w:cs="Times New Roman"/>
          <w:sz w:val="24"/>
          <w:szCs w:val="24"/>
          <w:lang w:val="en-US"/>
        </w:rPr>
        <w:t xml:space="preserve"> (2014). </w:t>
      </w:r>
      <w:r w:rsidRPr="000C2509">
        <w:rPr>
          <w:rFonts w:ascii="Times New Roman" w:eastAsia="Times New Roman" w:hAnsi="Times New Roman" w:cs="Times New Roman"/>
          <w:sz w:val="24"/>
          <w:szCs w:val="24"/>
          <w:lang w:val="en-US"/>
        </w:rPr>
        <w:t xml:space="preserve">Accurate genome relative abundance estimation for closely related </w:t>
      </w:r>
      <w:r w:rsidR="00212953" w:rsidRPr="00251411">
        <w:rPr>
          <w:rFonts w:ascii="Times New Roman" w:eastAsia="Times New Roman" w:hAnsi="Times New Roman" w:cs="Times New Roman"/>
          <w:sz w:val="24"/>
          <w:szCs w:val="24"/>
          <w:lang w:val="en-US"/>
        </w:rPr>
        <w:t xml:space="preserve">species in a </w:t>
      </w:r>
      <w:proofErr w:type="spellStart"/>
      <w:r w:rsidR="00212953" w:rsidRPr="00251411">
        <w:rPr>
          <w:rFonts w:ascii="Times New Roman" w:eastAsia="Times New Roman" w:hAnsi="Times New Roman" w:cs="Times New Roman"/>
          <w:sz w:val="24"/>
          <w:szCs w:val="24"/>
          <w:lang w:val="en-US"/>
        </w:rPr>
        <w:t>metagenomic</w:t>
      </w:r>
      <w:proofErr w:type="spellEnd"/>
      <w:r w:rsidR="00212953" w:rsidRPr="00251411">
        <w:rPr>
          <w:rFonts w:ascii="Times New Roman" w:eastAsia="Times New Roman" w:hAnsi="Times New Roman" w:cs="Times New Roman"/>
          <w:sz w:val="24"/>
          <w:szCs w:val="24"/>
          <w:lang w:val="en-US"/>
        </w:rPr>
        <w:t xml:space="preserve"> sample</w:t>
      </w:r>
      <w:r w:rsidRPr="000C2509">
        <w:rPr>
          <w:rFonts w:ascii="Times New Roman" w:eastAsia="Times New Roman" w:hAnsi="Times New Roman" w:cs="Times New Roman"/>
          <w:sz w:val="24"/>
          <w:szCs w:val="24"/>
          <w:lang w:val="en-US"/>
        </w:rPr>
        <w:t xml:space="preserve">. </w:t>
      </w:r>
      <w:r w:rsidRPr="000C2509">
        <w:rPr>
          <w:rFonts w:ascii="Times New Roman" w:eastAsia="Times New Roman" w:hAnsi="Times New Roman" w:cs="Times New Roman"/>
          <w:i/>
          <w:iCs/>
          <w:sz w:val="24"/>
          <w:szCs w:val="24"/>
          <w:lang w:val="en-US"/>
        </w:rPr>
        <w:t>BMC Bioinformatics</w:t>
      </w:r>
      <w:r w:rsidR="00212953" w:rsidRPr="00251411">
        <w:rPr>
          <w:rFonts w:ascii="Times New Roman" w:eastAsia="Times New Roman" w:hAnsi="Times New Roman" w:cs="Times New Roman"/>
          <w:sz w:val="24"/>
          <w:szCs w:val="24"/>
          <w:lang w:val="en-US"/>
        </w:rPr>
        <w:t xml:space="preserve"> 15: 242</w:t>
      </w:r>
      <w:r w:rsidRPr="000C2509">
        <w:rPr>
          <w:rFonts w:ascii="Times New Roman" w:eastAsia="Times New Roman" w:hAnsi="Times New Roman" w:cs="Times New Roman"/>
          <w:sz w:val="24"/>
          <w:szCs w:val="24"/>
          <w:lang w:val="en-US"/>
        </w:rPr>
        <w:t>.</w:t>
      </w:r>
    </w:p>
    <w:p w14:paraId="6B014336" w14:textId="0B2451BF" w:rsidR="00726F90" w:rsidRPr="00251411" w:rsidRDefault="00726F90" w:rsidP="00251411">
      <w:pPr>
        <w:spacing w:line="480" w:lineRule="auto"/>
        <w:ind w:left="706" w:hanging="706"/>
        <w:jc w:val="both"/>
        <w:rPr>
          <w:rFonts w:ascii="Times New Roman" w:hAnsi="Times New Roman" w:cs="Times New Roman"/>
          <w:sz w:val="24"/>
          <w:szCs w:val="24"/>
          <w:lang w:val="en-US"/>
        </w:rPr>
      </w:pPr>
      <w:proofErr w:type="spellStart"/>
      <w:r w:rsidRPr="00251411">
        <w:rPr>
          <w:rFonts w:ascii="Times New Roman" w:hAnsi="Times New Roman" w:cs="Times New Roman"/>
          <w:sz w:val="24"/>
          <w:szCs w:val="24"/>
        </w:rPr>
        <w:t>Stadhouders</w:t>
      </w:r>
      <w:proofErr w:type="spellEnd"/>
      <w:r w:rsidRPr="00251411">
        <w:rPr>
          <w:rFonts w:ascii="Times New Roman" w:hAnsi="Times New Roman" w:cs="Times New Roman"/>
          <w:sz w:val="24"/>
          <w:szCs w:val="24"/>
        </w:rPr>
        <w:t xml:space="preserve">, R., </w:t>
      </w:r>
      <w:proofErr w:type="spellStart"/>
      <w:r w:rsidRPr="00251411">
        <w:rPr>
          <w:rFonts w:ascii="Times New Roman" w:hAnsi="Times New Roman" w:cs="Times New Roman"/>
          <w:sz w:val="24"/>
          <w:szCs w:val="24"/>
        </w:rPr>
        <w:t>Pas</w:t>
      </w:r>
      <w:proofErr w:type="spellEnd"/>
      <w:r w:rsidRPr="00251411">
        <w:rPr>
          <w:rFonts w:ascii="Times New Roman" w:hAnsi="Times New Roman" w:cs="Times New Roman"/>
          <w:sz w:val="24"/>
          <w:szCs w:val="24"/>
        </w:rPr>
        <w:t xml:space="preserve">, S. D., </w:t>
      </w:r>
      <w:proofErr w:type="spellStart"/>
      <w:r w:rsidRPr="00251411">
        <w:rPr>
          <w:rFonts w:ascii="Times New Roman" w:hAnsi="Times New Roman" w:cs="Times New Roman"/>
          <w:sz w:val="24"/>
          <w:szCs w:val="24"/>
        </w:rPr>
        <w:t>Anber</w:t>
      </w:r>
      <w:proofErr w:type="spellEnd"/>
      <w:r w:rsidRPr="00251411">
        <w:rPr>
          <w:rFonts w:ascii="Times New Roman" w:hAnsi="Times New Roman" w:cs="Times New Roman"/>
          <w:sz w:val="24"/>
          <w:szCs w:val="24"/>
        </w:rPr>
        <w:t xml:space="preserve">, J., </w:t>
      </w:r>
      <w:proofErr w:type="spellStart"/>
      <w:r w:rsidRPr="00251411">
        <w:rPr>
          <w:rFonts w:ascii="Times New Roman" w:hAnsi="Times New Roman" w:cs="Times New Roman"/>
          <w:sz w:val="24"/>
          <w:szCs w:val="24"/>
        </w:rPr>
        <w:t>Voermans</w:t>
      </w:r>
      <w:proofErr w:type="spellEnd"/>
      <w:r w:rsidRPr="00251411">
        <w:rPr>
          <w:rFonts w:ascii="Times New Roman" w:hAnsi="Times New Roman" w:cs="Times New Roman"/>
          <w:sz w:val="24"/>
          <w:szCs w:val="24"/>
        </w:rPr>
        <w:t xml:space="preserve">, J., </w:t>
      </w:r>
      <w:proofErr w:type="spellStart"/>
      <w:r w:rsidRPr="00251411">
        <w:rPr>
          <w:rFonts w:ascii="Times New Roman" w:hAnsi="Times New Roman" w:cs="Times New Roman"/>
          <w:sz w:val="24"/>
          <w:szCs w:val="24"/>
        </w:rPr>
        <w:t>Mes</w:t>
      </w:r>
      <w:proofErr w:type="spellEnd"/>
      <w:r w:rsidRPr="00251411">
        <w:rPr>
          <w:rFonts w:ascii="Times New Roman" w:hAnsi="Times New Roman" w:cs="Times New Roman"/>
          <w:sz w:val="24"/>
          <w:szCs w:val="24"/>
        </w:rPr>
        <w:t xml:space="preserve">, T. H., &amp; </w:t>
      </w:r>
      <w:proofErr w:type="spellStart"/>
      <w:r w:rsidRPr="00251411">
        <w:rPr>
          <w:rFonts w:ascii="Times New Roman" w:hAnsi="Times New Roman" w:cs="Times New Roman"/>
          <w:sz w:val="24"/>
          <w:szCs w:val="24"/>
        </w:rPr>
        <w:t>Schutten</w:t>
      </w:r>
      <w:proofErr w:type="spellEnd"/>
      <w:r w:rsidRPr="00251411">
        <w:rPr>
          <w:rFonts w:ascii="Times New Roman" w:hAnsi="Times New Roman" w:cs="Times New Roman"/>
          <w:sz w:val="24"/>
          <w:szCs w:val="24"/>
        </w:rPr>
        <w:t xml:space="preserve">, M. (2010). </w:t>
      </w:r>
      <w:r w:rsidRPr="00251411">
        <w:rPr>
          <w:rFonts w:ascii="Times New Roman" w:hAnsi="Times New Roman" w:cs="Times New Roman"/>
          <w:sz w:val="24"/>
          <w:szCs w:val="24"/>
          <w:lang w:val="en-US"/>
        </w:rPr>
        <w:t xml:space="preserve">The effect of primer-template mismatches on the detection and quantification of nucleic acids using the 5′ nuclease assay. </w:t>
      </w:r>
      <w:r w:rsidRPr="00251411">
        <w:rPr>
          <w:rFonts w:ascii="Times New Roman" w:hAnsi="Times New Roman" w:cs="Times New Roman"/>
          <w:i/>
          <w:iCs/>
          <w:sz w:val="24"/>
          <w:szCs w:val="24"/>
          <w:lang w:val="en-US"/>
        </w:rPr>
        <w:t>The Journal of Molecular Diagnostics</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12</w:t>
      </w:r>
      <w:r w:rsidRPr="00251411">
        <w:rPr>
          <w:rFonts w:ascii="Times New Roman" w:hAnsi="Times New Roman" w:cs="Times New Roman"/>
          <w:sz w:val="24"/>
          <w:szCs w:val="24"/>
          <w:lang w:val="en-US"/>
        </w:rPr>
        <w:t>(1), 109-117.</w:t>
      </w:r>
    </w:p>
    <w:p w14:paraId="2A7C6501" w14:textId="77777777" w:rsidR="00ED2490" w:rsidRPr="00251411" w:rsidRDefault="00ED2490" w:rsidP="00251411">
      <w:pPr>
        <w:spacing w:line="480" w:lineRule="auto"/>
        <w:ind w:left="706" w:hanging="706"/>
        <w:jc w:val="both"/>
        <w:rPr>
          <w:rFonts w:ascii="Times New Roman" w:hAnsi="Times New Roman" w:cs="Times New Roman"/>
          <w:sz w:val="24"/>
          <w:szCs w:val="24"/>
          <w:lang w:val="en-US"/>
        </w:rPr>
      </w:pPr>
      <w:proofErr w:type="spellStart"/>
      <w:r w:rsidRPr="00251411">
        <w:rPr>
          <w:rFonts w:ascii="Times New Roman" w:hAnsi="Times New Roman" w:cs="Times New Roman"/>
          <w:sz w:val="24"/>
          <w:szCs w:val="24"/>
          <w:lang w:val="en-US"/>
        </w:rPr>
        <w:t>Taberlet</w:t>
      </w:r>
      <w:proofErr w:type="spellEnd"/>
      <w:r w:rsidRPr="00251411">
        <w:rPr>
          <w:rFonts w:ascii="Times New Roman" w:hAnsi="Times New Roman" w:cs="Times New Roman"/>
          <w:sz w:val="24"/>
          <w:szCs w:val="24"/>
          <w:lang w:val="en-US"/>
        </w:rPr>
        <w:t xml:space="preserve">, P., </w:t>
      </w:r>
      <w:proofErr w:type="spellStart"/>
      <w:r w:rsidRPr="00251411">
        <w:rPr>
          <w:rFonts w:ascii="Times New Roman" w:hAnsi="Times New Roman" w:cs="Times New Roman"/>
          <w:sz w:val="24"/>
          <w:szCs w:val="24"/>
          <w:lang w:val="en-US"/>
        </w:rPr>
        <w:t>Coissac</w:t>
      </w:r>
      <w:proofErr w:type="spellEnd"/>
      <w:r w:rsidRPr="00251411">
        <w:rPr>
          <w:rFonts w:ascii="Times New Roman" w:hAnsi="Times New Roman" w:cs="Times New Roman"/>
          <w:sz w:val="24"/>
          <w:szCs w:val="24"/>
          <w:lang w:val="en-US"/>
        </w:rPr>
        <w:t xml:space="preserve">, E., </w:t>
      </w:r>
      <w:proofErr w:type="spellStart"/>
      <w:r w:rsidRPr="00251411">
        <w:rPr>
          <w:rFonts w:ascii="Times New Roman" w:hAnsi="Times New Roman" w:cs="Times New Roman"/>
          <w:sz w:val="24"/>
          <w:szCs w:val="24"/>
          <w:lang w:val="en-US"/>
        </w:rPr>
        <w:t>Pompanon</w:t>
      </w:r>
      <w:proofErr w:type="spellEnd"/>
      <w:r w:rsidRPr="00251411">
        <w:rPr>
          <w:rFonts w:ascii="Times New Roman" w:hAnsi="Times New Roman" w:cs="Times New Roman"/>
          <w:sz w:val="24"/>
          <w:szCs w:val="24"/>
          <w:lang w:val="en-US"/>
        </w:rPr>
        <w:t xml:space="preserve">, F., </w:t>
      </w:r>
      <w:proofErr w:type="spellStart"/>
      <w:r w:rsidRPr="00251411">
        <w:rPr>
          <w:rFonts w:ascii="Times New Roman" w:hAnsi="Times New Roman" w:cs="Times New Roman"/>
          <w:sz w:val="24"/>
          <w:szCs w:val="24"/>
          <w:lang w:val="en-US"/>
        </w:rPr>
        <w:t>Brochmann</w:t>
      </w:r>
      <w:proofErr w:type="spellEnd"/>
      <w:r w:rsidRPr="00251411">
        <w:rPr>
          <w:rFonts w:ascii="Times New Roman" w:hAnsi="Times New Roman" w:cs="Times New Roman"/>
          <w:sz w:val="24"/>
          <w:szCs w:val="24"/>
          <w:lang w:val="en-US"/>
        </w:rPr>
        <w:t xml:space="preserve">, C., &amp; </w:t>
      </w:r>
      <w:proofErr w:type="spellStart"/>
      <w:r w:rsidRPr="00251411">
        <w:rPr>
          <w:rFonts w:ascii="Times New Roman" w:hAnsi="Times New Roman" w:cs="Times New Roman"/>
          <w:sz w:val="24"/>
          <w:szCs w:val="24"/>
          <w:lang w:val="en-US"/>
        </w:rPr>
        <w:t>Willerslev</w:t>
      </w:r>
      <w:proofErr w:type="spellEnd"/>
      <w:r w:rsidRPr="00251411">
        <w:rPr>
          <w:rFonts w:ascii="Times New Roman" w:hAnsi="Times New Roman" w:cs="Times New Roman"/>
          <w:sz w:val="24"/>
          <w:szCs w:val="24"/>
          <w:lang w:val="en-US"/>
        </w:rPr>
        <w:t>, E. (2012). Towards next</w:t>
      </w:r>
      <w:r w:rsidRPr="00251411">
        <w:rPr>
          <w:rFonts w:ascii="Cambria Math" w:hAnsi="Cambria Math" w:cs="Cambria Math"/>
          <w:sz w:val="24"/>
          <w:szCs w:val="24"/>
          <w:lang w:val="en-US"/>
        </w:rPr>
        <w:t>‐</w:t>
      </w:r>
      <w:r w:rsidRPr="00251411">
        <w:rPr>
          <w:rFonts w:ascii="Times New Roman" w:hAnsi="Times New Roman" w:cs="Times New Roman"/>
          <w:sz w:val="24"/>
          <w:szCs w:val="24"/>
          <w:lang w:val="en-US"/>
        </w:rPr>
        <w:t xml:space="preserve">generation biodiversity assessment using DNA metabarcoding. </w:t>
      </w:r>
      <w:r w:rsidRPr="00251411">
        <w:rPr>
          <w:rFonts w:ascii="Times New Roman" w:hAnsi="Times New Roman" w:cs="Times New Roman"/>
          <w:i/>
          <w:iCs/>
          <w:sz w:val="24"/>
          <w:szCs w:val="24"/>
          <w:lang w:val="en-US"/>
        </w:rPr>
        <w:t>Molecular ecology</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21</w:t>
      </w:r>
      <w:r w:rsidRPr="00251411">
        <w:rPr>
          <w:rFonts w:ascii="Times New Roman" w:hAnsi="Times New Roman" w:cs="Times New Roman"/>
          <w:sz w:val="24"/>
          <w:szCs w:val="24"/>
          <w:lang w:val="en-US"/>
        </w:rPr>
        <w:t>(8), 2045-2050.</w:t>
      </w:r>
    </w:p>
    <w:p w14:paraId="013BB0E8" w14:textId="77777777" w:rsidR="00971F41" w:rsidRPr="00251411" w:rsidRDefault="00971F41"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Tamura, K., Dudley, J., </w:t>
      </w:r>
      <w:proofErr w:type="spellStart"/>
      <w:r w:rsidRPr="00251411">
        <w:rPr>
          <w:rFonts w:ascii="Times New Roman" w:hAnsi="Times New Roman" w:cs="Times New Roman"/>
          <w:sz w:val="24"/>
          <w:szCs w:val="24"/>
          <w:lang w:val="en-US"/>
        </w:rPr>
        <w:t>Nei</w:t>
      </w:r>
      <w:proofErr w:type="spellEnd"/>
      <w:r w:rsidRPr="00251411">
        <w:rPr>
          <w:rFonts w:ascii="Times New Roman" w:hAnsi="Times New Roman" w:cs="Times New Roman"/>
          <w:sz w:val="24"/>
          <w:szCs w:val="24"/>
          <w:lang w:val="en-US"/>
        </w:rPr>
        <w:t xml:space="preserve">, M., &amp; Kumar, S. (2007). MEGA4: molecular evolutionary genetics analysis (MEGA) software version 4.0. </w:t>
      </w:r>
      <w:r w:rsidRPr="00251411">
        <w:rPr>
          <w:rFonts w:ascii="Times New Roman" w:hAnsi="Times New Roman" w:cs="Times New Roman"/>
          <w:i/>
          <w:iCs/>
          <w:sz w:val="24"/>
          <w:szCs w:val="24"/>
          <w:lang w:val="en-US"/>
        </w:rPr>
        <w:t>Molecular biology and evolution</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24</w:t>
      </w:r>
      <w:r w:rsidRPr="00251411">
        <w:rPr>
          <w:rFonts w:ascii="Times New Roman" w:hAnsi="Times New Roman" w:cs="Times New Roman"/>
          <w:sz w:val="24"/>
          <w:szCs w:val="24"/>
          <w:lang w:val="en-US"/>
        </w:rPr>
        <w:t>(8), 1596-1599.</w:t>
      </w:r>
    </w:p>
    <w:p w14:paraId="69FE6A14" w14:textId="77777777" w:rsidR="00A35918" w:rsidRPr="00251411" w:rsidRDefault="00A35918"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Tang, C. Q., </w:t>
      </w:r>
      <w:proofErr w:type="spellStart"/>
      <w:r w:rsidRPr="00251411">
        <w:rPr>
          <w:rFonts w:ascii="Times New Roman" w:hAnsi="Times New Roman" w:cs="Times New Roman"/>
          <w:sz w:val="24"/>
          <w:szCs w:val="24"/>
          <w:lang w:val="en-US"/>
        </w:rPr>
        <w:t>Leasi</w:t>
      </w:r>
      <w:proofErr w:type="spellEnd"/>
      <w:r w:rsidRPr="00251411">
        <w:rPr>
          <w:rFonts w:ascii="Times New Roman" w:hAnsi="Times New Roman" w:cs="Times New Roman"/>
          <w:sz w:val="24"/>
          <w:szCs w:val="24"/>
          <w:lang w:val="en-US"/>
        </w:rPr>
        <w:t xml:space="preserve">, F., </w:t>
      </w:r>
      <w:proofErr w:type="spellStart"/>
      <w:r w:rsidRPr="00251411">
        <w:rPr>
          <w:rFonts w:ascii="Times New Roman" w:hAnsi="Times New Roman" w:cs="Times New Roman"/>
          <w:sz w:val="24"/>
          <w:szCs w:val="24"/>
          <w:lang w:val="en-US"/>
        </w:rPr>
        <w:t>Obertegger</w:t>
      </w:r>
      <w:proofErr w:type="spellEnd"/>
      <w:r w:rsidRPr="00251411">
        <w:rPr>
          <w:rFonts w:ascii="Times New Roman" w:hAnsi="Times New Roman" w:cs="Times New Roman"/>
          <w:sz w:val="24"/>
          <w:szCs w:val="24"/>
          <w:lang w:val="en-US"/>
        </w:rPr>
        <w:t xml:space="preserve">, U., </w:t>
      </w:r>
      <w:proofErr w:type="spellStart"/>
      <w:r w:rsidRPr="00251411">
        <w:rPr>
          <w:rFonts w:ascii="Times New Roman" w:hAnsi="Times New Roman" w:cs="Times New Roman"/>
          <w:sz w:val="24"/>
          <w:szCs w:val="24"/>
          <w:lang w:val="en-US"/>
        </w:rPr>
        <w:t>Kieneke</w:t>
      </w:r>
      <w:proofErr w:type="spellEnd"/>
      <w:r w:rsidRPr="00251411">
        <w:rPr>
          <w:rFonts w:ascii="Times New Roman" w:hAnsi="Times New Roman" w:cs="Times New Roman"/>
          <w:sz w:val="24"/>
          <w:szCs w:val="24"/>
          <w:lang w:val="en-US"/>
        </w:rPr>
        <w:t xml:space="preserve">, A., Barraclough, T. G., &amp; </w:t>
      </w:r>
      <w:proofErr w:type="spellStart"/>
      <w:r w:rsidRPr="00251411">
        <w:rPr>
          <w:rFonts w:ascii="Times New Roman" w:hAnsi="Times New Roman" w:cs="Times New Roman"/>
          <w:sz w:val="24"/>
          <w:szCs w:val="24"/>
          <w:lang w:val="en-US"/>
        </w:rPr>
        <w:t>Fontaneto</w:t>
      </w:r>
      <w:proofErr w:type="spellEnd"/>
      <w:r w:rsidRPr="00251411">
        <w:rPr>
          <w:rFonts w:ascii="Times New Roman" w:hAnsi="Times New Roman" w:cs="Times New Roman"/>
          <w:sz w:val="24"/>
          <w:szCs w:val="24"/>
          <w:lang w:val="en-US"/>
        </w:rPr>
        <w:t xml:space="preserve">, D. (2012). The widely used small subunit 18S rDNA molecule greatly underestimates true diversity in biodiversity surveys of the </w:t>
      </w:r>
      <w:proofErr w:type="spellStart"/>
      <w:r w:rsidRPr="00251411">
        <w:rPr>
          <w:rFonts w:ascii="Times New Roman" w:hAnsi="Times New Roman" w:cs="Times New Roman"/>
          <w:sz w:val="24"/>
          <w:szCs w:val="24"/>
          <w:lang w:val="en-US"/>
        </w:rPr>
        <w:t>meiofauna</w:t>
      </w:r>
      <w:proofErr w:type="spellEnd"/>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Proceedings of the National Academy of Sciences</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109</w:t>
      </w:r>
      <w:r w:rsidRPr="00251411">
        <w:rPr>
          <w:rFonts w:ascii="Times New Roman" w:hAnsi="Times New Roman" w:cs="Times New Roman"/>
          <w:sz w:val="24"/>
          <w:szCs w:val="24"/>
          <w:lang w:val="en-US"/>
        </w:rPr>
        <w:t>(40), 16208-16212.</w:t>
      </w:r>
    </w:p>
    <w:p w14:paraId="60386B24" w14:textId="77777777" w:rsidR="00ED2490" w:rsidRPr="00251411" w:rsidRDefault="00ED2490"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Thomas, A. C., </w:t>
      </w:r>
      <w:proofErr w:type="spellStart"/>
      <w:r w:rsidRPr="00251411">
        <w:rPr>
          <w:rFonts w:ascii="Times New Roman" w:hAnsi="Times New Roman" w:cs="Times New Roman"/>
          <w:sz w:val="24"/>
          <w:szCs w:val="24"/>
          <w:lang w:val="en-US"/>
        </w:rPr>
        <w:t>Deagle</w:t>
      </w:r>
      <w:proofErr w:type="spellEnd"/>
      <w:r w:rsidRPr="00251411">
        <w:rPr>
          <w:rFonts w:ascii="Times New Roman" w:hAnsi="Times New Roman" w:cs="Times New Roman"/>
          <w:sz w:val="24"/>
          <w:szCs w:val="24"/>
          <w:lang w:val="en-US"/>
        </w:rPr>
        <w:t xml:space="preserve">, B. E., </w:t>
      </w:r>
      <w:proofErr w:type="spellStart"/>
      <w:r w:rsidRPr="00251411">
        <w:rPr>
          <w:rFonts w:ascii="Times New Roman" w:hAnsi="Times New Roman" w:cs="Times New Roman"/>
          <w:sz w:val="24"/>
          <w:szCs w:val="24"/>
          <w:lang w:val="en-US"/>
        </w:rPr>
        <w:t>Eveson</w:t>
      </w:r>
      <w:proofErr w:type="spellEnd"/>
      <w:r w:rsidRPr="00251411">
        <w:rPr>
          <w:rFonts w:ascii="Times New Roman" w:hAnsi="Times New Roman" w:cs="Times New Roman"/>
          <w:sz w:val="24"/>
          <w:szCs w:val="24"/>
          <w:lang w:val="en-US"/>
        </w:rPr>
        <w:t xml:space="preserve">, J. P., </w:t>
      </w:r>
      <w:proofErr w:type="spellStart"/>
      <w:r w:rsidRPr="00251411">
        <w:rPr>
          <w:rFonts w:ascii="Times New Roman" w:hAnsi="Times New Roman" w:cs="Times New Roman"/>
          <w:sz w:val="24"/>
          <w:szCs w:val="24"/>
          <w:lang w:val="en-US"/>
        </w:rPr>
        <w:t>Harsch</w:t>
      </w:r>
      <w:proofErr w:type="spellEnd"/>
      <w:r w:rsidRPr="00251411">
        <w:rPr>
          <w:rFonts w:ascii="Times New Roman" w:hAnsi="Times New Roman" w:cs="Times New Roman"/>
          <w:sz w:val="24"/>
          <w:szCs w:val="24"/>
          <w:lang w:val="en-US"/>
        </w:rPr>
        <w:t xml:space="preserve">, C. H., &amp; </w:t>
      </w:r>
      <w:proofErr w:type="spellStart"/>
      <w:r w:rsidRPr="00251411">
        <w:rPr>
          <w:rFonts w:ascii="Times New Roman" w:hAnsi="Times New Roman" w:cs="Times New Roman"/>
          <w:sz w:val="24"/>
          <w:szCs w:val="24"/>
          <w:lang w:val="en-US"/>
        </w:rPr>
        <w:t>Trites</w:t>
      </w:r>
      <w:proofErr w:type="spellEnd"/>
      <w:r w:rsidRPr="00251411">
        <w:rPr>
          <w:rFonts w:ascii="Times New Roman" w:hAnsi="Times New Roman" w:cs="Times New Roman"/>
          <w:sz w:val="24"/>
          <w:szCs w:val="24"/>
          <w:lang w:val="en-US"/>
        </w:rPr>
        <w:t xml:space="preserve">, A. W. (2015). Quantitative DNA metabarcoding: improved estimates of species proportional biomass using correction factors derived from control material. </w:t>
      </w:r>
      <w:r w:rsidRPr="00251411">
        <w:rPr>
          <w:rFonts w:ascii="Times New Roman" w:hAnsi="Times New Roman" w:cs="Times New Roman"/>
          <w:i/>
          <w:iCs/>
          <w:sz w:val="24"/>
          <w:szCs w:val="24"/>
          <w:lang w:val="en-US"/>
        </w:rPr>
        <w:t>Molecular ecology resources</w:t>
      </w:r>
      <w:r w:rsidRPr="00251411">
        <w:rPr>
          <w:rFonts w:ascii="Times New Roman" w:hAnsi="Times New Roman" w:cs="Times New Roman"/>
          <w:sz w:val="24"/>
          <w:szCs w:val="24"/>
          <w:lang w:val="en-US"/>
        </w:rPr>
        <w:t>.</w:t>
      </w:r>
    </w:p>
    <w:p w14:paraId="6F731C44" w14:textId="77777777" w:rsidR="008E4C60" w:rsidRPr="00251411" w:rsidRDefault="003F67B3"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Yu, D. W., Ji, Y., Emerson, B. C., Wang, X., Ye, C., Yang, C., &amp; Ding, Z. (2012). Biodiversity soup: metabarcoding of arthropods for rapid biodiversity assessment and biomonitoring. </w:t>
      </w:r>
      <w:r w:rsidRPr="00251411">
        <w:rPr>
          <w:rFonts w:ascii="Times New Roman" w:hAnsi="Times New Roman" w:cs="Times New Roman"/>
          <w:i/>
          <w:iCs/>
          <w:sz w:val="24"/>
          <w:szCs w:val="24"/>
          <w:lang w:val="en-US"/>
        </w:rPr>
        <w:t>Methods in Ecology and Evolution</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3</w:t>
      </w:r>
      <w:r w:rsidRPr="00251411">
        <w:rPr>
          <w:rFonts w:ascii="Times New Roman" w:hAnsi="Times New Roman" w:cs="Times New Roman"/>
          <w:sz w:val="24"/>
          <w:szCs w:val="24"/>
          <w:lang w:val="en-US"/>
        </w:rPr>
        <w:t>(4), 613-623.</w:t>
      </w:r>
    </w:p>
    <w:p w14:paraId="2E1054E4" w14:textId="77777777" w:rsidR="00A568EF" w:rsidRPr="00251411" w:rsidRDefault="00A568EF" w:rsidP="00251411">
      <w:pPr>
        <w:spacing w:after="0" w:line="480" w:lineRule="auto"/>
        <w:ind w:left="360" w:hanging="360"/>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lastRenderedPageBreak/>
        <w:t xml:space="preserve">Zhang, J., </w:t>
      </w:r>
      <w:proofErr w:type="spellStart"/>
      <w:r w:rsidRPr="00251411">
        <w:rPr>
          <w:rFonts w:ascii="Times New Roman" w:hAnsi="Times New Roman" w:cs="Times New Roman"/>
          <w:sz w:val="24"/>
          <w:szCs w:val="24"/>
          <w:lang w:val="en-US"/>
        </w:rPr>
        <w:t>Kobert</w:t>
      </w:r>
      <w:proofErr w:type="spellEnd"/>
      <w:r w:rsidRPr="00251411">
        <w:rPr>
          <w:rFonts w:ascii="Times New Roman" w:hAnsi="Times New Roman" w:cs="Times New Roman"/>
          <w:sz w:val="24"/>
          <w:szCs w:val="24"/>
          <w:lang w:val="en-US"/>
        </w:rPr>
        <w:t xml:space="preserve">, K., </w:t>
      </w:r>
      <w:proofErr w:type="spellStart"/>
      <w:r w:rsidRPr="00251411">
        <w:rPr>
          <w:rFonts w:ascii="Times New Roman" w:hAnsi="Times New Roman" w:cs="Times New Roman"/>
          <w:sz w:val="24"/>
          <w:szCs w:val="24"/>
          <w:lang w:val="en-US"/>
        </w:rPr>
        <w:t>Flouri</w:t>
      </w:r>
      <w:proofErr w:type="spellEnd"/>
      <w:r w:rsidRPr="00251411">
        <w:rPr>
          <w:rFonts w:ascii="Times New Roman" w:hAnsi="Times New Roman" w:cs="Times New Roman"/>
          <w:sz w:val="24"/>
          <w:szCs w:val="24"/>
          <w:lang w:val="en-US"/>
        </w:rPr>
        <w:t xml:space="preserve">, T. &amp; </w:t>
      </w:r>
      <w:proofErr w:type="spellStart"/>
      <w:r w:rsidRPr="00251411">
        <w:rPr>
          <w:rFonts w:ascii="Times New Roman" w:hAnsi="Times New Roman" w:cs="Times New Roman"/>
          <w:sz w:val="24"/>
          <w:szCs w:val="24"/>
          <w:lang w:val="en-US"/>
        </w:rPr>
        <w:t>Stamatakis</w:t>
      </w:r>
      <w:proofErr w:type="spellEnd"/>
      <w:r w:rsidRPr="00251411">
        <w:rPr>
          <w:rFonts w:ascii="Times New Roman" w:hAnsi="Times New Roman" w:cs="Times New Roman"/>
          <w:sz w:val="24"/>
          <w:szCs w:val="24"/>
          <w:lang w:val="en-US"/>
        </w:rPr>
        <w:t xml:space="preserve">, A. (2014) PEAR: a fast and accurate Illumina Paired-End </w:t>
      </w:r>
      <w:proofErr w:type="spellStart"/>
      <w:r w:rsidRPr="00251411">
        <w:rPr>
          <w:rFonts w:ascii="Times New Roman" w:hAnsi="Times New Roman" w:cs="Times New Roman"/>
          <w:sz w:val="24"/>
          <w:szCs w:val="24"/>
          <w:lang w:val="en-US"/>
        </w:rPr>
        <w:t>reAd</w:t>
      </w:r>
      <w:proofErr w:type="spellEnd"/>
      <w:r w:rsidRPr="00251411">
        <w:rPr>
          <w:rFonts w:ascii="Times New Roman" w:hAnsi="Times New Roman" w:cs="Times New Roman"/>
          <w:sz w:val="24"/>
          <w:szCs w:val="24"/>
          <w:lang w:val="en-US"/>
        </w:rPr>
        <w:t xml:space="preserve"> </w:t>
      </w:r>
      <w:proofErr w:type="spellStart"/>
      <w:r w:rsidRPr="00251411">
        <w:rPr>
          <w:rFonts w:ascii="Times New Roman" w:hAnsi="Times New Roman" w:cs="Times New Roman"/>
          <w:sz w:val="24"/>
          <w:szCs w:val="24"/>
          <w:lang w:val="en-US"/>
        </w:rPr>
        <w:t>mergeR</w:t>
      </w:r>
      <w:proofErr w:type="spellEnd"/>
      <w:r w:rsidRPr="00251411">
        <w:rPr>
          <w:rFonts w:ascii="Times New Roman" w:hAnsi="Times New Roman" w:cs="Times New Roman"/>
          <w:sz w:val="24"/>
          <w:szCs w:val="24"/>
          <w:lang w:val="en-US"/>
        </w:rPr>
        <w:t xml:space="preserve">. </w:t>
      </w:r>
      <w:r w:rsidRPr="00251411">
        <w:rPr>
          <w:rFonts w:ascii="Times New Roman" w:hAnsi="Times New Roman" w:cs="Times New Roman"/>
          <w:i/>
          <w:sz w:val="24"/>
          <w:szCs w:val="24"/>
          <w:lang w:val="en-US"/>
        </w:rPr>
        <w:t>Bioinformatics</w:t>
      </w:r>
      <w:r w:rsidRPr="00251411">
        <w:rPr>
          <w:rFonts w:ascii="Times New Roman" w:hAnsi="Times New Roman" w:cs="Times New Roman"/>
          <w:sz w:val="24"/>
          <w:szCs w:val="24"/>
          <w:lang w:val="en-US"/>
        </w:rPr>
        <w:t xml:space="preserve">, </w:t>
      </w:r>
      <w:r w:rsidRPr="00251411">
        <w:rPr>
          <w:rFonts w:ascii="Times New Roman" w:hAnsi="Times New Roman" w:cs="Times New Roman"/>
          <w:b/>
          <w:sz w:val="24"/>
          <w:szCs w:val="24"/>
          <w:lang w:val="en-US"/>
        </w:rPr>
        <w:t>30</w:t>
      </w:r>
      <w:r w:rsidRPr="00251411">
        <w:rPr>
          <w:rFonts w:ascii="Times New Roman" w:hAnsi="Times New Roman" w:cs="Times New Roman"/>
          <w:sz w:val="24"/>
          <w:szCs w:val="24"/>
          <w:lang w:val="en-US"/>
        </w:rPr>
        <w:t>, 614-620.</w:t>
      </w:r>
    </w:p>
    <w:p w14:paraId="43956FCB" w14:textId="77777777" w:rsidR="0069505C" w:rsidRPr="00EC1B15" w:rsidRDefault="004301BB" w:rsidP="00251411">
      <w:pPr>
        <w:spacing w:line="480" w:lineRule="auto"/>
        <w:ind w:left="706" w:hanging="706"/>
        <w:jc w:val="both"/>
        <w:rPr>
          <w:rFonts w:ascii="Times New Roman" w:hAnsi="Times New Roman" w:cs="Times New Roman"/>
          <w:sz w:val="24"/>
          <w:szCs w:val="24"/>
        </w:rPr>
      </w:pPr>
      <w:r w:rsidRPr="00251411">
        <w:rPr>
          <w:rFonts w:ascii="Times New Roman" w:hAnsi="Times New Roman" w:cs="Times New Roman"/>
          <w:sz w:val="24"/>
          <w:szCs w:val="24"/>
          <w:lang w:val="en-US"/>
        </w:rPr>
        <w:t xml:space="preserve">Zhou, X., Li, Y., Liu, S., Yang, Q., Su, X., Zhou, L., ... &amp; Huang, Q. (2013). Ultra-deep sequencing enables high-fidelity recovery of biodiversity for bulk arthropod samples without PCR amplification. </w:t>
      </w:r>
      <w:proofErr w:type="spellStart"/>
      <w:r w:rsidRPr="00251411">
        <w:rPr>
          <w:rFonts w:ascii="Times New Roman" w:hAnsi="Times New Roman" w:cs="Times New Roman"/>
          <w:i/>
          <w:iCs/>
          <w:sz w:val="24"/>
          <w:szCs w:val="24"/>
        </w:rPr>
        <w:t>Gigascience</w:t>
      </w:r>
      <w:proofErr w:type="spellEnd"/>
      <w:r w:rsidRPr="00251411">
        <w:rPr>
          <w:rFonts w:ascii="Times New Roman" w:hAnsi="Times New Roman" w:cs="Times New Roman"/>
          <w:sz w:val="24"/>
          <w:szCs w:val="24"/>
        </w:rPr>
        <w:t xml:space="preserve">, </w:t>
      </w:r>
      <w:r w:rsidRPr="00251411">
        <w:rPr>
          <w:rFonts w:ascii="Times New Roman" w:hAnsi="Times New Roman" w:cs="Times New Roman"/>
          <w:i/>
          <w:iCs/>
          <w:sz w:val="24"/>
          <w:szCs w:val="24"/>
        </w:rPr>
        <w:t>2</w:t>
      </w:r>
      <w:r w:rsidRPr="00251411">
        <w:rPr>
          <w:rFonts w:ascii="Times New Roman" w:hAnsi="Times New Roman" w:cs="Times New Roman"/>
          <w:sz w:val="24"/>
          <w:szCs w:val="24"/>
        </w:rPr>
        <w:t>(1), 1.</w:t>
      </w:r>
    </w:p>
    <w:p w14:paraId="56EE84BA" w14:textId="77777777" w:rsidR="003F67B3" w:rsidRPr="000368BF" w:rsidRDefault="003F67B3" w:rsidP="00251411">
      <w:pPr>
        <w:spacing w:line="480" w:lineRule="auto"/>
        <w:jc w:val="both"/>
        <w:rPr>
          <w:rFonts w:ascii="Times New Roman" w:hAnsi="Times New Roman" w:cs="Times New Roman"/>
          <w:sz w:val="24"/>
          <w:szCs w:val="24"/>
          <w:lang w:val="en-US"/>
        </w:rPr>
      </w:pPr>
    </w:p>
    <w:sectPr w:rsidR="003F67B3" w:rsidRPr="000368BF" w:rsidSect="00D0316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K" w:date="2016-06-22T14:40:00Z" w:initials="H">
    <w:p w14:paraId="17F4FBA1" w14:textId="7C1854D9" w:rsidR="00F1454C" w:rsidRPr="00B14DF3" w:rsidRDefault="00F1454C">
      <w:pPr>
        <w:pStyle w:val="CommentText"/>
        <w:rPr>
          <w:lang w:val="en-US"/>
        </w:rPr>
      </w:pPr>
      <w:r>
        <w:rPr>
          <w:rStyle w:val="CommentReference"/>
        </w:rPr>
        <w:annotationRef/>
      </w:r>
      <w:r w:rsidR="00B14DF3" w:rsidRPr="00B14DF3">
        <w:rPr>
          <w:lang w:val="en-US"/>
        </w:rPr>
        <w:t>Add the proper primer names h</w:t>
      </w:r>
      <w:r w:rsidR="00B14DF3">
        <w:rPr>
          <w:lang w:val="en-US"/>
        </w:rPr>
        <w:t xml:space="preserve">ere </w:t>
      </w:r>
    </w:p>
  </w:comment>
  <w:comment w:id="2" w:author="HK" w:date="2016-06-24T13:54:00Z" w:initials="H">
    <w:p w14:paraId="0733CBBC" w14:textId="02F0CF30" w:rsidR="00B14DF3" w:rsidRPr="00B14DF3" w:rsidRDefault="00B14DF3">
      <w:pPr>
        <w:pStyle w:val="CommentText"/>
        <w:rPr>
          <w:lang w:val="en-US"/>
        </w:rPr>
      </w:pPr>
      <w:r>
        <w:rPr>
          <w:rStyle w:val="CommentReference"/>
        </w:rPr>
        <w:annotationRef/>
      </w:r>
      <w:r w:rsidRPr="00B14DF3">
        <w:rPr>
          <w:lang w:val="en-US"/>
        </w:rPr>
        <w:t>Not sure if this holds u</w:t>
      </w:r>
      <w:r>
        <w:rPr>
          <w:lang w:val="en-US"/>
        </w:rPr>
        <w:t>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F4FBA1" w15:done="0"/>
  <w15:commentEx w15:paraId="0733CBB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12A1"/>
    <w:multiLevelType w:val="hybridMultilevel"/>
    <w:tmpl w:val="2910BB80"/>
    <w:lvl w:ilvl="0" w:tplc="6590C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F1037"/>
    <w:multiLevelType w:val="hybridMultilevel"/>
    <w:tmpl w:val="1F00BDCA"/>
    <w:lvl w:ilvl="0" w:tplc="15CA258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970DF"/>
    <w:multiLevelType w:val="hybridMultilevel"/>
    <w:tmpl w:val="491070D0"/>
    <w:lvl w:ilvl="0" w:tplc="0C127FB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EC6A1C"/>
    <w:multiLevelType w:val="hybridMultilevel"/>
    <w:tmpl w:val="35266A9A"/>
    <w:lvl w:ilvl="0" w:tplc="B194E93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30279"/>
    <w:multiLevelType w:val="hybridMultilevel"/>
    <w:tmpl w:val="B4525954"/>
    <w:lvl w:ilvl="0" w:tplc="368E71D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84942"/>
    <w:multiLevelType w:val="hybridMultilevel"/>
    <w:tmpl w:val="93D03AEC"/>
    <w:lvl w:ilvl="0" w:tplc="395E4AB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7695E"/>
    <w:multiLevelType w:val="hybridMultilevel"/>
    <w:tmpl w:val="764E1F2E"/>
    <w:lvl w:ilvl="0" w:tplc="1E9217B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0E5E78"/>
    <w:multiLevelType w:val="hybridMultilevel"/>
    <w:tmpl w:val="B2B6954E"/>
    <w:lvl w:ilvl="0" w:tplc="CD04C20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C5ECD"/>
    <w:multiLevelType w:val="hybridMultilevel"/>
    <w:tmpl w:val="C5500BE8"/>
    <w:lvl w:ilvl="0" w:tplc="14D0AE7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BA2536"/>
    <w:multiLevelType w:val="hybridMultilevel"/>
    <w:tmpl w:val="AAC24AC8"/>
    <w:lvl w:ilvl="0" w:tplc="A238AF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580377"/>
    <w:multiLevelType w:val="hybridMultilevel"/>
    <w:tmpl w:val="FF585D3C"/>
    <w:lvl w:ilvl="0" w:tplc="961E6D6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717FA8"/>
    <w:multiLevelType w:val="hybridMultilevel"/>
    <w:tmpl w:val="C804E4E6"/>
    <w:lvl w:ilvl="0" w:tplc="28E06002">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CC2D54"/>
    <w:multiLevelType w:val="hybridMultilevel"/>
    <w:tmpl w:val="1EECA744"/>
    <w:lvl w:ilvl="0" w:tplc="DEC49FE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12"/>
  </w:num>
  <w:num w:numId="5">
    <w:abstractNumId w:val="1"/>
  </w:num>
  <w:num w:numId="6">
    <w:abstractNumId w:val="0"/>
  </w:num>
  <w:num w:numId="7">
    <w:abstractNumId w:val="4"/>
  </w:num>
  <w:num w:numId="8">
    <w:abstractNumId w:val="10"/>
  </w:num>
  <w:num w:numId="9">
    <w:abstractNumId w:val="11"/>
  </w:num>
  <w:num w:numId="10">
    <w:abstractNumId w:val="2"/>
  </w:num>
  <w:num w:numId="11">
    <w:abstractNumId w:val="5"/>
  </w:num>
  <w:num w:numId="12">
    <w:abstractNumId w:val="6"/>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K">
    <w15:presenceInfo w15:providerId="None" w15:userId="H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2D6E97"/>
    <w:rsid w:val="00013378"/>
    <w:rsid w:val="00027853"/>
    <w:rsid w:val="000368BF"/>
    <w:rsid w:val="000379E4"/>
    <w:rsid w:val="00045744"/>
    <w:rsid w:val="00046226"/>
    <w:rsid w:val="0004675C"/>
    <w:rsid w:val="00054BD8"/>
    <w:rsid w:val="000670D7"/>
    <w:rsid w:val="00074D7E"/>
    <w:rsid w:val="00081934"/>
    <w:rsid w:val="00081EED"/>
    <w:rsid w:val="000A7EF2"/>
    <w:rsid w:val="000B56AF"/>
    <w:rsid w:val="000C2509"/>
    <w:rsid w:val="000C3636"/>
    <w:rsid w:val="000C4434"/>
    <w:rsid w:val="000C4F17"/>
    <w:rsid w:val="000C7F1D"/>
    <w:rsid w:val="000C7FBA"/>
    <w:rsid w:val="000D3CA0"/>
    <w:rsid w:val="000D4466"/>
    <w:rsid w:val="000D5F29"/>
    <w:rsid w:val="000E1F06"/>
    <w:rsid w:val="000E6985"/>
    <w:rsid w:val="000F47F2"/>
    <w:rsid w:val="000F517C"/>
    <w:rsid w:val="001012D5"/>
    <w:rsid w:val="0011335F"/>
    <w:rsid w:val="00114A9D"/>
    <w:rsid w:val="00120C98"/>
    <w:rsid w:val="001224B9"/>
    <w:rsid w:val="00122ABD"/>
    <w:rsid w:val="00124A84"/>
    <w:rsid w:val="00132FA2"/>
    <w:rsid w:val="00133741"/>
    <w:rsid w:val="001402DB"/>
    <w:rsid w:val="00140636"/>
    <w:rsid w:val="00156704"/>
    <w:rsid w:val="00166277"/>
    <w:rsid w:val="00173F72"/>
    <w:rsid w:val="00187D46"/>
    <w:rsid w:val="001956C4"/>
    <w:rsid w:val="001A121B"/>
    <w:rsid w:val="001A2770"/>
    <w:rsid w:val="001A787C"/>
    <w:rsid w:val="001B2022"/>
    <w:rsid w:val="001B72DA"/>
    <w:rsid w:val="001C0988"/>
    <w:rsid w:val="001D3E91"/>
    <w:rsid w:val="001D5BDC"/>
    <w:rsid w:val="001E2377"/>
    <w:rsid w:val="001E3EEB"/>
    <w:rsid w:val="001E4EE1"/>
    <w:rsid w:val="001F0451"/>
    <w:rsid w:val="001F0E74"/>
    <w:rsid w:val="001F1600"/>
    <w:rsid w:val="001F3FC2"/>
    <w:rsid w:val="00202312"/>
    <w:rsid w:val="00204B91"/>
    <w:rsid w:val="0021233E"/>
    <w:rsid w:val="00212953"/>
    <w:rsid w:val="00212CB5"/>
    <w:rsid w:val="00215448"/>
    <w:rsid w:val="0022468B"/>
    <w:rsid w:val="00227D0D"/>
    <w:rsid w:val="00246C79"/>
    <w:rsid w:val="00247D45"/>
    <w:rsid w:val="00251411"/>
    <w:rsid w:val="002542E7"/>
    <w:rsid w:val="0025637D"/>
    <w:rsid w:val="002856A9"/>
    <w:rsid w:val="0028798B"/>
    <w:rsid w:val="00293F56"/>
    <w:rsid w:val="00295A8F"/>
    <w:rsid w:val="0029608C"/>
    <w:rsid w:val="00296295"/>
    <w:rsid w:val="0029779D"/>
    <w:rsid w:val="002979F9"/>
    <w:rsid w:val="002B2CC5"/>
    <w:rsid w:val="002C1263"/>
    <w:rsid w:val="002C33F0"/>
    <w:rsid w:val="002C36FE"/>
    <w:rsid w:val="002C7DC7"/>
    <w:rsid w:val="002D07EB"/>
    <w:rsid w:val="002D0952"/>
    <w:rsid w:val="002D6E97"/>
    <w:rsid w:val="002E2592"/>
    <w:rsid w:val="002E5AA0"/>
    <w:rsid w:val="002F0F88"/>
    <w:rsid w:val="00300268"/>
    <w:rsid w:val="00311C38"/>
    <w:rsid w:val="0033008E"/>
    <w:rsid w:val="0034090A"/>
    <w:rsid w:val="00344225"/>
    <w:rsid w:val="003514FB"/>
    <w:rsid w:val="0037042A"/>
    <w:rsid w:val="0039490A"/>
    <w:rsid w:val="003C1A0E"/>
    <w:rsid w:val="003C1E9E"/>
    <w:rsid w:val="003E7F71"/>
    <w:rsid w:val="003F67B3"/>
    <w:rsid w:val="003F7270"/>
    <w:rsid w:val="003F7AE1"/>
    <w:rsid w:val="00424A3B"/>
    <w:rsid w:val="00424AFC"/>
    <w:rsid w:val="004273C0"/>
    <w:rsid w:val="004301BB"/>
    <w:rsid w:val="004348D5"/>
    <w:rsid w:val="004470F9"/>
    <w:rsid w:val="0045005B"/>
    <w:rsid w:val="004619CF"/>
    <w:rsid w:val="00461C48"/>
    <w:rsid w:val="00475BA4"/>
    <w:rsid w:val="00475EA5"/>
    <w:rsid w:val="0047647B"/>
    <w:rsid w:val="004820E2"/>
    <w:rsid w:val="00482979"/>
    <w:rsid w:val="00492BD6"/>
    <w:rsid w:val="00492D46"/>
    <w:rsid w:val="00494A21"/>
    <w:rsid w:val="004A4442"/>
    <w:rsid w:val="004B2DA4"/>
    <w:rsid w:val="004B3B12"/>
    <w:rsid w:val="004B6DA5"/>
    <w:rsid w:val="004C02A1"/>
    <w:rsid w:val="004C5156"/>
    <w:rsid w:val="004C6716"/>
    <w:rsid w:val="004D0550"/>
    <w:rsid w:val="004D45A5"/>
    <w:rsid w:val="004E1788"/>
    <w:rsid w:val="004E2F58"/>
    <w:rsid w:val="004F7809"/>
    <w:rsid w:val="00517486"/>
    <w:rsid w:val="0052077F"/>
    <w:rsid w:val="00536D3C"/>
    <w:rsid w:val="00546654"/>
    <w:rsid w:val="00547CD9"/>
    <w:rsid w:val="00552BF2"/>
    <w:rsid w:val="00555D8B"/>
    <w:rsid w:val="00560A5F"/>
    <w:rsid w:val="0056502B"/>
    <w:rsid w:val="00577D8C"/>
    <w:rsid w:val="00587AE5"/>
    <w:rsid w:val="005961BA"/>
    <w:rsid w:val="005A6602"/>
    <w:rsid w:val="005B27C2"/>
    <w:rsid w:val="005D2DA5"/>
    <w:rsid w:val="00630A31"/>
    <w:rsid w:val="006311EC"/>
    <w:rsid w:val="00635ECF"/>
    <w:rsid w:val="006409BC"/>
    <w:rsid w:val="006419A8"/>
    <w:rsid w:val="006545EA"/>
    <w:rsid w:val="00670916"/>
    <w:rsid w:val="00677641"/>
    <w:rsid w:val="00677864"/>
    <w:rsid w:val="00680980"/>
    <w:rsid w:val="00680F29"/>
    <w:rsid w:val="0069505C"/>
    <w:rsid w:val="00695BD7"/>
    <w:rsid w:val="006A76AF"/>
    <w:rsid w:val="006B0B5F"/>
    <w:rsid w:val="006B239B"/>
    <w:rsid w:val="006B52FE"/>
    <w:rsid w:val="006C4AE8"/>
    <w:rsid w:val="006D04DD"/>
    <w:rsid w:val="006D2E40"/>
    <w:rsid w:val="006D68A5"/>
    <w:rsid w:val="006E125A"/>
    <w:rsid w:val="006E4471"/>
    <w:rsid w:val="006E52A4"/>
    <w:rsid w:val="006E73B8"/>
    <w:rsid w:val="006F2AC8"/>
    <w:rsid w:val="0071161E"/>
    <w:rsid w:val="0071625B"/>
    <w:rsid w:val="00723719"/>
    <w:rsid w:val="00724F8E"/>
    <w:rsid w:val="00726F90"/>
    <w:rsid w:val="00744E64"/>
    <w:rsid w:val="007524E2"/>
    <w:rsid w:val="007572A9"/>
    <w:rsid w:val="00760E08"/>
    <w:rsid w:val="00761474"/>
    <w:rsid w:val="0076519F"/>
    <w:rsid w:val="00792993"/>
    <w:rsid w:val="0079395A"/>
    <w:rsid w:val="00797336"/>
    <w:rsid w:val="007B63ED"/>
    <w:rsid w:val="007C31A8"/>
    <w:rsid w:val="007C3951"/>
    <w:rsid w:val="007C7F2F"/>
    <w:rsid w:val="007E0610"/>
    <w:rsid w:val="007F5F02"/>
    <w:rsid w:val="008002A2"/>
    <w:rsid w:val="008011E6"/>
    <w:rsid w:val="00805626"/>
    <w:rsid w:val="00812E50"/>
    <w:rsid w:val="008301ED"/>
    <w:rsid w:val="00832647"/>
    <w:rsid w:val="008336CC"/>
    <w:rsid w:val="00836EBA"/>
    <w:rsid w:val="00840D39"/>
    <w:rsid w:val="00872193"/>
    <w:rsid w:val="008740D8"/>
    <w:rsid w:val="00880935"/>
    <w:rsid w:val="00890DB2"/>
    <w:rsid w:val="008A2DF3"/>
    <w:rsid w:val="008A451C"/>
    <w:rsid w:val="008C1F11"/>
    <w:rsid w:val="008C5555"/>
    <w:rsid w:val="008C5FC7"/>
    <w:rsid w:val="008E042B"/>
    <w:rsid w:val="008E2D40"/>
    <w:rsid w:val="008E4391"/>
    <w:rsid w:val="008E4C60"/>
    <w:rsid w:val="008E7FBB"/>
    <w:rsid w:val="008F4023"/>
    <w:rsid w:val="008F408D"/>
    <w:rsid w:val="008F62E9"/>
    <w:rsid w:val="008F7D5B"/>
    <w:rsid w:val="00900EE0"/>
    <w:rsid w:val="00906CA3"/>
    <w:rsid w:val="0093064D"/>
    <w:rsid w:val="00940931"/>
    <w:rsid w:val="009507C0"/>
    <w:rsid w:val="00960A1C"/>
    <w:rsid w:val="00971F41"/>
    <w:rsid w:val="00973510"/>
    <w:rsid w:val="009770CE"/>
    <w:rsid w:val="00981C6E"/>
    <w:rsid w:val="009844B3"/>
    <w:rsid w:val="009872B6"/>
    <w:rsid w:val="009C2EDC"/>
    <w:rsid w:val="009D4CD0"/>
    <w:rsid w:val="009E13DD"/>
    <w:rsid w:val="009E3200"/>
    <w:rsid w:val="009F3926"/>
    <w:rsid w:val="009F42E1"/>
    <w:rsid w:val="00A119B0"/>
    <w:rsid w:val="00A121B9"/>
    <w:rsid w:val="00A15D1C"/>
    <w:rsid w:val="00A203C3"/>
    <w:rsid w:val="00A211F1"/>
    <w:rsid w:val="00A31388"/>
    <w:rsid w:val="00A33257"/>
    <w:rsid w:val="00A35918"/>
    <w:rsid w:val="00A35BC7"/>
    <w:rsid w:val="00A420CE"/>
    <w:rsid w:val="00A568EF"/>
    <w:rsid w:val="00A61F67"/>
    <w:rsid w:val="00A72373"/>
    <w:rsid w:val="00A774E9"/>
    <w:rsid w:val="00A82A5E"/>
    <w:rsid w:val="00A930E5"/>
    <w:rsid w:val="00AA1775"/>
    <w:rsid w:val="00AA6E3F"/>
    <w:rsid w:val="00AC0EF7"/>
    <w:rsid w:val="00AC17E0"/>
    <w:rsid w:val="00AC1BB2"/>
    <w:rsid w:val="00AE3198"/>
    <w:rsid w:val="00AE482F"/>
    <w:rsid w:val="00AF26EA"/>
    <w:rsid w:val="00AF28FC"/>
    <w:rsid w:val="00AF2A63"/>
    <w:rsid w:val="00AF5F17"/>
    <w:rsid w:val="00B00EB8"/>
    <w:rsid w:val="00B03ADA"/>
    <w:rsid w:val="00B078F3"/>
    <w:rsid w:val="00B10383"/>
    <w:rsid w:val="00B14DF3"/>
    <w:rsid w:val="00B228AE"/>
    <w:rsid w:val="00B233CA"/>
    <w:rsid w:val="00B313E5"/>
    <w:rsid w:val="00B317BF"/>
    <w:rsid w:val="00B31C5A"/>
    <w:rsid w:val="00B3256B"/>
    <w:rsid w:val="00B40AA3"/>
    <w:rsid w:val="00B514EE"/>
    <w:rsid w:val="00B67749"/>
    <w:rsid w:val="00B8219F"/>
    <w:rsid w:val="00B845C6"/>
    <w:rsid w:val="00B91F83"/>
    <w:rsid w:val="00BC79F5"/>
    <w:rsid w:val="00BD3747"/>
    <w:rsid w:val="00BE52A2"/>
    <w:rsid w:val="00C203F2"/>
    <w:rsid w:val="00C23496"/>
    <w:rsid w:val="00C2663E"/>
    <w:rsid w:val="00C344CD"/>
    <w:rsid w:val="00C35A71"/>
    <w:rsid w:val="00C40166"/>
    <w:rsid w:val="00C4354B"/>
    <w:rsid w:val="00C4449E"/>
    <w:rsid w:val="00C63EDF"/>
    <w:rsid w:val="00C644DE"/>
    <w:rsid w:val="00C650A1"/>
    <w:rsid w:val="00C718F4"/>
    <w:rsid w:val="00C7525C"/>
    <w:rsid w:val="00C81A21"/>
    <w:rsid w:val="00C942E3"/>
    <w:rsid w:val="00CA04A9"/>
    <w:rsid w:val="00CA29F5"/>
    <w:rsid w:val="00CA6914"/>
    <w:rsid w:val="00CB11CB"/>
    <w:rsid w:val="00CB2D63"/>
    <w:rsid w:val="00CB39C9"/>
    <w:rsid w:val="00CD0960"/>
    <w:rsid w:val="00CE074A"/>
    <w:rsid w:val="00CE7295"/>
    <w:rsid w:val="00CF04E3"/>
    <w:rsid w:val="00CF4725"/>
    <w:rsid w:val="00D03166"/>
    <w:rsid w:val="00D05039"/>
    <w:rsid w:val="00D22A3F"/>
    <w:rsid w:val="00D2320C"/>
    <w:rsid w:val="00D32C41"/>
    <w:rsid w:val="00D510CF"/>
    <w:rsid w:val="00D61D68"/>
    <w:rsid w:val="00D70BC1"/>
    <w:rsid w:val="00D7522D"/>
    <w:rsid w:val="00D82094"/>
    <w:rsid w:val="00D848B4"/>
    <w:rsid w:val="00D90E55"/>
    <w:rsid w:val="00D94595"/>
    <w:rsid w:val="00DA4017"/>
    <w:rsid w:val="00DA4AAB"/>
    <w:rsid w:val="00DB03FF"/>
    <w:rsid w:val="00DB23B5"/>
    <w:rsid w:val="00DB4F53"/>
    <w:rsid w:val="00DD0F90"/>
    <w:rsid w:val="00DD237E"/>
    <w:rsid w:val="00DF268B"/>
    <w:rsid w:val="00DF4CE1"/>
    <w:rsid w:val="00E04EDD"/>
    <w:rsid w:val="00E474D1"/>
    <w:rsid w:val="00E53D59"/>
    <w:rsid w:val="00E578CC"/>
    <w:rsid w:val="00E6271E"/>
    <w:rsid w:val="00E70B0C"/>
    <w:rsid w:val="00E73483"/>
    <w:rsid w:val="00E76F16"/>
    <w:rsid w:val="00E84AC3"/>
    <w:rsid w:val="00E850D0"/>
    <w:rsid w:val="00E8778B"/>
    <w:rsid w:val="00E94114"/>
    <w:rsid w:val="00E947DF"/>
    <w:rsid w:val="00E94C84"/>
    <w:rsid w:val="00E95689"/>
    <w:rsid w:val="00E958B7"/>
    <w:rsid w:val="00E97A4D"/>
    <w:rsid w:val="00EA5E1C"/>
    <w:rsid w:val="00EA5ECB"/>
    <w:rsid w:val="00EA71E1"/>
    <w:rsid w:val="00EA7634"/>
    <w:rsid w:val="00EB4F98"/>
    <w:rsid w:val="00EC15A7"/>
    <w:rsid w:val="00EC1B15"/>
    <w:rsid w:val="00EC2E83"/>
    <w:rsid w:val="00EC556C"/>
    <w:rsid w:val="00ED2490"/>
    <w:rsid w:val="00ED41F9"/>
    <w:rsid w:val="00EE414A"/>
    <w:rsid w:val="00EE592C"/>
    <w:rsid w:val="00F06378"/>
    <w:rsid w:val="00F0775D"/>
    <w:rsid w:val="00F10343"/>
    <w:rsid w:val="00F1454C"/>
    <w:rsid w:val="00F205FE"/>
    <w:rsid w:val="00F21141"/>
    <w:rsid w:val="00F4091A"/>
    <w:rsid w:val="00F41F30"/>
    <w:rsid w:val="00F43409"/>
    <w:rsid w:val="00F46358"/>
    <w:rsid w:val="00F50C0B"/>
    <w:rsid w:val="00F53B22"/>
    <w:rsid w:val="00F60505"/>
    <w:rsid w:val="00F612ED"/>
    <w:rsid w:val="00F62E94"/>
    <w:rsid w:val="00F63ACC"/>
    <w:rsid w:val="00F66F43"/>
    <w:rsid w:val="00F7121B"/>
    <w:rsid w:val="00F75F8D"/>
    <w:rsid w:val="00F849EF"/>
    <w:rsid w:val="00F85736"/>
    <w:rsid w:val="00F95789"/>
    <w:rsid w:val="00F96900"/>
    <w:rsid w:val="00FB33DC"/>
    <w:rsid w:val="00FB470D"/>
    <w:rsid w:val="00FB4BC6"/>
    <w:rsid w:val="00FB5188"/>
    <w:rsid w:val="00FB5737"/>
    <w:rsid w:val="00FC2EE3"/>
    <w:rsid w:val="00FC428F"/>
    <w:rsid w:val="00FC6C2E"/>
    <w:rsid w:val="00FD697B"/>
    <w:rsid w:val="00FE4633"/>
    <w:rsid w:val="00FE7B5D"/>
    <w:rsid w:val="00FF30BF"/>
    <w:rsid w:val="00FF6D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A486"/>
  <w15:docId w15:val="{930B6A75-B1B0-456F-95F6-B216E430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031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0CF"/>
    <w:pPr>
      <w:ind w:left="720"/>
      <w:contextualSpacing/>
    </w:pPr>
  </w:style>
  <w:style w:type="character" w:styleId="Hyperlink">
    <w:name w:val="Hyperlink"/>
    <w:basedOn w:val="DefaultParagraphFont"/>
    <w:uiPriority w:val="99"/>
    <w:unhideWhenUsed/>
    <w:rsid w:val="00E94114"/>
    <w:rPr>
      <w:color w:val="0000FF" w:themeColor="hyperlink"/>
      <w:u w:val="single"/>
    </w:rPr>
  </w:style>
  <w:style w:type="table" w:styleId="TableGrid">
    <w:name w:val="Table Grid"/>
    <w:basedOn w:val="TableNormal"/>
    <w:uiPriority w:val="59"/>
    <w:rsid w:val="00027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46226"/>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F1454C"/>
    <w:rPr>
      <w:sz w:val="16"/>
      <w:szCs w:val="16"/>
    </w:rPr>
  </w:style>
  <w:style w:type="paragraph" w:styleId="CommentText">
    <w:name w:val="annotation text"/>
    <w:basedOn w:val="Normal"/>
    <w:link w:val="CommentTextChar"/>
    <w:uiPriority w:val="99"/>
    <w:semiHidden/>
    <w:unhideWhenUsed/>
    <w:rsid w:val="00F1454C"/>
    <w:pPr>
      <w:spacing w:line="240" w:lineRule="auto"/>
    </w:pPr>
    <w:rPr>
      <w:sz w:val="20"/>
      <w:szCs w:val="20"/>
    </w:rPr>
  </w:style>
  <w:style w:type="character" w:customStyle="1" w:styleId="CommentTextChar">
    <w:name w:val="Comment Text Char"/>
    <w:basedOn w:val="DefaultParagraphFont"/>
    <w:link w:val="CommentText"/>
    <w:uiPriority w:val="99"/>
    <w:semiHidden/>
    <w:rsid w:val="00F1454C"/>
    <w:rPr>
      <w:sz w:val="20"/>
      <w:szCs w:val="20"/>
    </w:rPr>
  </w:style>
  <w:style w:type="paragraph" w:styleId="CommentSubject">
    <w:name w:val="annotation subject"/>
    <w:basedOn w:val="CommentText"/>
    <w:next w:val="CommentText"/>
    <w:link w:val="CommentSubjectChar"/>
    <w:uiPriority w:val="99"/>
    <w:semiHidden/>
    <w:unhideWhenUsed/>
    <w:rsid w:val="00F1454C"/>
    <w:rPr>
      <w:b/>
      <w:bCs/>
    </w:rPr>
  </w:style>
  <w:style w:type="character" w:customStyle="1" w:styleId="CommentSubjectChar">
    <w:name w:val="Comment Subject Char"/>
    <w:basedOn w:val="CommentTextChar"/>
    <w:link w:val="CommentSubject"/>
    <w:uiPriority w:val="99"/>
    <w:semiHidden/>
    <w:rsid w:val="00F1454C"/>
    <w:rPr>
      <w:b/>
      <w:bCs/>
      <w:sz w:val="20"/>
      <w:szCs w:val="20"/>
    </w:rPr>
  </w:style>
  <w:style w:type="paragraph" w:styleId="BalloonText">
    <w:name w:val="Balloon Text"/>
    <w:basedOn w:val="Normal"/>
    <w:link w:val="BalloonTextChar"/>
    <w:uiPriority w:val="99"/>
    <w:semiHidden/>
    <w:unhideWhenUsed/>
    <w:rsid w:val="00F145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5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42164">
      <w:bodyDiv w:val="1"/>
      <w:marLeft w:val="0"/>
      <w:marRight w:val="0"/>
      <w:marTop w:val="0"/>
      <w:marBottom w:val="0"/>
      <w:divBdr>
        <w:top w:val="none" w:sz="0" w:space="0" w:color="auto"/>
        <w:left w:val="none" w:sz="0" w:space="0" w:color="auto"/>
        <w:bottom w:val="none" w:sz="0" w:space="0" w:color="auto"/>
        <w:right w:val="none" w:sz="0" w:space="0" w:color="auto"/>
      </w:divBdr>
      <w:divsChild>
        <w:div w:id="598681179">
          <w:marLeft w:val="0"/>
          <w:marRight w:val="0"/>
          <w:marTop w:val="0"/>
          <w:marBottom w:val="0"/>
          <w:divBdr>
            <w:top w:val="none" w:sz="0" w:space="0" w:color="auto"/>
            <w:left w:val="none" w:sz="0" w:space="0" w:color="auto"/>
            <w:bottom w:val="none" w:sz="0" w:space="0" w:color="auto"/>
            <w:right w:val="none" w:sz="0" w:space="0" w:color="auto"/>
          </w:divBdr>
          <w:divsChild>
            <w:div w:id="102120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4987">
      <w:bodyDiv w:val="1"/>
      <w:marLeft w:val="0"/>
      <w:marRight w:val="0"/>
      <w:marTop w:val="0"/>
      <w:marBottom w:val="0"/>
      <w:divBdr>
        <w:top w:val="none" w:sz="0" w:space="0" w:color="auto"/>
        <w:left w:val="none" w:sz="0" w:space="0" w:color="auto"/>
        <w:bottom w:val="none" w:sz="0" w:space="0" w:color="auto"/>
        <w:right w:val="none" w:sz="0" w:space="0" w:color="auto"/>
      </w:divBdr>
    </w:div>
    <w:div w:id="341131923">
      <w:bodyDiv w:val="1"/>
      <w:marLeft w:val="0"/>
      <w:marRight w:val="0"/>
      <w:marTop w:val="0"/>
      <w:marBottom w:val="0"/>
      <w:divBdr>
        <w:top w:val="none" w:sz="0" w:space="0" w:color="auto"/>
        <w:left w:val="none" w:sz="0" w:space="0" w:color="auto"/>
        <w:bottom w:val="none" w:sz="0" w:space="0" w:color="auto"/>
        <w:right w:val="none" w:sz="0" w:space="0" w:color="auto"/>
      </w:divBdr>
    </w:div>
    <w:div w:id="383723266">
      <w:bodyDiv w:val="1"/>
      <w:marLeft w:val="0"/>
      <w:marRight w:val="0"/>
      <w:marTop w:val="0"/>
      <w:marBottom w:val="0"/>
      <w:divBdr>
        <w:top w:val="none" w:sz="0" w:space="0" w:color="auto"/>
        <w:left w:val="none" w:sz="0" w:space="0" w:color="auto"/>
        <w:bottom w:val="none" w:sz="0" w:space="0" w:color="auto"/>
        <w:right w:val="none" w:sz="0" w:space="0" w:color="auto"/>
      </w:divBdr>
    </w:div>
    <w:div w:id="495076327">
      <w:bodyDiv w:val="1"/>
      <w:marLeft w:val="0"/>
      <w:marRight w:val="0"/>
      <w:marTop w:val="0"/>
      <w:marBottom w:val="0"/>
      <w:divBdr>
        <w:top w:val="none" w:sz="0" w:space="0" w:color="auto"/>
        <w:left w:val="none" w:sz="0" w:space="0" w:color="auto"/>
        <w:bottom w:val="none" w:sz="0" w:space="0" w:color="auto"/>
        <w:right w:val="none" w:sz="0" w:space="0" w:color="auto"/>
      </w:divBdr>
    </w:div>
    <w:div w:id="566572487">
      <w:bodyDiv w:val="1"/>
      <w:marLeft w:val="0"/>
      <w:marRight w:val="0"/>
      <w:marTop w:val="0"/>
      <w:marBottom w:val="0"/>
      <w:divBdr>
        <w:top w:val="none" w:sz="0" w:space="0" w:color="auto"/>
        <w:left w:val="none" w:sz="0" w:space="0" w:color="auto"/>
        <w:bottom w:val="none" w:sz="0" w:space="0" w:color="auto"/>
        <w:right w:val="none" w:sz="0" w:space="0" w:color="auto"/>
      </w:divBdr>
    </w:div>
    <w:div w:id="628359574">
      <w:bodyDiv w:val="1"/>
      <w:marLeft w:val="0"/>
      <w:marRight w:val="0"/>
      <w:marTop w:val="0"/>
      <w:marBottom w:val="0"/>
      <w:divBdr>
        <w:top w:val="none" w:sz="0" w:space="0" w:color="auto"/>
        <w:left w:val="none" w:sz="0" w:space="0" w:color="auto"/>
        <w:bottom w:val="none" w:sz="0" w:space="0" w:color="auto"/>
        <w:right w:val="none" w:sz="0" w:space="0" w:color="auto"/>
      </w:divBdr>
    </w:div>
    <w:div w:id="649677201">
      <w:bodyDiv w:val="1"/>
      <w:marLeft w:val="0"/>
      <w:marRight w:val="0"/>
      <w:marTop w:val="0"/>
      <w:marBottom w:val="0"/>
      <w:divBdr>
        <w:top w:val="none" w:sz="0" w:space="0" w:color="auto"/>
        <w:left w:val="none" w:sz="0" w:space="0" w:color="auto"/>
        <w:bottom w:val="none" w:sz="0" w:space="0" w:color="auto"/>
        <w:right w:val="none" w:sz="0" w:space="0" w:color="auto"/>
      </w:divBdr>
    </w:div>
    <w:div w:id="774638073">
      <w:bodyDiv w:val="1"/>
      <w:marLeft w:val="0"/>
      <w:marRight w:val="0"/>
      <w:marTop w:val="0"/>
      <w:marBottom w:val="0"/>
      <w:divBdr>
        <w:top w:val="none" w:sz="0" w:space="0" w:color="auto"/>
        <w:left w:val="none" w:sz="0" w:space="0" w:color="auto"/>
        <w:bottom w:val="none" w:sz="0" w:space="0" w:color="auto"/>
        <w:right w:val="none" w:sz="0" w:space="0" w:color="auto"/>
      </w:divBdr>
    </w:div>
    <w:div w:id="783354284">
      <w:bodyDiv w:val="1"/>
      <w:marLeft w:val="0"/>
      <w:marRight w:val="0"/>
      <w:marTop w:val="0"/>
      <w:marBottom w:val="0"/>
      <w:divBdr>
        <w:top w:val="none" w:sz="0" w:space="0" w:color="auto"/>
        <w:left w:val="none" w:sz="0" w:space="0" w:color="auto"/>
        <w:bottom w:val="none" w:sz="0" w:space="0" w:color="auto"/>
        <w:right w:val="none" w:sz="0" w:space="0" w:color="auto"/>
      </w:divBdr>
    </w:div>
    <w:div w:id="919949726">
      <w:bodyDiv w:val="1"/>
      <w:marLeft w:val="0"/>
      <w:marRight w:val="0"/>
      <w:marTop w:val="0"/>
      <w:marBottom w:val="0"/>
      <w:divBdr>
        <w:top w:val="none" w:sz="0" w:space="0" w:color="auto"/>
        <w:left w:val="none" w:sz="0" w:space="0" w:color="auto"/>
        <w:bottom w:val="none" w:sz="0" w:space="0" w:color="auto"/>
        <w:right w:val="none" w:sz="0" w:space="0" w:color="auto"/>
      </w:divBdr>
    </w:div>
    <w:div w:id="974412724">
      <w:bodyDiv w:val="1"/>
      <w:marLeft w:val="0"/>
      <w:marRight w:val="0"/>
      <w:marTop w:val="0"/>
      <w:marBottom w:val="0"/>
      <w:divBdr>
        <w:top w:val="none" w:sz="0" w:space="0" w:color="auto"/>
        <w:left w:val="none" w:sz="0" w:space="0" w:color="auto"/>
        <w:bottom w:val="none" w:sz="0" w:space="0" w:color="auto"/>
        <w:right w:val="none" w:sz="0" w:space="0" w:color="auto"/>
      </w:divBdr>
    </w:div>
    <w:div w:id="985009161">
      <w:bodyDiv w:val="1"/>
      <w:marLeft w:val="0"/>
      <w:marRight w:val="0"/>
      <w:marTop w:val="0"/>
      <w:marBottom w:val="0"/>
      <w:divBdr>
        <w:top w:val="none" w:sz="0" w:space="0" w:color="auto"/>
        <w:left w:val="none" w:sz="0" w:space="0" w:color="auto"/>
        <w:bottom w:val="none" w:sz="0" w:space="0" w:color="auto"/>
        <w:right w:val="none" w:sz="0" w:space="0" w:color="auto"/>
      </w:divBdr>
    </w:div>
    <w:div w:id="994190460">
      <w:bodyDiv w:val="1"/>
      <w:marLeft w:val="0"/>
      <w:marRight w:val="0"/>
      <w:marTop w:val="0"/>
      <w:marBottom w:val="0"/>
      <w:divBdr>
        <w:top w:val="none" w:sz="0" w:space="0" w:color="auto"/>
        <w:left w:val="none" w:sz="0" w:space="0" w:color="auto"/>
        <w:bottom w:val="none" w:sz="0" w:space="0" w:color="auto"/>
        <w:right w:val="none" w:sz="0" w:space="0" w:color="auto"/>
      </w:divBdr>
      <w:divsChild>
        <w:div w:id="1659726019">
          <w:marLeft w:val="0"/>
          <w:marRight w:val="0"/>
          <w:marTop w:val="0"/>
          <w:marBottom w:val="0"/>
          <w:divBdr>
            <w:top w:val="none" w:sz="0" w:space="0" w:color="auto"/>
            <w:left w:val="none" w:sz="0" w:space="0" w:color="auto"/>
            <w:bottom w:val="none" w:sz="0" w:space="0" w:color="auto"/>
            <w:right w:val="none" w:sz="0" w:space="0" w:color="auto"/>
          </w:divBdr>
          <w:divsChild>
            <w:div w:id="16226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4646">
      <w:bodyDiv w:val="1"/>
      <w:marLeft w:val="0"/>
      <w:marRight w:val="0"/>
      <w:marTop w:val="0"/>
      <w:marBottom w:val="0"/>
      <w:divBdr>
        <w:top w:val="none" w:sz="0" w:space="0" w:color="auto"/>
        <w:left w:val="none" w:sz="0" w:space="0" w:color="auto"/>
        <w:bottom w:val="none" w:sz="0" w:space="0" w:color="auto"/>
        <w:right w:val="none" w:sz="0" w:space="0" w:color="auto"/>
      </w:divBdr>
    </w:div>
    <w:div w:id="1138113878">
      <w:bodyDiv w:val="1"/>
      <w:marLeft w:val="0"/>
      <w:marRight w:val="0"/>
      <w:marTop w:val="0"/>
      <w:marBottom w:val="0"/>
      <w:divBdr>
        <w:top w:val="none" w:sz="0" w:space="0" w:color="auto"/>
        <w:left w:val="none" w:sz="0" w:space="0" w:color="auto"/>
        <w:bottom w:val="none" w:sz="0" w:space="0" w:color="auto"/>
        <w:right w:val="none" w:sz="0" w:space="0" w:color="auto"/>
      </w:divBdr>
    </w:div>
    <w:div w:id="1439763628">
      <w:bodyDiv w:val="1"/>
      <w:marLeft w:val="0"/>
      <w:marRight w:val="0"/>
      <w:marTop w:val="0"/>
      <w:marBottom w:val="0"/>
      <w:divBdr>
        <w:top w:val="none" w:sz="0" w:space="0" w:color="auto"/>
        <w:left w:val="none" w:sz="0" w:space="0" w:color="auto"/>
        <w:bottom w:val="none" w:sz="0" w:space="0" w:color="auto"/>
        <w:right w:val="none" w:sz="0" w:space="0" w:color="auto"/>
      </w:divBdr>
    </w:div>
    <w:div w:id="1648124110">
      <w:bodyDiv w:val="1"/>
      <w:marLeft w:val="0"/>
      <w:marRight w:val="0"/>
      <w:marTop w:val="0"/>
      <w:marBottom w:val="0"/>
      <w:divBdr>
        <w:top w:val="none" w:sz="0" w:space="0" w:color="auto"/>
        <w:left w:val="none" w:sz="0" w:space="0" w:color="auto"/>
        <w:bottom w:val="none" w:sz="0" w:space="0" w:color="auto"/>
        <w:right w:val="none" w:sz="0" w:space="0" w:color="auto"/>
      </w:divBdr>
    </w:div>
    <w:div w:id="1656294913">
      <w:bodyDiv w:val="1"/>
      <w:marLeft w:val="0"/>
      <w:marRight w:val="0"/>
      <w:marTop w:val="0"/>
      <w:marBottom w:val="0"/>
      <w:divBdr>
        <w:top w:val="none" w:sz="0" w:space="0" w:color="auto"/>
        <w:left w:val="none" w:sz="0" w:space="0" w:color="auto"/>
        <w:bottom w:val="none" w:sz="0" w:space="0" w:color="auto"/>
        <w:right w:val="none" w:sz="0" w:space="0" w:color="auto"/>
      </w:divBdr>
    </w:div>
    <w:div w:id="1844391709">
      <w:bodyDiv w:val="1"/>
      <w:marLeft w:val="0"/>
      <w:marRight w:val="0"/>
      <w:marTop w:val="0"/>
      <w:marBottom w:val="0"/>
      <w:divBdr>
        <w:top w:val="none" w:sz="0" w:space="0" w:color="auto"/>
        <w:left w:val="none" w:sz="0" w:space="0" w:color="auto"/>
        <w:bottom w:val="none" w:sz="0" w:space="0" w:color="auto"/>
        <w:right w:val="none" w:sz="0" w:space="0" w:color="auto"/>
      </w:divBdr>
    </w:div>
    <w:div w:id="209520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chart" Target="charts/chart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emf"/><Relationship Id="rId5" Type="http://schemas.openxmlformats.org/officeDocument/2006/relationships/hyperlink" Target="mailto:Krehenwinkel@berkeley.edu" TargetMode="External"/><Relationship Id="rId15" Type="http://schemas.openxmlformats.org/officeDocument/2006/relationships/image" Target="media/image4.emf"/><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K\Desktop\Metabrcoding_Paper_Final_Talbles\TwoExemplaryTaxaARFcycles.txt"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K\Desktop\Metabrcoding_Paper_Final_Talbles\TwoExemplaryTaxaARFcycles.txt"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TwoExemplaryTaxaARFcycles!$B$1:$B$23</c:f>
              <c:numCache>
                <c:formatCode>General</c:formatCode>
                <c:ptCount val="23"/>
                <c:pt idx="0">
                  <c:v>1.0366826000000001E-2</c:v>
                </c:pt>
                <c:pt idx="1">
                  <c:v>1.9138756E-2</c:v>
                </c:pt>
                <c:pt idx="2">
                  <c:v>5.582137E-3</c:v>
                </c:pt>
                <c:pt idx="3">
                  <c:v>2.5518341E-2</c:v>
                </c:pt>
                <c:pt idx="4">
                  <c:v>1.4354067E-2</c:v>
                </c:pt>
                <c:pt idx="5">
                  <c:v>2.1531100000000001E-2</c:v>
                </c:pt>
                <c:pt idx="6">
                  <c:v>3.5885167000000003E-2</c:v>
                </c:pt>
                <c:pt idx="7">
                  <c:v>2.5518341E-2</c:v>
                </c:pt>
                <c:pt idx="8">
                  <c:v>1.5151515000000001E-2</c:v>
                </c:pt>
                <c:pt idx="9">
                  <c:v>3.5885167000000003E-2</c:v>
                </c:pt>
                <c:pt idx="10">
                  <c:v>2.0733652000000002E-2</c:v>
                </c:pt>
                <c:pt idx="11">
                  <c:v>9.5693779999999999E-3</c:v>
                </c:pt>
                <c:pt idx="12">
                  <c:v>3.0303030000000002E-2</c:v>
                </c:pt>
                <c:pt idx="13">
                  <c:v>1.0366826000000001E-2</c:v>
                </c:pt>
                <c:pt idx="14">
                  <c:v>2.0733652000000002E-2</c:v>
                </c:pt>
                <c:pt idx="15">
                  <c:v>1.1961721999999999E-2</c:v>
                </c:pt>
                <c:pt idx="16">
                  <c:v>3.5087719000000003E-2</c:v>
                </c:pt>
                <c:pt idx="17">
                  <c:v>2.1531100000000001E-2</c:v>
                </c:pt>
                <c:pt idx="18">
                  <c:v>2.0733652000000002E-2</c:v>
                </c:pt>
                <c:pt idx="19">
                  <c:v>1.5948963E-2</c:v>
                </c:pt>
                <c:pt idx="20">
                  <c:v>1.1961721999999999E-2</c:v>
                </c:pt>
                <c:pt idx="21">
                  <c:v>7.9744819999999998E-3</c:v>
                </c:pt>
                <c:pt idx="22">
                  <c:v>2.5518341E-2</c:v>
                </c:pt>
              </c:numCache>
            </c:numRef>
          </c:xVal>
          <c:yVal>
            <c:numRef>
              <c:f>TwoExemplaryTaxaARFcycles!$C$1:$C$23</c:f>
              <c:numCache>
                <c:formatCode>General</c:formatCode>
                <c:ptCount val="23"/>
                <c:pt idx="0">
                  <c:v>3.6561706999999999E-2</c:v>
                </c:pt>
                <c:pt idx="1">
                  <c:v>6.3820423000000001E-2</c:v>
                </c:pt>
                <c:pt idx="2">
                  <c:v>1.4397495999999999E-2</c:v>
                </c:pt>
                <c:pt idx="3">
                  <c:v>7.7048180999999993E-2</c:v>
                </c:pt>
                <c:pt idx="4">
                  <c:v>4.2446459999999998E-2</c:v>
                </c:pt>
                <c:pt idx="5">
                  <c:v>6.6748638999999999E-2</c:v>
                </c:pt>
                <c:pt idx="6">
                  <c:v>0.10120098900000001</c:v>
                </c:pt>
                <c:pt idx="7">
                  <c:v>7.9102280999999997E-2</c:v>
                </c:pt>
                <c:pt idx="8">
                  <c:v>4.4976816000000003E-2</c:v>
                </c:pt>
                <c:pt idx="9">
                  <c:v>9.2771770000000003E-2</c:v>
                </c:pt>
                <c:pt idx="10">
                  <c:v>5.200809E-2</c:v>
                </c:pt>
                <c:pt idx="11">
                  <c:v>3.3535164999999999E-2</c:v>
                </c:pt>
                <c:pt idx="12">
                  <c:v>8.7471525999999994E-2</c:v>
                </c:pt>
                <c:pt idx="13">
                  <c:v>3.2011330999999997E-2</c:v>
                </c:pt>
                <c:pt idx="14">
                  <c:v>7.0641853000000004E-2</c:v>
                </c:pt>
                <c:pt idx="15">
                  <c:v>3.5082873000000001E-2</c:v>
                </c:pt>
                <c:pt idx="16">
                  <c:v>9.5701857000000001E-2</c:v>
                </c:pt>
                <c:pt idx="17">
                  <c:v>6.6232164999999996E-2</c:v>
                </c:pt>
                <c:pt idx="18">
                  <c:v>6.2704393999999997E-2</c:v>
                </c:pt>
                <c:pt idx="19">
                  <c:v>5.6212357999999997E-2</c:v>
                </c:pt>
                <c:pt idx="20">
                  <c:v>3.8395904000000002E-2</c:v>
                </c:pt>
                <c:pt idx="21">
                  <c:v>3.2574649999999997E-2</c:v>
                </c:pt>
                <c:pt idx="22">
                  <c:v>6.9346214000000003E-2</c:v>
                </c:pt>
              </c:numCache>
            </c:numRef>
          </c:yVal>
          <c:smooth val="0"/>
          <c:extLst>
            <c:ext xmlns:c16="http://schemas.microsoft.com/office/drawing/2014/chart" uri="{C3380CC4-5D6E-409C-BE32-E72D297353CC}">
              <c16:uniqueId val="{00000000-D572-462C-8730-824A5C4930B6}"/>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TwoExemplaryTaxaARFcycles!$B$1:$B$23</c:f>
              <c:numCache>
                <c:formatCode>General</c:formatCode>
                <c:ptCount val="23"/>
                <c:pt idx="0">
                  <c:v>1.0366826000000001E-2</c:v>
                </c:pt>
                <c:pt idx="1">
                  <c:v>1.9138756E-2</c:v>
                </c:pt>
                <c:pt idx="2">
                  <c:v>5.582137E-3</c:v>
                </c:pt>
                <c:pt idx="3">
                  <c:v>2.5518341E-2</c:v>
                </c:pt>
                <c:pt idx="4">
                  <c:v>1.4354067E-2</c:v>
                </c:pt>
                <c:pt idx="5">
                  <c:v>2.1531100000000001E-2</c:v>
                </c:pt>
                <c:pt idx="6">
                  <c:v>3.5885167000000003E-2</c:v>
                </c:pt>
                <c:pt idx="7">
                  <c:v>2.5518341E-2</c:v>
                </c:pt>
                <c:pt idx="8">
                  <c:v>1.5151515000000001E-2</c:v>
                </c:pt>
                <c:pt idx="9">
                  <c:v>3.5885167000000003E-2</c:v>
                </c:pt>
                <c:pt idx="10">
                  <c:v>2.0733652000000002E-2</c:v>
                </c:pt>
                <c:pt idx="11">
                  <c:v>9.5693779999999999E-3</c:v>
                </c:pt>
                <c:pt idx="12">
                  <c:v>3.0303030000000002E-2</c:v>
                </c:pt>
                <c:pt idx="13">
                  <c:v>1.0366826000000001E-2</c:v>
                </c:pt>
                <c:pt idx="14">
                  <c:v>2.0733652000000002E-2</c:v>
                </c:pt>
                <c:pt idx="15">
                  <c:v>1.1961721999999999E-2</c:v>
                </c:pt>
                <c:pt idx="16">
                  <c:v>3.5087719000000003E-2</c:v>
                </c:pt>
                <c:pt idx="17">
                  <c:v>2.1531100000000001E-2</c:v>
                </c:pt>
                <c:pt idx="18">
                  <c:v>2.0733652000000002E-2</c:v>
                </c:pt>
                <c:pt idx="19">
                  <c:v>1.5948963E-2</c:v>
                </c:pt>
                <c:pt idx="20">
                  <c:v>1.1961721999999999E-2</c:v>
                </c:pt>
                <c:pt idx="21">
                  <c:v>7.9744819999999998E-3</c:v>
                </c:pt>
                <c:pt idx="22">
                  <c:v>2.5518341E-2</c:v>
                </c:pt>
              </c:numCache>
            </c:numRef>
          </c:xVal>
          <c:yVal>
            <c:numRef>
              <c:f>TwoExemplaryTaxaARFcycles!$H$1:$H$23</c:f>
              <c:numCache>
                <c:formatCode>General</c:formatCode>
                <c:ptCount val="23"/>
                <c:pt idx="0">
                  <c:v>3.7890538000000001E-2</c:v>
                </c:pt>
                <c:pt idx="1">
                  <c:v>6.4845078E-2</c:v>
                </c:pt>
                <c:pt idx="2">
                  <c:v>1.3806237000000001E-2</c:v>
                </c:pt>
                <c:pt idx="3">
                  <c:v>6.1552510999999997E-2</c:v>
                </c:pt>
                <c:pt idx="4">
                  <c:v>3.2700422E-2</c:v>
                </c:pt>
                <c:pt idx="6">
                  <c:v>0.111483871</c:v>
                </c:pt>
                <c:pt idx="7">
                  <c:v>7.8092808999999999E-2</c:v>
                </c:pt>
                <c:pt idx="8">
                  <c:v>4.2613359000000003E-2</c:v>
                </c:pt>
                <c:pt idx="9">
                  <c:v>8.7590097000000006E-2</c:v>
                </c:pt>
                <c:pt idx="10">
                  <c:v>4.7847545999999998E-2</c:v>
                </c:pt>
                <c:pt idx="11">
                  <c:v>2.6070935E-2</c:v>
                </c:pt>
                <c:pt idx="12">
                  <c:v>8.8335572000000001E-2</c:v>
                </c:pt>
                <c:pt idx="13">
                  <c:v>2.8822843000000001E-2</c:v>
                </c:pt>
                <c:pt idx="14">
                  <c:v>6.0528138000000002E-2</c:v>
                </c:pt>
                <c:pt idx="15">
                  <c:v>3.3371692000000001E-2</c:v>
                </c:pt>
                <c:pt idx="16">
                  <c:v>9.1017186999999999E-2</c:v>
                </c:pt>
                <c:pt idx="17">
                  <c:v>5.8066477999999998E-2</c:v>
                </c:pt>
                <c:pt idx="18">
                  <c:v>5.8322302999999999E-2</c:v>
                </c:pt>
                <c:pt idx="19">
                  <c:v>4.4317273999999997E-2</c:v>
                </c:pt>
                <c:pt idx="20">
                  <c:v>3.7383178000000003E-2</c:v>
                </c:pt>
                <c:pt idx="21">
                  <c:v>2.3471616000000001E-2</c:v>
                </c:pt>
                <c:pt idx="22">
                  <c:v>5.9414991E-2</c:v>
                </c:pt>
              </c:numCache>
            </c:numRef>
          </c:yVal>
          <c:smooth val="0"/>
          <c:extLst>
            <c:ext xmlns:c16="http://schemas.microsoft.com/office/drawing/2014/chart" uri="{C3380CC4-5D6E-409C-BE32-E72D297353CC}">
              <c16:uniqueId val="{00000001-D572-462C-8730-824A5C4930B6}"/>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TwoExemplaryTaxaARFcycles!$B$1:$B$23</c:f>
              <c:numCache>
                <c:formatCode>General</c:formatCode>
                <c:ptCount val="23"/>
                <c:pt idx="0">
                  <c:v>1.0366826000000001E-2</c:v>
                </c:pt>
                <c:pt idx="1">
                  <c:v>1.9138756E-2</c:v>
                </c:pt>
                <c:pt idx="2">
                  <c:v>5.582137E-3</c:v>
                </c:pt>
                <c:pt idx="3">
                  <c:v>2.5518341E-2</c:v>
                </c:pt>
                <c:pt idx="4">
                  <c:v>1.4354067E-2</c:v>
                </c:pt>
                <c:pt idx="5">
                  <c:v>2.1531100000000001E-2</c:v>
                </c:pt>
                <c:pt idx="6">
                  <c:v>3.5885167000000003E-2</c:v>
                </c:pt>
                <c:pt idx="7">
                  <c:v>2.5518341E-2</c:v>
                </c:pt>
                <c:pt idx="8">
                  <c:v>1.5151515000000001E-2</c:v>
                </c:pt>
                <c:pt idx="9">
                  <c:v>3.5885167000000003E-2</c:v>
                </c:pt>
                <c:pt idx="10">
                  <c:v>2.0733652000000002E-2</c:v>
                </c:pt>
                <c:pt idx="11">
                  <c:v>9.5693779999999999E-3</c:v>
                </c:pt>
                <c:pt idx="12">
                  <c:v>3.0303030000000002E-2</c:v>
                </c:pt>
                <c:pt idx="13">
                  <c:v>1.0366826000000001E-2</c:v>
                </c:pt>
                <c:pt idx="14">
                  <c:v>2.0733652000000002E-2</c:v>
                </c:pt>
                <c:pt idx="15">
                  <c:v>1.1961721999999999E-2</c:v>
                </c:pt>
                <c:pt idx="16">
                  <c:v>3.5087719000000003E-2</c:v>
                </c:pt>
                <c:pt idx="17">
                  <c:v>2.1531100000000001E-2</c:v>
                </c:pt>
                <c:pt idx="18">
                  <c:v>2.0733652000000002E-2</c:v>
                </c:pt>
                <c:pt idx="19">
                  <c:v>1.5948963E-2</c:v>
                </c:pt>
                <c:pt idx="20">
                  <c:v>1.1961721999999999E-2</c:v>
                </c:pt>
                <c:pt idx="21">
                  <c:v>7.9744819999999998E-3</c:v>
                </c:pt>
                <c:pt idx="22">
                  <c:v>2.5518341E-2</c:v>
                </c:pt>
              </c:numCache>
            </c:numRef>
          </c:xVal>
          <c:yVal>
            <c:numRef>
              <c:f>TwoExemplaryTaxaARFcycles!$M$1:$M$23</c:f>
              <c:numCache>
                <c:formatCode>General</c:formatCode>
                <c:ptCount val="23"/>
                <c:pt idx="0">
                  <c:v>3.9418575999999997E-2</c:v>
                </c:pt>
                <c:pt idx="1">
                  <c:v>6.0391602000000003E-2</c:v>
                </c:pt>
                <c:pt idx="2">
                  <c:v>1.3115564999999999E-2</c:v>
                </c:pt>
                <c:pt idx="3">
                  <c:v>7.5375405000000006E-2</c:v>
                </c:pt>
                <c:pt idx="4">
                  <c:v>3.4090909000000003E-2</c:v>
                </c:pt>
                <c:pt idx="5">
                  <c:v>5.8244722999999998E-2</c:v>
                </c:pt>
                <c:pt idx="6">
                  <c:v>0.10666666700000001</c:v>
                </c:pt>
                <c:pt idx="7">
                  <c:v>7.6078868999999993E-2</c:v>
                </c:pt>
                <c:pt idx="8">
                  <c:v>6.7267683999999994E-2</c:v>
                </c:pt>
                <c:pt idx="9">
                  <c:v>6.5520066000000002E-2</c:v>
                </c:pt>
                <c:pt idx="10">
                  <c:v>5.0978942999999999E-2</c:v>
                </c:pt>
                <c:pt idx="11">
                  <c:v>3.0671296000000001E-2</c:v>
                </c:pt>
                <c:pt idx="12">
                  <c:v>5.3459955000000003E-2</c:v>
                </c:pt>
                <c:pt idx="13">
                  <c:v>2.6046512000000001E-2</c:v>
                </c:pt>
                <c:pt idx="14">
                  <c:v>5.8612545000000002E-2</c:v>
                </c:pt>
                <c:pt idx="15">
                  <c:v>3.1707316999999999E-2</c:v>
                </c:pt>
                <c:pt idx="16">
                  <c:v>9.9816849999999999E-2</c:v>
                </c:pt>
                <c:pt idx="17">
                  <c:v>5.7632399000000001E-2</c:v>
                </c:pt>
                <c:pt idx="18">
                  <c:v>5.5291818E-2</c:v>
                </c:pt>
                <c:pt idx="19">
                  <c:v>5.1560757999999998E-2</c:v>
                </c:pt>
                <c:pt idx="20">
                  <c:v>3.2928435999999998E-2</c:v>
                </c:pt>
                <c:pt idx="21">
                  <c:v>2.2971794E-2</c:v>
                </c:pt>
                <c:pt idx="22">
                  <c:v>6.3763522000000003E-2</c:v>
                </c:pt>
              </c:numCache>
            </c:numRef>
          </c:yVal>
          <c:smooth val="0"/>
          <c:extLst>
            <c:ext xmlns:c16="http://schemas.microsoft.com/office/drawing/2014/chart" uri="{C3380CC4-5D6E-409C-BE32-E72D297353CC}">
              <c16:uniqueId val="{00000002-D572-462C-8730-824A5C4930B6}"/>
            </c:ext>
          </c:extLst>
        </c:ser>
        <c:ser>
          <c:idx val="3"/>
          <c:order val="3"/>
          <c:spPr>
            <a:ln w="19050" cap="rnd">
              <a:noFill/>
              <a:round/>
            </a:ln>
            <a:effectLst/>
          </c:spPr>
          <c:marker>
            <c:symbol val="circle"/>
            <c:size val="5"/>
            <c:spPr>
              <a:solidFill>
                <a:schemeClr val="accent4"/>
              </a:solidFill>
              <a:ln w="9525">
                <a:solidFill>
                  <a:schemeClr val="accent4"/>
                </a:solidFill>
              </a:ln>
              <a:effectLst/>
            </c:spPr>
          </c:marker>
          <c:xVal>
            <c:numRef>
              <c:f>TwoExemplaryTaxaARFcycles!$B$1:$B$23</c:f>
              <c:numCache>
                <c:formatCode>General</c:formatCode>
                <c:ptCount val="23"/>
                <c:pt idx="0">
                  <c:v>1.0366826000000001E-2</c:v>
                </c:pt>
                <c:pt idx="1">
                  <c:v>1.9138756E-2</c:v>
                </c:pt>
                <c:pt idx="2">
                  <c:v>5.582137E-3</c:v>
                </c:pt>
                <c:pt idx="3">
                  <c:v>2.5518341E-2</c:v>
                </c:pt>
                <c:pt idx="4">
                  <c:v>1.4354067E-2</c:v>
                </c:pt>
                <c:pt idx="5">
                  <c:v>2.1531100000000001E-2</c:v>
                </c:pt>
                <c:pt idx="6">
                  <c:v>3.5885167000000003E-2</c:v>
                </c:pt>
                <c:pt idx="7">
                  <c:v>2.5518341E-2</c:v>
                </c:pt>
                <c:pt idx="8">
                  <c:v>1.5151515000000001E-2</c:v>
                </c:pt>
                <c:pt idx="9">
                  <c:v>3.5885167000000003E-2</c:v>
                </c:pt>
                <c:pt idx="10">
                  <c:v>2.0733652000000002E-2</c:v>
                </c:pt>
                <c:pt idx="11">
                  <c:v>9.5693779999999999E-3</c:v>
                </c:pt>
                <c:pt idx="12">
                  <c:v>3.0303030000000002E-2</c:v>
                </c:pt>
                <c:pt idx="13">
                  <c:v>1.0366826000000001E-2</c:v>
                </c:pt>
                <c:pt idx="14">
                  <c:v>2.0733652000000002E-2</c:v>
                </c:pt>
                <c:pt idx="15">
                  <c:v>1.1961721999999999E-2</c:v>
                </c:pt>
                <c:pt idx="16">
                  <c:v>3.5087719000000003E-2</c:v>
                </c:pt>
                <c:pt idx="17">
                  <c:v>2.1531100000000001E-2</c:v>
                </c:pt>
                <c:pt idx="18">
                  <c:v>2.0733652000000002E-2</c:v>
                </c:pt>
                <c:pt idx="19">
                  <c:v>1.5948963E-2</c:v>
                </c:pt>
                <c:pt idx="20">
                  <c:v>1.1961721999999999E-2</c:v>
                </c:pt>
                <c:pt idx="21">
                  <c:v>7.9744819999999998E-3</c:v>
                </c:pt>
                <c:pt idx="22">
                  <c:v>2.5518341E-2</c:v>
                </c:pt>
              </c:numCache>
            </c:numRef>
          </c:xVal>
          <c:yVal>
            <c:numRef>
              <c:f>TwoExemplaryTaxaARFcycles!$R$1:$R$23</c:f>
              <c:numCache>
                <c:formatCode>General</c:formatCode>
                <c:ptCount val="23"/>
                <c:pt idx="0">
                  <c:v>3.7618579999999999E-2</c:v>
                </c:pt>
                <c:pt idx="2">
                  <c:v>1.3658537E-2</c:v>
                </c:pt>
                <c:pt idx="3">
                  <c:v>6.5681445000000005E-2</c:v>
                </c:pt>
                <c:pt idx="4">
                  <c:v>3.0172414000000002E-2</c:v>
                </c:pt>
                <c:pt idx="5">
                  <c:v>5.8518005999999997E-2</c:v>
                </c:pt>
                <c:pt idx="6">
                  <c:v>9.1473743999999996E-2</c:v>
                </c:pt>
                <c:pt idx="7">
                  <c:v>8.7204563999999998E-2</c:v>
                </c:pt>
                <c:pt idx="8">
                  <c:v>3.6110178E-2</c:v>
                </c:pt>
                <c:pt idx="10">
                  <c:v>4.3069307000000001E-2</c:v>
                </c:pt>
                <c:pt idx="11">
                  <c:v>2.0918697E-2</c:v>
                </c:pt>
                <c:pt idx="12">
                  <c:v>7.4374079999999995E-2</c:v>
                </c:pt>
                <c:pt idx="13">
                  <c:v>2.6128266000000001E-2</c:v>
                </c:pt>
                <c:pt idx="14">
                  <c:v>5.2113491999999997E-2</c:v>
                </c:pt>
                <c:pt idx="15">
                  <c:v>2.4789291000000001E-2</c:v>
                </c:pt>
                <c:pt idx="18">
                  <c:v>5.0077042000000002E-2</c:v>
                </c:pt>
                <c:pt idx="20">
                  <c:v>2.4180967000000001E-2</c:v>
                </c:pt>
                <c:pt idx="21">
                  <c:v>2.1846371E-2</c:v>
                </c:pt>
                <c:pt idx="22">
                  <c:v>6.2133646000000001E-2</c:v>
                </c:pt>
              </c:numCache>
            </c:numRef>
          </c:yVal>
          <c:smooth val="0"/>
          <c:extLst>
            <c:ext xmlns:c16="http://schemas.microsoft.com/office/drawing/2014/chart" uri="{C3380CC4-5D6E-409C-BE32-E72D297353CC}">
              <c16:uniqueId val="{00000003-D572-462C-8730-824A5C4930B6}"/>
            </c:ext>
          </c:extLst>
        </c:ser>
        <c:dLbls>
          <c:showLegendKey val="0"/>
          <c:showVal val="0"/>
          <c:showCatName val="0"/>
          <c:showSerName val="0"/>
          <c:showPercent val="0"/>
          <c:showBubbleSize val="0"/>
        </c:dLbls>
        <c:axId val="355389280"/>
        <c:axId val="355387640"/>
      </c:scatterChart>
      <c:valAx>
        <c:axId val="355389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387640"/>
        <c:crosses val="autoZero"/>
        <c:crossBetween val="midCat"/>
      </c:valAx>
      <c:valAx>
        <c:axId val="355387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3892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TwoExemplaryTaxaARFcycles!$V$1:$V$23</c:f>
              <c:numCache>
                <c:formatCode>General</c:formatCode>
                <c:ptCount val="23"/>
                <c:pt idx="0">
                  <c:v>1.4354067E-2</c:v>
                </c:pt>
                <c:pt idx="1">
                  <c:v>3.0303030000000002E-2</c:v>
                </c:pt>
                <c:pt idx="2">
                  <c:v>6.3795850000000001E-3</c:v>
                </c:pt>
                <c:pt idx="3">
                  <c:v>3.1897927E-2</c:v>
                </c:pt>
                <c:pt idx="4">
                  <c:v>3.5885167000000003E-2</c:v>
                </c:pt>
                <c:pt idx="5">
                  <c:v>3.0303030000000002E-2</c:v>
                </c:pt>
                <c:pt idx="6">
                  <c:v>3.5087719000000003E-2</c:v>
                </c:pt>
                <c:pt idx="7">
                  <c:v>2.7113238000000001E-2</c:v>
                </c:pt>
                <c:pt idx="8">
                  <c:v>6.3795850000000001E-3</c:v>
                </c:pt>
                <c:pt idx="9">
                  <c:v>2.0733652000000002E-2</c:v>
                </c:pt>
                <c:pt idx="10">
                  <c:v>7.1770330000000002E-3</c:v>
                </c:pt>
                <c:pt idx="11">
                  <c:v>1.9936203999999999E-2</c:v>
                </c:pt>
                <c:pt idx="12">
                  <c:v>2.5518341E-2</c:v>
                </c:pt>
                <c:pt idx="13">
                  <c:v>6.3795850000000001E-3</c:v>
                </c:pt>
                <c:pt idx="14">
                  <c:v>3.8277512E-2</c:v>
                </c:pt>
                <c:pt idx="15">
                  <c:v>3.0303030000000002E-2</c:v>
                </c:pt>
                <c:pt idx="16">
                  <c:v>3.3492822999999998E-2</c:v>
                </c:pt>
                <c:pt idx="17">
                  <c:v>1.1164274E-2</c:v>
                </c:pt>
                <c:pt idx="18">
                  <c:v>1.7543860000000001E-2</c:v>
                </c:pt>
                <c:pt idx="19">
                  <c:v>3.3492822999999998E-2</c:v>
                </c:pt>
                <c:pt idx="20">
                  <c:v>3.5885167000000003E-2</c:v>
                </c:pt>
                <c:pt idx="21">
                  <c:v>2.6315788999999999E-2</c:v>
                </c:pt>
                <c:pt idx="22">
                  <c:v>3.9074959999999999E-2</c:v>
                </c:pt>
              </c:numCache>
            </c:numRef>
          </c:xVal>
          <c:yVal>
            <c:numRef>
              <c:f>TwoExemplaryTaxaARFcycles!$W$1:$W$23</c:f>
              <c:numCache>
                <c:formatCode>General</c:formatCode>
                <c:ptCount val="23"/>
                <c:pt idx="0">
                  <c:v>1.2833905E-2</c:v>
                </c:pt>
                <c:pt idx="1">
                  <c:v>2.1126761000000001E-2</c:v>
                </c:pt>
                <c:pt idx="2">
                  <c:v>6.1032860000000003E-3</c:v>
                </c:pt>
                <c:pt idx="3">
                  <c:v>2.1345802000000001E-2</c:v>
                </c:pt>
                <c:pt idx="4">
                  <c:v>2.5081999000000001E-2</c:v>
                </c:pt>
                <c:pt idx="5">
                  <c:v>2.4591604E-2</c:v>
                </c:pt>
                <c:pt idx="6">
                  <c:v>2.8081950000000001E-2</c:v>
                </c:pt>
                <c:pt idx="7">
                  <c:v>2.1093942000000001E-2</c:v>
                </c:pt>
                <c:pt idx="8">
                  <c:v>5.5641420000000002E-3</c:v>
                </c:pt>
                <c:pt idx="9">
                  <c:v>1.9920318999999999E-2</c:v>
                </c:pt>
                <c:pt idx="10">
                  <c:v>4.3340080000000003E-3</c:v>
                </c:pt>
                <c:pt idx="11">
                  <c:v>1.3740102000000001E-2</c:v>
                </c:pt>
                <c:pt idx="12">
                  <c:v>2.1867882000000002E-2</c:v>
                </c:pt>
                <c:pt idx="13">
                  <c:v>5.6657219999999998E-3</c:v>
                </c:pt>
                <c:pt idx="14">
                  <c:v>2.8674516000000001E-2</c:v>
                </c:pt>
                <c:pt idx="15">
                  <c:v>2.5414365000000001E-2</c:v>
                </c:pt>
                <c:pt idx="16">
                  <c:v>2.6360213E-2</c:v>
                </c:pt>
                <c:pt idx="17">
                  <c:v>7.0459750000000003E-3</c:v>
                </c:pt>
                <c:pt idx="18">
                  <c:v>1.1801506999999999E-2</c:v>
                </c:pt>
                <c:pt idx="19">
                  <c:v>1.9183582000000001E-2</c:v>
                </c:pt>
                <c:pt idx="20">
                  <c:v>2.5767918000000001E-2</c:v>
                </c:pt>
                <c:pt idx="21">
                  <c:v>2.3804552E-2</c:v>
                </c:pt>
                <c:pt idx="22">
                  <c:v>3.0533034000000001E-2</c:v>
                </c:pt>
              </c:numCache>
            </c:numRef>
          </c:yVal>
          <c:smooth val="0"/>
          <c:extLst>
            <c:ext xmlns:c16="http://schemas.microsoft.com/office/drawing/2014/chart" uri="{C3380CC4-5D6E-409C-BE32-E72D297353CC}">
              <c16:uniqueId val="{00000000-D55F-4545-A26E-D5F2312847C0}"/>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TwoExemplaryTaxaARFcycles!$V$1:$V$23</c:f>
              <c:numCache>
                <c:formatCode>General</c:formatCode>
                <c:ptCount val="23"/>
                <c:pt idx="0">
                  <c:v>1.4354067E-2</c:v>
                </c:pt>
                <c:pt idx="1">
                  <c:v>3.0303030000000002E-2</c:v>
                </c:pt>
                <c:pt idx="2">
                  <c:v>6.3795850000000001E-3</c:v>
                </c:pt>
                <c:pt idx="3">
                  <c:v>3.1897927E-2</c:v>
                </c:pt>
                <c:pt idx="4">
                  <c:v>3.5885167000000003E-2</c:v>
                </c:pt>
                <c:pt idx="5">
                  <c:v>3.0303030000000002E-2</c:v>
                </c:pt>
                <c:pt idx="6">
                  <c:v>3.5087719000000003E-2</c:v>
                </c:pt>
                <c:pt idx="7">
                  <c:v>2.7113238000000001E-2</c:v>
                </c:pt>
                <c:pt idx="8">
                  <c:v>6.3795850000000001E-3</c:v>
                </c:pt>
                <c:pt idx="9">
                  <c:v>2.0733652000000002E-2</c:v>
                </c:pt>
                <c:pt idx="10">
                  <c:v>7.1770330000000002E-3</c:v>
                </c:pt>
                <c:pt idx="11">
                  <c:v>1.9936203999999999E-2</c:v>
                </c:pt>
                <c:pt idx="12">
                  <c:v>2.5518341E-2</c:v>
                </c:pt>
                <c:pt idx="13">
                  <c:v>6.3795850000000001E-3</c:v>
                </c:pt>
                <c:pt idx="14">
                  <c:v>3.8277512E-2</c:v>
                </c:pt>
                <c:pt idx="15">
                  <c:v>3.0303030000000002E-2</c:v>
                </c:pt>
                <c:pt idx="16">
                  <c:v>3.3492822999999998E-2</c:v>
                </c:pt>
                <c:pt idx="17">
                  <c:v>1.1164274E-2</c:v>
                </c:pt>
                <c:pt idx="18">
                  <c:v>1.7543860000000001E-2</c:v>
                </c:pt>
                <c:pt idx="19">
                  <c:v>3.3492822999999998E-2</c:v>
                </c:pt>
                <c:pt idx="20">
                  <c:v>3.5885167000000003E-2</c:v>
                </c:pt>
                <c:pt idx="21">
                  <c:v>2.6315788999999999E-2</c:v>
                </c:pt>
                <c:pt idx="22">
                  <c:v>3.9074959999999999E-2</c:v>
                </c:pt>
              </c:numCache>
            </c:numRef>
          </c:xVal>
          <c:yVal>
            <c:numRef>
              <c:f>TwoExemplaryTaxaARFcycles!$AA$1:$AA$23</c:f>
              <c:numCache>
                <c:formatCode>General</c:formatCode>
                <c:ptCount val="23"/>
                <c:pt idx="0">
                  <c:v>1.4070463E-2</c:v>
                </c:pt>
                <c:pt idx="1">
                  <c:v>2.5885736999999999E-2</c:v>
                </c:pt>
                <c:pt idx="2">
                  <c:v>4.1656749999999998E-3</c:v>
                </c:pt>
                <c:pt idx="3">
                  <c:v>2.7579909E-2</c:v>
                </c:pt>
                <c:pt idx="4">
                  <c:v>2.3866034000000001E-2</c:v>
                </c:pt>
                <c:pt idx="6">
                  <c:v>3.1612902999999998E-2</c:v>
                </c:pt>
                <c:pt idx="7">
                  <c:v>2.3153144000000001E-2</c:v>
                </c:pt>
                <c:pt idx="8">
                  <c:v>6.0458309999999998E-3</c:v>
                </c:pt>
                <c:pt idx="9">
                  <c:v>1.34754E-2</c:v>
                </c:pt>
                <c:pt idx="10">
                  <c:v>5.2097610000000003E-3</c:v>
                </c:pt>
                <c:pt idx="11">
                  <c:v>1.4463381000000001E-2</c:v>
                </c:pt>
                <c:pt idx="12">
                  <c:v>2.3246203E-2</c:v>
                </c:pt>
                <c:pt idx="13">
                  <c:v>6.0159829999999999E-3</c:v>
                </c:pt>
                <c:pt idx="14">
                  <c:v>2.7989318999999999E-2</c:v>
                </c:pt>
                <c:pt idx="15">
                  <c:v>2.2596505999999999E-2</c:v>
                </c:pt>
                <c:pt idx="16">
                  <c:v>2.8645552000000001E-2</c:v>
                </c:pt>
                <c:pt idx="17">
                  <c:v>9.3230640000000007E-3</c:v>
                </c:pt>
                <c:pt idx="18">
                  <c:v>1.4228987E-2</c:v>
                </c:pt>
                <c:pt idx="19">
                  <c:v>2.7681661E-2</c:v>
                </c:pt>
                <c:pt idx="20">
                  <c:v>2.8878504999999999E-2</c:v>
                </c:pt>
                <c:pt idx="21">
                  <c:v>2.3034934E-2</c:v>
                </c:pt>
                <c:pt idx="22">
                  <c:v>2.9250457000000001E-2</c:v>
                </c:pt>
              </c:numCache>
            </c:numRef>
          </c:yVal>
          <c:smooth val="0"/>
          <c:extLst>
            <c:ext xmlns:c16="http://schemas.microsoft.com/office/drawing/2014/chart" uri="{C3380CC4-5D6E-409C-BE32-E72D297353CC}">
              <c16:uniqueId val="{00000001-D55F-4545-A26E-D5F2312847C0}"/>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TwoExemplaryTaxaARFcycles!$V$1:$V$23</c:f>
              <c:numCache>
                <c:formatCode>General</c:formatCode>
                <c:ptCount val="23"/>
                <c:pt idx="0">
                  <c:v>1.4354067E-2</c:v>
                </c:pt>
                <c:pt idx="1">
                  <c:v>3.0303030000000002E-2</c:v>
                </c:pt>
                <c:pt idx="2">
                  <c:v>6.3795850000000001E-3</c:v>
                </c:pt>
                <c:pt idx="3">
                  <c:v>3.1897927E-2</c:v>
                </c:pt>
                <c:pt idx="4">
                  <c:v>3.5885167000000003E-2</c:v>
                </c:pt>
                <c:pt idx="5">
                  <c:v>3.0303030000000002E-2</c:v>
                </c:pt>
                <c:pt idx="6">
                  <c:v>3.5087719000000003E-2</c:v>
                </c:pt>
                <c:pt idx="7">
                  <c:v>2.7113238000000001E-2</c:v>
                </c:pt>
                <c:pt idx="8">
                  <c:v>6.3795850000000001E-3</c:v>
                </c:pt>
                <c:pt idx="9">
                  <c:v>2.0733652000000002E-2</c:v>
                </c:pt>
                <c:pt idx="10">
                  <c:v>7.1770330000000002E-3</c:v>
                </c:pt>
                <c:pt idx="11">
                  <c:v>1.9936203999999999E-2</c:v>
                </c:pt>
                <c:pt idx="12">
                  <c:v>2.5518341E-2</c:v>
                </c:pt>
                <c:pt idx="13">
                  <c:v>6.3795850000000001E-3</c:v>
                </c:pt>
                <c:pt idx="14">
                  <c:v>3.8277512E-2</c:v>
                </c:pt>
                <c:pt idx="15">
                  <c:v>3.0303030000000002E-2</c:v>
                </c:pt>
                <c:pt idx="16">
                  <c:v>3.3492822999999998E-2</c:v>
                </c:pt>
                <c:pt idx="17">
                  <c:v>1.1164274E-2</c:v>
                </c:pt>
                <c:pt idx="18">
                  <c:v>1.7543860000000001E-2</c:v>
                </c:pt>
                <c:pt idx="19">
                  <c:v>3.3492822999999998E-2</c:v>
                </c:pt>
                <c:pt idx="20">
                  <c:v>3.5885167000000003E-2</c:v>
                </c:pt>
                <c:pt idx="21">
                  <c:v>2.6315788999999999E-2</c:v>
                </c:pt>
                <c:pt idx="22">
                  <c:v>3.9074959999999999E-2</c:v>
                </c:pt>
              </c:numCache>
            </c:numRef>
          </c:xVal>
          <c:yVal>
            <c:numRef>
              <c:f>TwoExemplaryTaxaARFcycles!$AE$1:$AE$23</c:f>
              <c:numCache>
                <c:formatCode>General</c:formatCode>
                <c:ptCount val="23"/>
                <c:pt idx="0">
                  <c:v>1.5274698E-2</c:v>
                </c:pt>
                <c:pt idx="1">
                  <c:v>2.0523708000000002E-2</c:v>
                </c:pt>
                <c:pt idx="2">
                  <c:v>5.6916600000000003E-3</c:v>
                </c:pt>
                <c:pt idx="3">
                  <c:v>2.9443517999999998E-2</c:v>
                </c:pt>
                <c:pt idx="4">
                  <c:v>2.7698864E-2</c:v>
                </c:pt>
                <c:pt idx="5">
                  <c:v>2.7138549000000001E-2</c:v>
                </c:pt>
                <c:pt idx="6">
                  <c:v>3.1407406999999998E-2</c:v>
                </c:pt>
                <c:pt idx="7">
                  <c:v>2.1949405000000002E-2</c:v>
                </c:pt>
                <c:pt idx="8">
                  <c:v>2.4271845E-2</c:v>
                </c:pt>
                <c:pt idx="9">
                  <c:v>1.2489762E-2</c:v>
                </c:pt>
                <c:pt idx="10">
                  <c:v>1.0158847E-2</c:v>
                </c:pt>
                <c:pt idx="11">
                  <c:v>2.3379629999999998E-2</c:v>
                </c:pt>
                <c:pt idx="12">
                  <c:v>2.9220348E-2</c:v>
                </c:pt>
                <c:pt idx="13">
                  <c:v>1.503876E-2</c:v>
                </c:pt>
                <c:pt idx="14">
                  <c:v>2.8781384E-2</c:v>
                </c:pt>
                <c:pt idx="15">
                  <c:v>2.2439023999999998E-2</c:v>
                </c:pt>
                <c:pt idx="16">
                  <c:v>2.6556777E-2</c:v>
                </c:pt>
                <c:pt idx="17">
                  <c:v>1.0013351E-2</c:v>
                </c:pt>
                <c:pt idx="18">
                  <c:v>1.4800335E-2</c:v>
                </c:pt>
                <c:pt idx="19">
                  <c:v>2.6477146E-2</c:v>
                </c:pt>
                <c:pt idx="20">
                  <c:v>2.5757354E-2</c:v>
                </c:pt>
                <c:pt idx="21">
                  <c:v>2.5588834000000001E-2</c:v>
                </c:pt>
                <c:pt idx="22">
                  <c:v>2.6806818E-2</c:v>
                </c:pt>
              </c:numCache>
            </c:numRef>
          </c:yVal>
          <c:smooth val="0"/>
          <c:extLst>
            <c:ext xmlns:c16="http://schemas.microsoft.com/office/drawing/2014/chart" uri="{C3380CC4-5D6E-409C-BE32-E72D297353CC}">
              <c16:uniqueId val="{00000002-D55F-4545-A26E-D5F2312847C0}"/>
            </c:ext>
          </c:extLst>
        </c:ser>
        <c:ser>
          <c:idx val="3"/>
          <c:order val="3"/>
          <c:spPr>
            <a:ln w="19050" cap="rnd">
              <a:noFill/>
              <a:round/>
            </a:ln>
            <a:effectLst/>
          </c:spPr>
          <c:marker>
            <c:symbol val="circle"/>
            <c:size val="5"/>
            <c:spPr>
              <a:solidFill>
                <a:schemeClr val="accent4"/>
              </a:solidFill>
              <a:ln w="9525">
                <a:solidFill>
                  <a:schemeClr val="accent4"/>
                </a:solidFill>
              </a:ln>
              <a:effectLst/>
            </c:spPr>
          </c:marker>
          <c:xVal>
            <c:numRef>
              <c:f>TwoExemplaryTaxaARFcycles!$V$1:$V$23</c:f>
              <c:numCache>
                <c:formatCode>General</c:formatCode>
                <c:ptCount val="23"/>
                <c:pt idx="0">
                  <c:v>1.4354067E-2</c:v>
                </c:pt>
                <c:pt idx="1">
                  <c:v>3.0303030000000002E-2</c:v>
                </c:pt>
                <c:pt idx="2">
                  <c:v>6.3795850000000001E-3</c:v>
                </c:pt>
                <c:pt idx="3">
                  <c:v>3.1897927E-2</c:v>
                </c:pt>
                <c:pt idx="4">
                  <c:v>3.5885167000000003E-2</c:v>
                </c:pt>
                <c:pt idx="5">
                  <c:v>3.0303030000000002E-2</c:v>
                </c:pt>
                <c:pt idx="6">
                  <c:v>3.5087719000000003E-2</c:v>
                </c:pt>
                <c:pt idx="7">
                  <c:v>2.7113238000000001E-2</c:v>
                </c:pt>
                <c:pt idx="8">
                  <c:v>6.3795850000000001E-3</c:v>
                </c:pt>
                <c:pt idx="9">
                  <c:v>2.0733652000000002E-2</c:v>
                </c:pt>
                <c:pt idx="10">
                  <c:v>7.1770330000000002E-3</c:v>
                </c:pt>
                <c:pt idx="11">
                  <c:v>1.9936203999999999E-2</c:v>
                </c:pt>
                <c:pt idx="12">
                  <c:v>2.5518341E-2</c:v>
                </c:pt>
                <c:pt idx="13">
                  <c:v>6.3795850000000001E-3</c:v>
                </c:pt>
                <c:pt idx="14">
                  <c:v>3.8277512E-2</c:v>
                </c:pt>
                <c:pt idx="15">
                  <c:v>3.0303030000000002E-2</c:v>
                </c:pt>
                <c:pt idx="16">
                  <c:v>3.3492822999999998E-2</c:v>
                </c:pt>
                <c:pt idx="17">
                  <c:v>1.1164274E-2</c:v>
                </c:pt>
                <c:pt idx="18">
                  <c:v>1.7543860000000001E-2</c:v>
                </c:pt>
                <c:pt idx="19">
                  <c:v>3.3492822999999998E-2</c:v>
                </c:pt>
                <c:pt idx="20">
                  <c:v>3.5885167000000003E-2</c:v>
                </c:pt>
                <c:pt idx="21">
                  <c:v>2.6315788999999999E-2</c:v>
                </c:pt>
                <c:pt idx="22">
                  <c:v>3.9074959999999999E-2</c:v>
                </c:pt>
              </c:numCache>
            </c:numRef>
          </c:xVal>
          <c:yVal>
            <c:numRef>
              <c:f>TwoExemplaryTaxaARFcycles!$AI$1:$AI$23</c:f>
              <c:numCache>
                <c:formatCode>General</c:formatCode>
                <c:ptCount val="23"/>
                <c:pt idx="0">
                  <c:v>1.8972849E-2</c:v>
                </c:pt>
                <c:pt idx="2">
                  <c:v>5.8536589999999998E-3</c:v>
                </c:pt>
                <c:pt idx="3">
                  <c:v>3.4482759000000002E-2</c:v>
                </c:pt>
                <c:pt idx="4">
                  <c:v>2.8256705E-2</c:v>
                </c:pt>
                <c:pt idx="5">
                  <c:v>3.0124654000000001E-2</c:v>
                </c:pt>
                <c:pt idx="6">
                  <c:v>3.6702428000000002E-2</c:v>
                </c:pt>
                <c:pt idx="7">
                  <c:v>1.8744905999999999E-2</c:v>
                </c:pt>
                <c:pt idx="8">
                  <c:v>6.2143099999999998E-3</c:v>
                </c:pt>
                <c:pt idx="10">
                  <c:v>4.4554460000000001E-3</c:v>
                </c:pt>
                <c:pt idx="11">
                  <c:v>1.3370714000000001E-2</c:v>
                </c:pt>
                <c:pt idx="12">
                  <c:v>1.9145802999999999E-2</c:v>
                </c:pt>
                <c:pt idx="13">
                  <c:v>8.0760099999999998E-3</c:v>
                </c:pt>
                <c:pt idx="14">
                  <c:v>3.4163288999999999E-2</c:v>
                </c:pt>
                <c:pt idx="15">
                  <c:v>3.2226077999999998E-2</c:v>
                </c:pt>
                <c:pt idx="18">
                  <c:v>1.0785823999999999E-2</c:v>
                </c:pt>
                <c:pt idx="20">
                  <c:v>2.9641186E-2</c:v>
                </c:pt>
                <c:pt idx="21">
                  <c:v>2.4665256999999999E-2</c:v>
                </c:pt>
                <c:pt idx="22">
                  <c:v>3.2825321999999997E-2</c:v>
                </c:pt>
              </c:numCache>
            </c:numRef>
          </c:yVal>
          <c:smooth val="0"/>
          <c:extLst>
            <c:ext xmlns:c16="http://schemas.microsoft.com/office/drawing/2014/chart" uri="{C3380CC4-5D6E-409C-BE32-E72D297353CC}">
              <c16:uniqueId val="{00000003-D55F-4545-A26E-D5F2312847C0}"/>
            </c:ext>
          </c:extLst>
        </c:ser>
        <c:dLbls>
          <c:showLegendKey val="0"/>
          <c:showVal val="0"/>
          <c:showCatName val="0"/>
          <c:showSerName val="0"/>
          <c:showPercent val="0"/>
          <c:showBubbleSize val="0"/>
        </c:dLbls>
        <c:axId val="356806096"/>
        <c:axId val="356805440"/>
      </c:scatterChart>
      <c:valAx>
        <c:axId val="3568060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805440"/>
        <c:crosses val="autoZero"/>
        <c:crossBetween val="midCat"/>
      </c:valAx>
      <c:valAx>
        <c:axId val="356805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8060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4881</TotalTime>
  <Pages>26</Pages>
  <Words>6505</Words>
  <Characters>37082</Characters>
  <Application>Microsoft Office Word</Application>
  <DocSecurity>0</DocSecurity>
  <Lines>309</Lines>
  <Paragraphs>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HK</dc:creator>
  <cp:lastModifiedBy>HK</cp:lastModifiedBy>
  <cp:revision>246</cp:revision>
  <dcterms:created xsi:type="dcterms:W3CDTF">2015-11-25T02:02:00Z</dcterms:created>
  <dcterms:modified xsi:type="dcterms:W3CDTF">2016-06-24T21:08:00Z</dcterms:modified>
</cp:coreProperties>
</file>