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3C4" w:rsidRPr="00407A1E" w:rsidRDefault="004123C4" w:rsidP="004123C4">
      <w:pPr>
        <w:rPr>
          <w:b/>
        </w:rPr>
      </w:pPr>
      <w:r w:rsidRPr="00407A1E">
        <w:rPr>
          <w:b/>
        </w:rPr>
        <w:t>Metabarcoding Supplement</w:t>
      </w:r>
    </w:p>
    <w:p w:rsidR="004123C4" w:rsidRDefault="004123C4" w:rsidP="004123C4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 test for taxonomic bias in DNA content,</w:t>
      </w:r>
      <w:r w:rsidRPr="00000C05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w</w:t>
      </w:r>
      <w:r w:rsidRPr="00000C05">
        <w:rPr>
          <w:rFonts w:ascii="Times New Roman" w:hAnsi="Times New Roman" w:cs="Times New Roman"/>
          <w:bCs/>
          <w:sz w:val="24"/>
          <w:szCs w:val="24"/>
        </w:rPr>
        <w:t xml:space="preserve">e selected </w:t>
      </w:r>
      <w:r w:rsidRPr="0015147A">
        <w:rPr>
          <w:rFonts w:ascii="Times New Roman" w:hAnsi="Times New Roman" w:cs="Times New Roman"/>
          <w:bCs/>
          <w:sz w:val="24"/>
          <w:szCs w:val="24"/>
          <w:highlight w:val="yellow"/>
        </w:rPr>
        <w:t>xxx</w:t>
      </w:r>
      <w:r>
        <w:rPr>
          <w:rFonts w:ascii="Times New Roman" w:hAnsi="Times New Roman" w:cs="Times New Roman"/>
          <w:bCs/>
          <w:sz w:val="24"/>
          <w:szCs w:val="24"/>
        </w:rPr>
        <w:t xml:space="preserve"> specimens from </w:t>
      </w:r>
      <w:r w:rsidRPr="00000C05">
        <w:rPr>
          <w:rFonts w:ascii="Times New Roman" w:hAnsi="Times New Roman" w:cs="Times New Roman"/>
          <w:bCs/>
          <w:sz w:val="24"/>
          <w:szCs w:val="24"/>
        </w:rPr>
        <w:t xml:space="preserve">nine representative taxa (6 </w:t>
      </w:r>
      <w:proofErr w:type="spellStart"/>
      <w:r w:rsidRPr="00000C05">
        <w:rPr>
          <w:rFonts w:ascii="Times New Roman" w:hAnsi="Times New Roman" w:cs="Times New Roman"/>
          <w:bCs/>
          <w:sz w:val="24"/>
          <w:szCs w:val="24"/>
        </w:rPr>
        <w:t>Araneae</w:t>
      </w:r>
      <w:proofErr w:type="spellEnd"/>
      <w:r w:rsidRPr="00000C05">
        <w:rPr>
          <w:rFonts w:ascii="Times New Roman" w:hAnsi="Times New Roman" w:cs="Times New Roman"/>
          <w:bCs/>
          <w:sz w:val="24"/>
          <w:szCs w:val="24"/>
        </w:rPr>
        <w:t xml:space="preserve"> species, from 3 genera and 4 families, and each 1 </w:t>
      </w:r>
      <w:proofErr w:type="spellStart"/>
      <w:r w:rsidRPr="00000C05">
        <w:rPr>
          <w:rFonts w:ascii="Times New Roman" w:hAnsi="Times New Roman" w:cs="Times New Roman"/>
          <w:bCs/>
          <w:sz w:val="24"/>
          <w:szCs w:val="24"/>
        </w:rPr>
        <w:t>Orthoptera</w:t>
      </w:r>
      <w:proofErr w:type="spellEnd"/>
      <w:r w:rsidRPr="00000C0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00C05">
        <w:rPr>
          <w:rFonts w:ascii="Times New Roman" w:hAnsi="Times New Roman" w:cs="Times New Roman"/>
          <w:bCs/>
          <w:sz w:val="24"/>
          <w:szCs w:val="24"/>
        </w:rPr>
        <w:t>Blattodea</w:t>
      </w:r>
      <w:proofErr w:type="spellEnd"/>
      <w:r w:rsidRPr="00000C05">
        <w:rPr>
          <w:rFonts w:ascii="Times New Roman" w:hAnsi="Times New Roman" w:cs="Times New Roman"/>
          <w:bCs/>
          <w:sz w:val="24"/>
          <w:szCs w:val="24"/>
        </w:rPr>
        <w:t xml:space="preserve"> &amp; </w:t>
      </w:r>
      <w:proofErr w:type="spellStart"/>
      <w:r w:rsidRPr="00000C05">
        <w:rPr>
          <w:rFonts w:ascii="Times New Roman" w:hAnsi="Times New Roman" w:cs="Times New Roman"/>
          <w:bCs/>
          <w:sz w:val="24"/>
          <w:szCs w:val="24"/>
        </w:rPr>
        <w:t>Hemiptera</w:t>
      </w:r>
      <w:proofErr w:type="spellEnd"/>
      <w:r w:rsidRPr="00000C05">
        <w:rPr>
          <w:rFonts w:ascii="Times New Roman" w:hAnsi="Times New Roman" w:cs="Times New Roman"/>
          <w:bCs/>
          <w:sz w:val="24"/>
          <w:szCs w:val="24"/>
        </w:rPr>
        <w:t xml:space="preserve"> species)</w:t>
      </w:r>
      <w:r>
        <w:rPr>
          <w:rFonts w:ascii="Times New Roman" w:hAnsi="Times New Roman" w:cs="Times New Roman"/>
          <w:bCs/>
          <w:sz w:val="24"/>
          <w:szCs w:val="24"/>
        </w:rPr>
        <w:t xml:space="preserve">. These specimens represent a wide phylogenetic divergence from very closely related taxa to deeply divergent lineages. Each specimen’s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bodylength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(head – abdomen for insects, prosoma – opisthosoma for spiders) was measured under a binocular using graph paper and its bodyweight was quantified using a microscale. Each specimen was then extracted in a separate tube and the DNA extraction quantified as described above. The total amount of mg DNA per specimen was calculated. </w:t>
      </w:r>
    </w:p>
    <w:p w:rsidR="00266B56" w:rsidRPr="004123C4" w:rsidRDefault="00266B56" w:rsidP="004123C4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498A">
        <w:rPr>
          <w:rFonts w:ascii="Times New Roman" w:hAnsi="Times New Roman" w:cs="Times New Roman"/>
          <w:bCs/>
          <w:sz w:val="24"/>
          <w:szCs w:val="24"/>
        </w:rPr>
        <w:t>In order to quantify biases in DNA content between different body parts of arthropods, we analyzed extractions from the prosoma and from legs from two different spider species (</w:t>
      </w:r>
      <w:proofErr w:type="spellStart"/>
      <w:r w:rsidRPr="005E7B2C">
        <w:rPr>
          <w:rFonts w:ascii="Times New Roman" w:hAnsi="Times New Roman" w:cs="Times New Roman"/>
          <w:bCs/>
          <w:i/>
          <w:sz w:val="24"/>
          <w:szCs w:val="24"/>
        </w:rPr>
        <w:t>Havaika</w:t>
      </w:r>
      <w:proofErr w:type="spellEnd"/>
      <w:r w:rsidRPr="0084498A">
        <w:rPr>
          <w:rFonts w:ascii="Times New Roman" w:hAnsi="Times New Roman" w:cs="Times New Roman"/>
          <w:bCs/>
          <w:sz w:val="24"/>
          <w:szCs w:val="24"/>
        </w:rPr>
        <w:t xml:space="preserve"> sp. and </w:t>
      </w:r>
      <w:proofErr w:type="spellStart"/>
      <w:r w:rsidRPr="005E7B2C">
        <w:rPr>
          <w:rFonts w:ascii="Times New Roman" w:hAnsi="Times New Roman" w:cs="Times New Roman"/>
          <w:bCs/>
          <w:i/>
          <w:sz w:val="24"/>
          <w:szCs w:val="24"/>
        </w:rPr>
        <w:t>Pagiopalus</w:t>
      </w:r>
      <w:proofErr w:type="spellEnd"/>
      <w:r w:rsidRPr="0084498A">
        <w:rPr>
          <w:rFonts w:ascii="Times New Roman" w:hAnsi="Times New Roman" w:cs="Times New Roman"/>
          <w:bCs/>
          <w:sz w:val="24"/>
          <w:szCs w:val="24"/>
        </w:rPr>
        <w:t xml:space="preserve"> sp.). We compared the ratio of recovered reads and input tissue for the respective body parts in the different mock communities.</w:t>
      </w:r>
    </w:p>
    <w:p w:rsidR="004123C4" w:rsidRDefault="004123C4" w:rsidP="004123C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5742DC24" wp14:editId="3B0430B0">
            <wp:extent cx="2769870" cy="2769870"/>
            <wp:effectExtent l="0" t="0" r="0" b="0"/>
            <wp:docPr id="9" name="Picture 9" descr="C:\Users\HK\AppData\Local\Microsoft\Windows\INetCacheContent.Word\fig_sizeDNA_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K\AppData\Local\Microsoft\Windows\INetCacheContent.Word\fig_sizeDNA_lo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7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B56" w:rsidRPr="008E2CB6" w:rsidRDefault="00407A1E" w:rsidP="00266B56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Supplementary Figure XX Association of A) </w:t>
      </w:r>
      <w:r w:rsidR="00266B56" w:rsidRPr="008E2CB6">
        <w:rPr>
          <w:rFonts w:ascii="Times New Roman" w:hAnsi="Times New Roman" w:cs="Times New Roman"/>
          <w:b/>
          <w:sz w:val="24"/>
          <w:szCs w:val="24"/>
        </w:rPr>
        <w:t xml:space="preserve">Body </w:t>
      </w:r>
      <w:r>
        <w:rPr>
          <w:rFonts w:ascii="Times New Roman" w:hAnsi="Times New Roman" w:cs="Times New Roman"/>
          <w:b/>
          <w:sz w:val="24"/>
          <w:szCs w:val="24"/>
        </w:rPr>
        <w:t>length (mm) to body weight (mg) for 9 exemplary arthropod taxa. B) of body weight and DNA content (mg) and C) of body length (mm) and DNA content (mg) for</w:t>
      </w:r>
      <w:r w:rsidR="00266B56" w:rsidRPr="008E2CB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the same taxa.</w:t>
      </w:r>
    </w:p>
    <w:p w:rsidR="00407A1E" w:rsidRDefault="00407A1E" w:rsidP="004123C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E2C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5CF28A" wp14:editId="46D18920">
            <wp:extent cx="2720340" cy="2541270"/>
            <wp:effectExtent l="0" t="0" r="3810" b="0"/>
            <wp:docPr id="1" name="Picture 1" descr="C:\Users\HK\AppData\Local\Microsoft\Windows\INetCacheContent.Word\bodypartvsd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K\AppData\Local\Microsoft\Windows\INetCacheContent.Word\bodypartvsdn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8" t="6631" r="2918" b="4907"/>
                    <a:stretch/>
                  </pic:blipFill>
                  <pic:spPr bwMode="auto">
                    <a:xfrm>
                      <a:off x="0" y="0"/>
                      <a:ext cx="272034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A1E" w:rsidRDefault="00407A1E" w:rsidP="004123C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</w:rPr>
        <w:t>Supplementary Figure XX</w:t>
      </w:r>
      <w:r>
        <w:rPr>
          <w:rFonts w:ascii="Times New Roman" w:hAnsi="Times New Roman" w:cs="Times New Roman"/>
          <w:b/>
          <w:sz w:val="24"/>
          <w:szCs w:val="24"/>
        </w:rPr>
        <w:t xml:space="preserve"> Average ratio of the proportion of input tissue for prosoma and legs and recovered mitochondrial COI reads for </w:t>
      </w:r>
      <w:proofErr w:type="spellStart"/>
      <w:r w:rsidRPr="00407A1E">
        <w:rPr>
          <w:rFonts w:ascii="Times New Roman" w:hAnsi="Times New Roman" w:cs="Times New Roman"/>
          <w:b/>
          <w:i/>
          <w:sz w:val="24"/>
          <w:szCs w:val="24"/>
        </w:rPr>
        <w:t>Havaik</w:t>
      </w:r>
      <w:r>
        <w:rPr>
          <w:rFonts w:ascii="Times New Roman" w:hAnsi="Times New Roman" w:cs="Times New Roman"/>
          <w:b/>
          <w:i/>
          <w:sz w:val="24"/>
          <w:szCs w:val="24"/>
        </w:rPr>
        <w:t>a</w:t>
      </w:r>
      <w:proofErr w:type="spellEnd"/>
      <w:r w:rsidRPr="00407A1E">
        <w:rPr>
          <w:rFonts w:ascii="Times New Roman" w:hAnsi="Times New Roman" w:cs="Times New Roman"/>
          <w:b/>
          <w:i/>
          <w:sz w:val="24"/>
          <w:szCs w:val="24"/>
        </w:rPr>
        <w:t xml:space="preserve"> and </w:t>
      </w:r>
      <w:proofErr w:type="spellStart"/>
      <w:r w:rsidRPr="00407A1E">
        <w:rPr>
          <w:rFonts w:ascii="Times New Roman" w:hAnsi="Times New Roman" w:cs="Times New Roman"/>
          <w:b/>
          <w:i/>
          <w:sz w:val="24"/>
          <w:szCs w:val="24"/>
        </w:rPr>
        <w:t>Pagiopalus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spiders in our tissue pools. The plot shows the average ratios plotted for the high and low molecular weight fraction of the tissue pool DNA. </w:t>
      </w:r>
    </w:p>
    <w:p w:rsidR="004123C4" w:rsidRDefault="004123C4" w:rsidP="004123C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A97">
        <w:rPr>
          <w:rFonts w:ascii="Times New Roman" w:hAnsi="Times New Roman" w:cs="Times New Roman"/>
          <w:sz w:val="24"/>
          <w:szCs w:val="24"/>
          <w:highlight w:val="yellow"/>
        </w:rPr>
        <w:t xml:space="preserve">An analysis of body length, body weight and corresponding DNA content shows a comparable response for all nine arthropod taxa. Increasing body length is exponentially associated with a gain in body length. The association of DNA content and body length also follows a power law relationship. Specimens of increasing body length yield exponentially increasing DNA amounts. With the exception of Hemipterans, this association is surprisingly similar between spiders, orthopteran and </w:t>
      </w:r>
      <w:proofErr w:type="spellStart"/>
      <w:r w:rsidRPr="00C65A97">
        <w:rPr>
          <w:rFonts w:ascii="Times New Roman" w:hAnsi="Times New Roman" w:cs="Times New Roman"/>
          <w:sz w:val="24"/>
          <w:szCs w:val="24"/>
          <w:highlight w:val="yellow"/>
        </w:rPr>
        <w:t>blattodea</w:t>
      </w:r>
      <w:proofErr w:type="spellEnd"/>
      <w:r w:rsidRPr="00C65A97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266B56" w:rsidRPr="008E2CB6" w:rsidRDefault="00266B56" w:rsidP="00266B5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CB6">
        <w:rPr>
          <w:rFonts w:ascii="Times New Roman" w:hAnsi="Times New Roman" w:cs="Times New Roman"/>
          <w:sz w:val="24"/>
          <w:szCs w:val="24"/>
        </w:rPr>
        <w:t xml:space="preserve">A comparison of the ratios of recovered reads per mg tissue yields very different results for extractions of legs and </w:t>
      </w:r>
      <w:proofErr w:type="spellStart"/>
      <w:r w:rsidRPr="008E2CB6">
        <w:rPr>
          <w:rFonts w:ascii="Times New Roman" w:hAnsi="Times New Roman" w:cs="Times New Roman"/>
          <w:sz w:val="24"/>
          <w:szCs w:val="24"/>
        </w:rPr>
        <w:t>prosomas</w:t>
      </w:r>
      <w:proofErr w:type="spellEnd"/>
      <w:r w:rsidRPr="008E2CB6">
        <w:rPr>
          <w:rFonts w:ascii="Times New Roman" w:hAnsi="Times New Roman" w:cs="Times New Roman"/>
          <w:sz w:val="24"/>
          <w:szCs w:val="24"/>
        </w:rPr>
        <w:t xml:space="preserve"> from spiders. Extractions from the prosoma recover significantly </w:t>
      </w:r>
      <w:r w:rsidRPr="008E2CB6">
        <w:rPr>
          <w:rFonts w:ascii="Times New Roman" w:hAnsi="Times New Roman" w:cs="Times New Roman"/>
          <w:sz w:val="24"/>
          <w:szCs w:val="24"/>
        </w:rPr>
        <w:lastRenderedPageBreak/>
        <w:t xml:space="preserve">more DNA per mg tissue than those from the legs. This holds true for both tested spider species. Moreover, a taxonomic bias is clearly visible between high and low molecular weight samples, with low molecular weight samples recovering more spider reads per mg tissue than high molecular weight ones. </w:t>
      </w:r>
    </w:p>
    <w:p w:rsidR="00402D38" w:rsidRPr="00407A1E" w:rsidRDefault="00402D38" w:rsidP="00407A1E">
      <w:pPr>
        <w:pStyle w:val="ListParagraph"/>
        <w:spacing w:line="480" w:lineRule="auto"/>
        <w:ind w:left="360"/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5CB16A6C" wp14:editId="1D4C8681">
            <wp:extent cx="2887980" cy="2676466"/>
            <wp:effectExtent l="0" t="0" r="7620" b="0"/>
            <wp:docPr id="5" name="Picture 5" descr="C:\Users\HK\AppData\Local\Microsoft\Windows\INetCacheContent.Word\Rplot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K\AppData\Local\Microsoft\Windows\INetCacheContent.Word\Rplot0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3" t="6933" r="2800" b="5333"/>
                    <a:stretch/>
                  </pic:blipFill>
                  <pic:spPr bwMode="auto">
                    <a:xfrm>
                      <a:off x="0" y="0"/>
                      <a:ext cx="2891276" cy="267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07A1E">
        <w:rPr>
          <w:b/>
          <w:lang w:val="en-US"/>
        </w:rPr>
        <w:t xml:space="preserve"> </w:t>
      </w:r>
    </w:p>
    <w:p w:rsidR="00407A1E" w:rsidRDefault="00407A1E" w:rsidP="00407A1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07A1E">
        <w:rPr>
          <w:rFonts w:ascii="Times New Roman" w:hAnsi="Times New Roman" w:cs="Times New Roman"/>
          <w:b/>
          <w:sz w:val="24"/>
          <w:szCs w:val="24"/>
        </w:rPr>
        <w:t>Supplementary Figure XX</w:t>
      </w:r>
      <w:r w:rsidRPr="00407A1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Bray Curtis distance between </w:t>
      </w:r>
      <w:r>
        <w:rPr>
          <w:rFonts w:ascii="Times New Roman" w:hAnsi="Times New Roman" w:cs="Times New Roman"/>
          <w:b/>
          <w:sz w:val="24"/>
          <w:szCs w:val="24"/>
        </w:rPr>
        <w:t xml:space="preserve">PCR replicates with 5°C different annealing temperature, </w:t>
      </w:r>
      <w:r>
        <w:rPr>
          <w:rFonts w:ascii="Times New Roman" w:hAnsi="Times New Roman" w:cs="Times New Roman"/>
          <w:b/>
          <w:sz w:val="24"/>
          <w:szCs w:val="24"/>
        </w:rPr>
        <w:t>exact PCR replicates of mock community samples, and high vs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low molecular weight fractions for samples stored under freezer and room temperature conditions.</w:t>
      </w:r>
    </w:p>
    <w:p w:rsidR="00407A1E" w:rsidRDefault="00407A1E" w:rsidP="00407A1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02D38" w:rsidRPr="003C515B" w:rsidRDefault="00402D38" w:rsidP="003C515B">
      <w:pPr>
        <w:spacing w:line="48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1BD0D177" wp14:editId="35008A76">
            <wp:extent cx="4206240" cy="4206240"/>
            <wp:effectExtent l="0" t="0" r="3810" b="3810"/>
            <wp:docPr id="6" name="Picture 6" descr="C:\Users\HK\AppData\Local\Microsoft\Windows\INetCacheContent.Word\Rplot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K\AppData\Local\Microsoft\Windows\INetCacheContent.Word\Rplot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15B" w:rsidRDefault="00402D38" w:rsidP="003C515B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515B">
        <w:rPr>
          <w:b/>
        </w:rPr>
        <w:t xml:space="preserve">Supplementary Figure </w:t>
      </w:r>
      <w:r w:rsidR="003C515B">
        <w:rPr>
          <w:b/>
        </w:rPr>
        <w:t>XX</w:t>
      </w:r>
      <w:r w:rsidR="003C515B" w:rsidRPr="003C51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515B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="003C515B">
        <w:rPr>
          <w:rFonts w:ascii="Times New Roman" w:hAnsi="Times New Roman" w:cs="Times New Roman"/>
          <w:b/>
          <w:sz w:val="24"/>
          <w:szCs w:val="24"/>
        </w:rPr>
        <w:t xml:space="preserve">Association of mitochondrial COI read proportions of from high and low molecular weight samples for all taxa of mock communities stored in the freezer and </w:t>
      </w:r>
      <w:r w:rsidR="003C515B">
        <w:rPr>
          <w:rFonts w:ascii="Times New Roman" w:hAnsi="Times New Roman" w:cs="Times New Roman"/>
          <w:b/>
          <w:sz w:val="24"/>
          <w:szCs w:val="24"/>
        </w:rPr>
        <w:t>B</w:t>
      </w:r>
      <w:r w:rsidR="003C515B">
        <w:rPr>
          <w:rFonts w:ascii="Times New Roman" w:hAnsi="Times New Roman" w:cs="Times New Roman"/>
          <w:b/>
          <w:sz w:val="24"/>
          <w:szCs w:val="24"/>
        </w:rPr>
        <w:t>) for all sam</w:t>
      </w:r>
      <w:r w:rsidR="003C515B">
        <w:rPr>
          <w:rFonts w:ascii="Times New Roman" w:hAnsi="Times New Roman" w:cs="Times New Roman"/>
          <w:b/>
          <w:sz w:val="24"/>
          <w:szCs w:val="24"/>
        </w:rPr>
        <w:t>ples stored at room temperature</w:t>
      </w:r>
      <w:r w:rsidR="00130A86">
        <w:rPr>
          <w:rFonts w:ascii="Times New Roman" w:hAnsi="Times New Roman" w:cs="Times New Roman"/>
          <w:b/>
          <w:sz w:val="24"/>
          <w:szCs w:val="24"/>
        </w:rPr>
        <w:t xml:space="preserve"> C) for the 18srDNA and samples stored in the freezer and D) the 18srDNA and samples stored at room temperature</w:t>
      </w:r>
    </w:p>
    <w:p w:rsidR="00402D38" w:rsidRPr="003C515B" w:rsidRDefault="00402D38" w:rsidP="003C515B">
      <w:pPr>
        <w:spacing w:line="480" w:lineRule="auto"/>
        <w:rPr>
          <w:b/>
        </w:rPr>
      </w:pPr>
    </w:p>
    <w:p w:rsidR="00402D38" w:rsidRDefault="00402D38" w:rsidP="0037082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CCAE9A" wp14:editId="77532CB3">
            <wp:extent cx="5760720" cy="2880360"/>
            <wp:effectExtent l="0" t="0" r="0" b="0"/>
            <wp:docPr id="16" name="Picture 16" descr="C:\Users\HK\AppData\Local\Microsoft\Windows\INetCacheContent.Word\slo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HK\AppData\Local\Microsoft\Windows\INetCacheContent.Word\slop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824" w:rsidRPr="00370824" w:rsidRDefault="00370824" w:rsidP="0037082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Supplementary </w:t>
      </w:r>
      <w:r w:rsidRPr="009A74FB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XX</w:t>
      </w:r>
      <w:r w:rsidRPr="009A74F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Average </w:t>
      </w:r>
      <w:r>
        <w:rPr>
          <w:rFonts w:ascii="Times New Roman" w:hAnsi="Times New Roman" w:cs="Times New Roman"/>
          <w:b/>
          <w:sz w:val="24"/>
          <w:szCs w:val="24"/>
        </w:rPr>
        <w:t>slope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of the association </w:t>
      </w:r>
      <w:r>
        <w:rPr>
          <w:rFonts w:ascii="Times New Roman" w:hAnsi="Times New Roman" w:cs="Times New Roman"/>
          <w:b/>
          <w:sz w:val="24"/>
          <w:szCs w:val="24"/>
        </w:rPr>
        <w:t xml:space="preserve">between read count and taxon abundance for A) </w:t>
      </w:r>
      <w:r w:rsidRPr="008E2CB6">
        <w:rPr>
          <w:rFonts w:ascii="Times New Roman" w:hAnsi="Times New Roman" w:cs="Times New Roman"/>
          <w:b/>
          <w:sz w:val="24"/>
          <w:szCs w:val="24"/>
        </w:rPr>
        <w:t>nuclear marker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8E2CB6">
        <w:rPr>
          <w:rFonts w:ascii="Times New Roman" w:hAnsi="Times New Roman" w:cs="Times New Roman"/>
          <w:b/>
          <w:sz w:val="24"/>
          <w:szCs w:val="24"/>
        </w:rPr>
        <w:t xml:space="preserve"> B) for mitochondria</w:t>
      </w:r>
      <w:r>
        <w:rPr>
          <w:rFonts w:ascii="Times New Roman" w:hAnsi="Times New Roman" w:cs="Times New Roman"/>
          <w:b/>
          <w:sz w:val="24"/>
          <w:szCs w:val="24"/>
        </w:rPr>
        <w:t>l</w:t>
      </w:r>
      <w:r w:rsidRPr="008E2CB6">
        <w:rPr>
          <w:rFonts w:ascii="Times New Roman" w:hAnsi="Times New Roman" w:cs="Times New Roman"/>
          <w:b/>
          <w:sz w:val="24"/>
          <w:szCs w:val="24"/>
        </w:rPr>
        <w:t xml:space="preserve"> markers C) for marker ARF with different PCR cycles D) for tissue pools with marker MCO</w:t>
      </w:r>
    </w:p>
    <w:p w:rsidR="004123C4" w:rsidRDefault="00402D38">
      <w:r>
        <w:rPr>
          <w:noProof/>
        </w:rPr>
        <w:drawing>
          <wp:inline distT="0" distB="0" distL="0" distR="0" wp14:anchorId="70598507" wp14:editId="35514578">
            <wp:extent cx="5372100" cy="2675433"/>
            <wp:effectExtent l="0" t="0" r="0" b="0"/>
            <wp:docPr id="12" name="Picture 12" descr="C:\Users\HK\AppData\Local\Microsoft\Windows\INetCacheContent.Word\Rplot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HK\AppData\Local\Microsoft\Windows\INetCacheContent.Word\Rplot0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69"/>
                    <a:stretch/>
                  </pic:blipFill>
                  <pic:spPr bwMode="auto">
                    <a:xfrm>
                      <a:off x="0" y="0"/>
                      <a:ext cx="5373700" cy="267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0824" w:rsidRDefault="00370824">
      <w:r>
        <w:rPr>
          <w:rFonts w:ascii="Times New Roman" w:hAnsi="Times New Roman" w:cs="Times New Roman"/>
          <w:b/>
          <w:sz w:val="24"/>
          <w:szCs w:val="24"/>
        </w:rPr>
        <w:t xml:space="preserve">Supplementary </w:t>
      </w:r>
      <w:r w:rsidRPr="009A74FB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XX</w:t>
      </w:r>
      <w:r>
        <w:rPr>
          <w:rFonts w:ascii="Times New Roman" w:hAnsi="Times New Roman" w:cs="Times New Roman"/>
          <w:b/>
          <w:sz w:val="24"/>
          <w:szCs w:val="24"/>
        </w:rPr>
        <w:t xml:space="preserve"> A) Association of the proportion of input DNA and recovered reads for three arthropod species (</w:t>
      </w:r>
      <w:bookmarkStart w:id="0" w:name="_GoBack"/>
      <w:proofErr w:type="spellStart"/>
      <w:r w:rsidRPr="00370824">
        <w:rPr>
          <w:rFonts w:ascii="Times New Roman" w:hAnsi="Times New Roman" w:cs="Times New Roman"/>
          <w:b/>
          <w:i/>
          <w:sz w:val="24"/>
          <w:szCs w:val="24"/>
        </w:rPr>
        <w:t>Porcellio</w:t>
      </w:r>
      <w:proofErr w:type="spellEnd"/>
      <w:r w:rsidRPr="0037082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70824">
        <w:rPr>
          <w:rFonts w:ascii="Times New Roman" w:hAnsi="Times New Roman" w:cs="Times New Roman"/>
          <w:b/>
          <w:i/>
          <w:sz w:val="24"/>
          <w:szCs w:val="24"/>
        </w:rPr>
        <w:t>scaber</w:t>
      </w:r>
      <w:proofErr w:type="spellEnd"/>
      <w:r w:rsidRPr="00370824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370824">
        <w:rPr>
          <w:rFonts w:ascii="Times New Roman" w:hAnsi="Times New Roman" w:cs="Times New Roman"/>
          <w:b/>
          <w:i/>
          <w:sz w:val="24"/>
          <w:szCs w:val="24"/>
        </w:rPr>
        <w:t>Proteirulus</w:t>
      </w:r>
      <w:proofErr w:type="spellEnd"/>
      <w:r w:rsidRPr="0037082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70824">
        <w:rPr>
          <w:rFonts w:ascii="Times New Roman" w:hAnsi="Times New Roman" w:cs="Times New Roman"/>
          <w:b/>
          <w:i/>
          <w:sz w:val="24"/>
          <w:szCs w:val="24"/>
        </w:rPr>
        <w:t>fuscus</w:t>
      </w:r>
      <w:proofErr w:type="spellEnd"/>
      <w:r w:rsidRPr="00370824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370824">
        <w:rPr>
          <w:rFonts w:ascii="Times New Roman" w:hAnsi="Times New Roman" w:cs="Times New Roman"/>
          <w:b/>
          <w:i/>
          <w:sz w:val="24"/>
          <w:szCs w:val="24"/>
        </w:rPr>
        <w:t>Tomocerus</w:t>
      </w:r>
      <w:proofErr w:type="spellEnd"/>
      <w:r w:rsidRPr="00370824">
        <w:rPr>
          <w:rFonts w:ascii="Times New Roman" w:hAnsi="Times New Roman" w:cs="Times New Roman"/>
          <w:b/>
          <w:i/>
          <w:sz w:val="24"/>
          <w:szCs w:val="24"/>
        </w:rPr>
        <w:t xml:space="preserve"> minor</w:t>
      </w:r>
      <w:bookmarkEnd w:id="0"/>
      <w:r>
        <w:rPr>
          <w:rFonts w:ascii="Times New Roman" w:hAnsi="Times New Roman" w:cs="Times New Roman"/>
          <w:b/>
          <w:sz w:val="24"/>
          <w:szCs w:val="24"/>
        </w:rPr>
        <w:t>) and B) for the same three species based on tissue pools</w:t>
      </w:r>
    </w:p>
    <w:sectPr w:rsidR="00370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E0CD4"/>
    <w:multiLevelType w:val="hybridMultilevel"/>
    <w:tmpl w:val="9A9E0D86"/>
    <w:lvl w:ilvl="0" w:tplc="2340A7BA">
      <w:start w:val="2010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3C4"/>
    <w:rsid w:val="00130A86"/>
    <w:rsid w:val="00266B56"/>
    <w:rsid w:val="00370824"/>
    <w:rsid w:val="003C515B"/>
    <w:rsid w:val="00402D38"/>
    <w:rsid w:val="00407A1E"/>
    <w:rsid w:val="004123C4"/>
    <w:rsid w:val="00492AFD"/>
    <w:rsid w:val="00F2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15DF8"/>
  <w15:chartTrackingRefBased/>
  <w15:docId w15:val="{29B4AC1B-28D5-40EC-A152-82E992A0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3C4"/>
    <w:pPr>
      <w:spacing w:after="200" w:line="276" w:lineRule="auto"/>
      <w:ind w:left="720"/>
      <w:contextualSpacing/>
    </w:pPr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</dc:creator>
  <cp:keywords/>
  <dc:description/>
  <cp:lastModifiedBy>HK</cp:lastModifiedBy>
  <cp:revision>6</cp:revision>
  <dcterms:created xsi:type="dcterms:W3CDTF">2016-10-05T19:23:00Z</dcterms:created>
  <dcterms:modified xsi:type="dcterms:W3CDTF">2016-10-06T23:58:00Z</dcterms:modified>
</cp:coreProperties>
</file>