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0.pdf" ContentType="application/pdf"/>
  <Override PartName="/word/media/rId57.pdf" ContentType="application/pdf"/>
  <Override PartName="/word/media/rId56.pdf" ContentType="application/pdf"/>
  <Override PartName="/word/media/rId61.png" ContentType="image/png"/>
  <Override PartName="/word/media/rId5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are governed by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generations to geological epochs, macroecology provides an ahistorical description of commonness and rarity across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pPr>
        <w:pStyle w:val="Heading1"/>
      </w:pPr>
      <w:bookmarkStart w:id="22" w:name="non-equilibrium-inference-and-theory-in-ecology-and-evolution"/>
      <w:bookmarkEnd w:id="22"/>
      <w:r>
        <w:t xml:space="preserve">Non-equilibrium, inference, and theory in ecology and evolution</w:t>
      </w:r>
    </w:p>
    <w:p>
      <w:r>
        <w:t xml:space="preserve">The idea of an ecological and evolutionary equilibrium has pervaded studies of biodiversity both on geologic and ecological time scales, and from global to local scales</w:t>
      </w:r>
      <w:r>
        <w:t xml:space="preserve"> </w:t>
      </w:r>
      <w:r>
        <w:t xml:space="preserve">[1–7]</w:t>
      </w:r>
      <w:r>
        <w:t xml:space="preserve">. Biodiversity theories based on assumptions of equilibrium, both mechanistic</w:t>
      </w:r>
      <w:r>
        <w:t xml:space="preserve"> </w:t>
      </w:r>
      <w:r>
        <w:t xml:space="preserve">[4, 6, 7]</w:t>
      </w:r>
      <w:r>
        <w:t xml:space="preserve"> </w:t>
      </w:r>
      <w:r>
        <w:t xml:space="preserve">and statistical</w:t>
      </w:r>
      <w:r>
        <w:t xml:space="preserve"> </w:t>
      </w:r>
      <w:r>
        <w:t xml:space="preserve">[5, 8]</w:t>
      </w:r>
      <w:r>
        <w:t xml:space="preserve"> </w:t>
      </w:r>
      <w:r>
        <w:t xml:space="preserve">have found success in predicting ahistorical patterns of diversity such as the species abundance distribution</w:t>
      </w:r>
      <w:r>
        <w:t xml:space="preserve"> </w:t>
      </w:r>
      <w:r>
        <w:t xml:space="preserve">[4, 5, 9]</w:t>
      </w:r>
      <w:r>
        <w:t xml:space="preserve"> </w:t>
      </w:r>
      <w:r>
        <w:t xml:space="preserve">and the species area relationship</w:t>
      </w:r>
      <w:r>
        <w:t xml:space="preserve"> </w:t>
      </w:r>
      <w:r>
        <w:t xml:space="preserve">[4, 5]</w:t>
      </w:r>
      <w:r>
        <w:t xml:space="preserve">. These theories assume a macroscopic equilibrium in terms of coarse-graned metrics such as species abundance distributions or total richness, as opposed to focusing on details of species identity</w:t>
      </w:r>
      <w:r>
        <w:t xml:space="preserve"> </w:t>
      </w:r>
      <w:r>
        <w:t xml:space="preserve">[10]</w:t>
      </w:r>
      <w:r>
        <w:t xml:space="preserve">, although these approaches are not mutually exclusive. Nonetheless, investigation of the underlying dynamics producing these patterns has revealed that the equilibrium assumed by the theories is not realistic</w:t>
      </w:r>
      <w:r>
        <w:t xml:space="preserve"> </w:t>
      </w:r>
      <w:r>
        <w:t xml:space="preserve">[11]</w:t>
      </w:r>
      <w:r>
        <w:t xml:space="preserve">, and that many processes, equilibrial and otherwise, can generate the same macroscopic, ahistorical predictions</w:t>
      </w:r>
      <w:r>
        <w:t xml:space="preserve"> </w:t>
      </w:r>
      <w:r>
        <w:t xml:space="preserve">[12]</w:t>
      </w:r>
      <w:r>
        <w:t xml:space="preserve">.</w:t>
      </w:r>
    </w:p>
    <w:p>
      <w:r>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w:t>
      </w:r>
      <w:r>
        <w:t xml:space="preserve"> </w:t>
      </w:r>
      <w:r>
        <w:t xml:space="preserve">[13–25]</w:t>
      </w:r>
      <w:r>
        <w:t xml:space="preserve"> </w:t>
      </w:r>
      <w:r>
        <w:t xml:space="preserve">to address fundamental questions in ecology and evolution.</w:t>
      </w:r>
    </w:p>
    <w:p>
      <w:r>
        <w:t xml:space="preserve">The consequences of non-equilibrium dynamics for biodiversity, from diversification to macroecology to conservation, are not well understood. The need to understand non-equilibrial evo-ecological processes comes at a critical time when anthropogenic pressures are forcing biodiversity into states of rapid transition</w:t>
      </w:r>
      <w:r>
        <w:t xml:space="preserve"> </w:t>
      </w:r>
      <w:r>
        <w:t xml:space="preserve">[10, 26]</w:t>
      </w:r>
      <w:r>
        <w:t xml:space="preserve">. The extent to which ecosystems are governed by non-equilibrial processes has profound implications for conservation, which are only just beginning to be explored</w:t>
      </w:r>
      <w:r>
        <w:t xml:space="preserve"> </w:t>
      </w:r>
      <w:r>
        <w:t xml:space="preserve">[27]</w:t>
      </w:r>
      <w:r>
        <w:t xml:space="preserve">. For example whether conservation should focus on conventional preservationist paradigms or adaptive management</w:t>
      </w:r>
      <w:r>
        <w:t xml:space="preserve"> </w:t>
      </w:r>
      <w:r>
        <w:t xml:space="preserve">[27]</w:t>
      </w:r>
      <w:r>
        <w:t xml:space="preserve">. Whether biodiversity rapidly and consistently tends toward a steady state also determines how species and communities will respond to global environmental change</w:t>
      </w:r>
      <w:r>
        <w:t xml:space="preserve"> </w:t>
      </w:r>
      <w:r>
        <w:t xml:space="preserve">[10, 26]</w:t>
      </w:r>
      <w:r>
        <w:t xml:space="preserve">.</w:t>
      </w:r>
    </w:p>
    <w:p>
      <w:r>
        <w:t xml:space="preserve">Tests of equilibrial ecological theory alone will not allow us to identify systems out of equilibrium, nor permit us to pinpoint the mechanistic causes of any observed patterns indicating non-equilibrial processes. 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 theory fits observed ahistorical patterns but the implicit dynamical assumptions were wrong, we would make the wrong conclusion about the equilibrium of the system; 2) if the equilibrial theories do not fit the data we cannot know why unless we have a perspective on the temporal dynamics underlying the generation of those data.</w:t>
      </w:r>
    </w:p>
    <w:p>
      <w:r>
        <w:t xml:space="preserve">Existing efforts to directly infer the evolutionary and demographic dynamics driving community assembly in the context of ecological theory testing are limited by a lack of data and analytical framework (see section [sec:toDate]). Here we argue that the advent of next generation sequencing approaches to biodiversity</w:t>
      </w:r>
      <w:r>
        <w:t xml:space="preserve"> </w:t>
      </w:r>
      <w:r>
        <w:t xml:space="preserve">[13, 16, 18, 24]</w:t>
      </w:r>
      <w:r>
        <w:t xml:space="preserve"> </w:t>
      </w:r>
      <w:r>
        <w:t xml:space="preserve">have lifted one data barrier (Box [box:wet]), but we need a tool set of bioinformatic methods (Box [box:dry]) and meaningful predictions (section [sec:pred]) grounded in theory to make use of those data. Data will take the form of both standard ecological metrics such as species abundances, as well as summaries of demographic/diversity dynamics inferred from genetics. Theory-based predictions will take the form of connecting deviations from ecological theory and regions of parameter space with the dynamic processes inferred from genetics, all aided by new bioinformatic advances.</w:t>
      </w:r>
    </w:p>
    <w:p>
      <w:pPr>
        <w:pStyle w:val="Heading1"/>
      </w:pPr>
      <w:bookmarkStart w:id="23" w:name="ecological-theories-and-non-equilibrium"/>
      <w:bookmarkEnd w:id="23"/>
      <w:r>
        <w:t xml:space="preserve">Ecological theories and non-equilibrium</w:t>
      </w:r>
    </w:p>
    <w:p>
      <w:r>
        <w:t xml:space="preserve">Neutral and statistical theories in ecology focus on macroscopic patterns, and the equilibrium the presume is relevant to those patterns, not finer-grained properties of ecosystems. Non-neutral and non-statistical models</w:t>
      </w:r>
      <w:r>
        <w:t xml:space="preserve"> </w:t>
      </w:r>
      <w:r>
        <w:t xml:space="preserve">[6, 7]</w:t>
      </w:r>
      <w:r>
        <w:t xml:space="preserve"> </w:t>
      </w:r>
      <w:r>
        <w:t xml:space="preserve">also invoke ideas of equilibrium in their derivation; however, these equilibrium are defined at the level of individual populations, and only accidentally lead to stable macroscopic patterns, and so do not fall within our primary focus. We focus explicitly on simple yet predictive theories for their utility as null models, not because of a presumption of their realism.</w:t>
      </w:r>
    </w:p>
    <w:p>
      <w:r>
        <w:t xml:space="preserve">Additionally, upscaling niche-based models to entire communities is often mathematically intractable due to the huge parameter spaces they imply. Thus we relegate niche-based equilibria to the realm of statistical mechanics</w:t>
      </w:r>
      <w:r>
        <w:t xml:space="preserve"> </w:t>
      </w:r>
      <w:r>
        <w:t xml:space="preserve">[5, 28, 29]</w:t>
      </w:r>
      <w:r>
        <w:t xml:space="preserve">, discussed in section [sec:statThr]. We further treat niches and species interactions as potential drivers of non-equilibrium: powerful interactions between species and with the environment could prevent a system from attaining a neutral or statistical equilibrium.</w:t>
      </w:r>
    </w:p>
    <w:p>
      <w:r>
        <w:t xml:space="preserve">Our goal 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pPr>
        <w:pStyle w:val="Heading2"/>
      </w:pPr>
      <w:bookmarkStart w:id="24" w:name="mechanistically-neutral-theory"/>
      <w:bookmarkEnd w:id="24"/>
      <w:r>
        <w:t xml:space="preserve">Mechanistically neutral theory</w:t>
      </w:r>
    </w:p>
    <w:p>
      <w:r>
        <w:t xml:space="preserve">The neutral theory of biodiversity</w:t>
      </w:r>
      <w:r>
        <w:t xml:space="preserve"> </w:t>
      </w:r>
      <w:r>
        <w:t xml:space="preserve">[4]</w:t>
      </w:r>
      <w:r>
        <w:t xml:space="preserve"> </w:t>
      </w:r>
      <w:r>
        <w:t xml:space="preserve">assumes that one mechanism—demographic drift—drives community assembly. By presuming that populations do not differ in fitness nor in resource use, neutrality avoids the intractability of over parameterization and arrives as an equilibrium prediction when homogeneous stochastic processes of birth, death, speciation and immigration have reached stationarity. Thus neutrality in ecology is analogous to neutral drift in population genetics</w:t>
      </w:r>
      <w:r>
        <w:t xml:space="preserve"> </w:t>
      </w:r>
      <w:r>
        <w:t xml:space="preserve">[4]</w:t>
      </w:r>
      <w:r>
        <w:t xml:space="preserve">.</w:t>
      </w:r>
    </w:p>
    <w:p>
      <w:pPr>
        <w:pStyle w:val="Heading2"/>
      </w:pPr>
      <w:bookmarkStart w:id="25" w:name="sec:statThr"/>
      <w:bookmarkEnd w:id="25"/>
      <w:r>
        <w:t xml:space="preserve">Statistical theory</w:t>
      </w:r>
    </w:p>
    <w:p>
      <w:r>
        <w:t xml:space="preserve">Rather than assume that any one mechanism, dominates the assembly of populations into a community, theories based on statistical mechanics assume that all mechanisms could be valid, but their unique influence has been lost to the enormity of the system and thus outcome 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one model realization of which assumes that the area of an ecosystem, the total number of species in some taxonomic group, the total number of individuals in those species, and the total metabolic rate of those individuals,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w:t>
      </w:r>
      <w:r>
        <w:t xml:space="preserve"> </w:t>
      </w:r>
      <w:r>
        <w:t xml:space="preserve">[5, 9, 30]</w:t>
      </w:r>
      <w:r>
        <w:t xml:space="preserve"> </w:t>
      </w:r>
      <w:r>
        <w:t xml:space="preserve">at single snapshots in time, it fails to match observed patterns in disturbed and rapidly evolving communities</w:t>
      </w:r>
      <w:r>
        <w:t xml:space="preserve"> </w:t>
      </w:r>
      <w:r>
        <w:t xml:space="preserve">[5, 31]</w:t>
      </w:r>
      <w:r>
        <w:t xml:space="preserve">.</w:t>
      </w:r>
    </w:p>
    <w:p>
      <w:pPr>
        <w:pStyle w:val="Heading2"/>
      </w:pPr>
      <w:bookmarkStart w:id="26" w:name="testing-theory-with-ahistorical-data"/>
      <w:bookmarkEnd w:id="26"/>
      <w:r>
        <w:t xml:space="preserve">Testing theory with ahistorical data</w:t>
      </w:r>
    </w:p>
    <w:p>
      <w:r>
        <w:t xml:space="preserve">The vast majority of tests of neutral and/or statistical ecological theory have compared theoretical predictions to ahistorical data. Most common is the species abundance distribution</w:t>
      </w:r>
      <w:r>
        <w:t xml:space="preserve"> </w:t>
      </w:r>
      <w:r>
        <w:t xml:space="preserve">[4, 5, 9]</w:t>
      </w:r>
      <w:r>
        <w:t xml:space="preserve">, although other metrics such as species area relationship and the distribution of allometrically-scaled metabolic rates across organisms have also been used</w:t>
      </w:r>
      <w:r>
        <w:t xml:space="preserve"> </w:t>
      </w:r>
      <w:r>
        <w:t xml:space="preserve">[5, 30]</w:t>
      </w:r>
      <w:r>
        <w:t xml:space="preserve">. These handfull of metrics may not be sufficient to distinguish equilibrium from non-equilibrium</w:t>
      </w:r>
      <w:r>
        <w:t xml:space="preserve"> </w:t>
      </w:r>
      <w:r>
        <w:t xml:space="preserve">[32, 33]</w:t>
      </w:r>
      <w:r>
        <w:t xml:space="preserve">. All the same, to test theory in any way, some test statistic describing goodness of fit is needed. The emerging consensus is that likelihood-based test statistics should be preferred</w:t>
      </w:r>
      <w:r>
        <w:t xml:space="preserve"> </w:t>
      </w:r>
      <w:r>
        <w:t xml:space="preserve">[34]</w:t>
      </w:r>
      <w:r>
        <w:t xml:space="preserve">. The</w:t>
      </w:r>
      <w:r>
        <w:t xml:space="preserve"> </w:t>
      </w:r>
      <w:r>
        <w:t xml:space="preserve">“</w:t>
      </w:r>
      <w:r>
        <w:t xml:space="preserve">exact test</w:t>
      </w:r>
      <w:r>
        <w:t xml:space="preserve">”</w:t>
      </w:r>
      <w:r>
        <w:t xml:space="preserve"> </w:t>
      </w:r>
      <w:r>
        <w:t xml:space="preserve">of</w:t>
      </w:r>
      <w:r>
        <w:t xml:space="preserve"> </w:t>
      </w:r>
      <w:r>
        <w:t xml:space="preserve">[35]</w:t>
      </w:r>
      <w:r>
        <w:t xml:space="preserve"> </w:t>
      </w:r>
      <w:r>
        <w:t xml:space="preserve">has been extended by</w:t>
      </w:r>
      <w:r>
        <w:t xml:space="preserve"> </w:t>
      </w:r>
      <w:r>
        <w:t xml:space="preserve">[36]</w:t>
      </w:r>
      <w:r>
        <w:t xml:space="preserve"> </w:t>
      </w:r>
      <w:r>
        <w:t xml:space="preserve">into a simple z-score which can parsimoniously describe the goodness of fit between theory and pattern. We advocate its use in our proposed framework.</w:t>
      </w:r>
    </w:p>
    <w:p>
      <w:pPr>
        <w:pStyle w:val="Heading1"/>
      </w:pPr>
      <w:bookmarkStart w:id="27" w:name="inferring-non-equilibrium-dynamics"/>
      <w:bookmarkEnd w:id="27"/>
      <w:r>
        <w:t xml:space="preserve">Inferring non-equilibrium dynamics</w:t>
      </w:r>
    </w:p>
    <w:p>
      <w:r>
        <w:t xml:space="preserve">Unlocking insight into the dynamics underlying community assembly will help us overcome the limitations of analyzing ahistorical patterns with equilibrial theory. While the fossil record can elucidate deep time patterns for select, well-fossilized groups</w:t>
      </w:r>
      <w:r>
        <w:t xml:space="preserve"> </w:t>
      </w:r>
      <w:r>
        <w:t xml:space="preserve">[37]</w:t>
      </w:r>
      <w:r>
        <w:t xml:space="preserve">, and in limited geographic areas and temporal extents yielding good preservation</w:t>
      </w:r>
      <w:r>
        <w:t xml:space="preserve"> </w:t>
      </w:r>
      <w:r>
        <w:t xml:space="preserve">[38]</w:t>
      </w:r>
      <w:r>
        <w:t xml:space="preserve">, we require an approach that is applicable across taxa and scales of space and time. Population/phylogenetics provide insights on rates of change of populations and species by processes of demographic fluctuations, immigration, selection, speciation, and extinction. Bridging ecological theory with models from population/phylogenetics has great potential for general-use tools to gain insight into the dynamics underlying contemporary biodiversity patterns</w:t>
      </w:r>
      <w:r>
        <w:t xml:space="preserve"> </w:t>
      </w:r>
      <w:r>
        <w:t xml:space="preserve">[39–48]</w:t>
      </w:r>
      <w:r>
        <w:t xml:space="preserve">. However, these approaches have yet to quantitatively link the inferences of change through time from phylo/population genetics with inferences of macroscopic ahistorical patterns from macroecology. If we can overcome this shortfall, we can finally test which biodiversity patterns we see today result from equilibrium and which from, or in spite of, non-equilibrium.</w:t>
      </w:r>
    </w:p>
    <w:p>
      <w:r>
        <w:t xml:space="preserve">One of the fundamental tools allowing for complex historical inference with population genetic data is coalescent theory</w:t>
      </w:r>
      <w:r>
        <w:t xml:space="preserve"> </w:t>
      </w:r>
      <w:r>
        <w:t xml:space="preserve">[49–53]</w:t>
      </w:r>
      <w:r>
        <w:t xml:space="preserve">.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w:t>
      </w:r>
      <w:r>
        <w:t xml:space="preserve"> </w:t>
      </w:r>
      <w:r>
        <w:t xml:space="preserve">[54, 55]</w:t>
      </w:r>
      <w:r>
        <w:t xml:space="preserve">, divergence and/or colonization times</w:t>
      </w:r>
      <w:r>
        <w:t xml:space="preserve"> </w:t>
      </w:r>
      <w:r>
        <w:t xml:space="preserve">[56, 57]</w:t>
      </w:r>
      <w:r>
        <w:t xml:space="preserve">, migration rates</w:t>
      </w:r>
      <w:r>
        <w:t xml:space="preserve"> </w:t>
      </w:r>
      <w:r>
        <w:t xml:space="preserve">[58]</w:t>
      </w:r>
      <w:r>
        <w:t xml:space="preserve">, and complex patterns of historical population structure</w:t>
      </w:r>
      <w:r>
        <w:t xml:space="preserve"> </w:t>
      </w:r>
      <w:r>
        <w:t xml:space="preserve">[59, 60]</w:t>
      </w:r>
      <w:r>
        <w:t xml:space="preserve"> </w:t>
      </w:r>
      <w:r>
        <w:t xml:space="preserve">and gene flow</w:t>
      </w:r>
      <w:r>
        <w:t xml:space="preserve"> </w:t>
      </w:r>
      <w:r>
        <w:t xml:space="preserve">[61, 62]</w:t>
      </w:r>
      <w:r>
        <w:t xml:space="preserve">. This approach can also be put in a multi-species, community context thanks to advances in historical demographic models</w:t>
      </w:r>
      <w:r>
        <w:t xml:space="preserve"> </w:t>
      </w:r>
      <w:r>
        <w:t xml:space="preserve">[63–67]</w:t>
      </w:r>
      <w:r>
        <w:t xml:space="preserve">, even when only small numbers of genetic loci are sampled from populations</w:t>
      </w:r>
      <w:r>
        <w:t xml:space="preserve"> </w:t>
      </w:r>
      <w:r>
        <w:t xml:space="preserve">[68]</w:t>
      </w:r>
      <w:r>
        <w:t xml:space="preserve">.</w:t>
      </w:r>
    </w:p>
    <w:p>
      <w:r>
        <w:t xml:space="preserve">Taking all of these elements of demographic history together (i.e. structure, divergence, expansion, size change and migration), researcher, simulation-based coalescent approaches such as approximate Bayesian computation</w:t>
      </w:r>
      <w:r>
        <w:t xml:space="preserve"> </w:t>
      </w:r>
      <w:r>
        <w:t xml:space="preserve">[69, 70]</w:t>
      </w:r>
      <w:r>
        <w:t xml:space="preserve"> </w:t>
      </w:r>
      <w:r>
        <w:t xml:space="preserve">have become of notable importance for making statistical inference under complex histories when solving the likelihood function becomes intractable</w:t>
      </w:r>
      <w:r>
        <w:t xml:space="preserve"> </w:t>
      </w:r>
      <w:r>
        <w:t xml:space="preserve">[71]</w:t>
      </w:r>
      <w:r>
        <w:t xml:space="preserve">.</w:t>
      </w:r>
    </w:p>
    <w:p>
      <w:r>
        <w:t xml:space="preserve">Coalescent theory has also become an important modeling tool for understanding how natural selection shapes patterns of genetic polymorphism</w:t>
      </w:r>
      <w:r>
        <w:t xml:space="preserve"> </w:t>
      </w:r>
      <w:r>
        <w:t xml:space="preserve">[72–74]</w:t>
      </w:r>
      <w:r>
        <w:t xml:space="preserve">. Indeed, one of the most commonly used techniques for detecting positive selection relies on a summary statistic, Tajima’s D, that can be easily simulated under the coalescent given alternative models with neutrality or selection</w:t>
      </w:r>
      <w:r>
        <w:t xml:space="preserve"> </w:t>
      </w:r>
      <w:r>
        <w:t xml:space="preserve">[75]</w:t>
      </w:r>
      <w:r>
        <w:t xml:space="preserve">. However, population genetic models of positive and/or purifying selection also have very similar predicted Tajima’s D values to those derived from neutral histories with non-stationary population growth</w:t>
      </w:r>
      <w:r>
        <w:t xml:space="preserve"> </w:t>
      </w:r>
      <w:r>
        <w:t xml:space="preserve">[76–80]</w:t>
      </w:r>
      <w:r>
        <w:t xml:space="preserve">, as well as other more complex models of selection such as polygenic adaptation and interference selection</w:t>
      </w:r>
      <w:r>
        <w:t xml:space="preserve"> </w:t>
      </w:r>
      <w:r>
        <w:t xml:space="preserve">[81, 82]</w:t>
      </w:r>
      <w:r>
        <w:t xml:space="preserve">. Thus Tajima’s D can best be seen as a metric that quantifies deviation from demographic equilibrium and used to jointly describe selection and demographic history</w:t>
      </w:r>
      <w:r>
        <w:t xml:space="preserve"> </w:t>
      </w:r>
      <w:r>
        <w:t xml:space="preserve">[73, 74, 83, 84]</w:t>
      </w:r>
      <w:r>
        <w:t xml:space="preserve">.</w:t>
      </w:r>
    </w:p>
    <w:p>
      <w:pPr>
        <w:pStyle w:val="Heading1"/>
      </w:pPr>
      <w:bookmarkStart w:id="28" w:name="sec:toDate"/>
      <w:bookmarkEnd w:id="28"/>
      <w:r>
        <w:t xml:space="preserve">Current efforts to integrate evolution into ecological theory</w:t>
      </w:r>
    </w:p>
    <w:p>
      <w:r>
        <w:t xml:space="preserve">While quantitatively integrating theory from ecology, population genetics, and phylogenetics has not yet been achieved, efforts so far to synthesize perspectives from evolution and ecology warrant attention. Nonetheless, a more concerted integration is needed because approaches to date have been hindered by one or more general issues: 1) lack of a solid theoretical foundation, 2) inability to distinguish multiple competing alternative hypotheses, 3) lack of comprehensive genetic/genomic data, 4) lack of bioinformatic approaches to resolve species and their abundances. Here we quickly survey the ways these shortcomings have prevented further advances and then move on to the cutting edge of the field.</w:t>
      </w:r>
    </w:p>
    <w:p>
      <w:r>
        <w:t xml:space="preserve">Community phylogenetics</w:t>
      </w:r>
      <w:r>
        <w:t xml:space="preserve"> </w:t>
      </w:r>
      <w:r>
        <w:t xml:space="preserve">[39]</w:t>
      </w:r>
      <w:r>
        <w:t xml:space="preserve"> </w:t>
      </w:r>
      <w:r>
        <w:t xml:space="preserve">was founded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w:t>
      </w:r>
      <w:r>
        <w:t xml:space="preserve"> </w:t>
      </w:r>
      <w:r>
        <w:t xml:space="preserve">[85]</w:t>
      </w:r>
      <w:r>
        <w:t xml:space="preserve">. While the field has progressed</w:t>
      </w:r>
      <w:r>
        <w:t xml:space="preserve"> </w:t>
      </w:r>
      <w:r>
        <w:t xml:space="preserve">[86]</w:t>
      </w:r>
      <w:r>
        <w:t xml:space="preserve">, not enough attention is given to using phylogenetic information to understand the historical contingencies at play in community assembly</w:t>
      </w:r>
      <w:r>
        <w:t xml:space="preserve"> </w:t>
      </w:r>
      <w:r>
        <w:t xml:space="preserve">[87, 88]</w:t>
      </w:r>
      <w:r>
        <w:t xml:space="preserve">, a task which phylogenies might be able to perform, while they are often poor proxies for traits</w:t>
      </w:r>
      <w:r>
        <w:t xml:space="preserve"> </w:t>
      </w:r>
      <w:r>
        <w:t xml:space="preserve">[85]</w:t>
      </w:r>
      <w:r>
        <w:t xml:space="preserve">.</w:t>
      </w:r>
    </w:p>
    <w:p>
      <w:r>
        <w:t xml:space="preserve">The recent growth in joint studies of genetic and species diversity</w:t>
      </w:r>
      <w:r>
        <w:t xml:space="preserve"> </w:t>
      </w:r>
      <w:r>
        <w:t xml:space="preserve">[45, 47, 89, 90]</w:t>
      </w:r>
      <w:r>
        <w:t xml:space="preserve"> </w:t>
      </w:r>
      <w:r>
        <w:t xml:space="preserve">have been useful in linking population genetics with ecological and biogeographic theory. Although some of these efforts have been observational with limited integrative theory to make testable predictions, such endeavors will be augmented by developing full joint models that link community assembly, historical demography and coalescent-based population genetics. Likewise future studies of population-level genetic and species diversity will be massively invigorated by the development and widespread deployment of next generation sequencing based community analysis approaches (see Box [box:wet]).</w:t>
      </w:r>
    </w:p>
    <w:p>
      <w:r>
        <w:t xml:space="preserve">Phylogeographic studies of past climate change have provided insights of how specific groups have responded in non-equilibrium ways to perturbations</w:t>
      </w:r>
      <w:r>
        <w:t xml:space="preserve"> </w:t>
      </w:r>
      <w:r>
        <w:t xml:space="preserve">[67, 91–93]</w:t>
      </w:r>
      <w:r>
        <w:t xml:space="preserve">, but such studies cannot make inference about entire community-level processes, nor were they designed to tie into ecological theory and have not been leveraged by theoreticians to gain more realistic insights on demographic and geographic change.</w:t>
      </w:r>
    </w:p>
    <w:p>
      <w:r>
        <w:t xml:space="preserve">Ecological neutral theory applied to microbial communities</w:t>
      </w:r>
      <w:r>
        <w:t xml:space="preserve"> </w:t>
      </w:r>
      <w:r>
        <w:t xml:space="preserve">[94]</w:t>
      </w:r>
      <w:r>
        <w:t xml:space="preserve"> </w:t>
      </w:r>
      <w:r>
        <w:t xml:space="preserve">have used the exact same kind of genetic/genomic data that we propose using to test ecological theory in any group, from microbes to macrobes. However, such studies to date have not made use of the immense phylogenetic and functional genomic resources available for microbes. Nor has the problem of inferring abundance from metagenomic and metabarcoding data been fully resolved (see Box [box:dry]).</w:t>
      </w:r>
    </w:p>
    <w:p>
      <w:pPr>
        <w:pStyle w:val="Heading2"/>
      </w:pPr>
      <w:bookmarkStart w:id="29" w:name="emerging-approaches"/>
      <w:bookmarkEnd w:id="29"/>
      <w:r>
        <w:t xml:space="preserve">Emerging approaches</w:t>
      </w:r>
    </w:p>
    <w:p>
      <w:r>
        <w:t xml:space="preserve">Several approaches have been taken that better ground synthesis of ecological and evolutionary dynamics in theory. These approaches make explicit use of the quantitative predictions of ecological theory, along with some means of incorporating evolutionary dynamics. They fall into two camps: 1) improving the agreement between data and ecological theory using evolutionary information; and 2) inferring non-neutral or non-statistical mechanics by combining theory with history.</w:t>
      </w:r>
    </w:p>
    <w:p>
      <w:r>
        <w:t xml:space="preserve">Jabot and Chave</w:t>
      </w:r>
      <w:r>
        <w:t xml:space="preserve"> </w:t>
      </w:r>
      <w:r>
        <w:t xml:space="preserve">[95]</w:t>
      </w:r>
      <w:r>
        <w:t xml:space="preserve"> </w:t>
      </w:r>
      <w:r>
        <w:t xml:space="preserve">used approximate Bayesian computation (ABC) to improve estimates of the NTB’s fundamental biodiversity number using phylogenetic information. Efforts have also been made to validate the underlying assumption of ecological equivalence, a key assumption of the NTB, from a phylogenetic perspective</w:t>
      </w:r>
      <w:r>
        <w:t xml:space="preserve"> </w:t>
      </w:r>
      <w:r>
        <w:t xml:space="preserve">[96]</w:t>
      </w:r>
      <w:r>
        <w:t xml:space="preserve">. While these efforts improved inference of the parameters involved in making ahistorical predictions of species abundance, they did not aim to improve the underlying realism of the evolutionary dynamic presumed by the NTB. For example, while the NTB accurately predicts phylogenetic tree shape (</w:t>
      </w:r>
      <w:r>
        <w:t xml:space="preserve">[95]</w:t>
      </w:r>
      <w:r>
        <w:t xml:space="preserve">) it does not accurately reflect tree tempo</w:t>
      </w:r>
      <w:r>
        <w:t xml:space="preserve"> </w:t>
      </w:r>
      <w:r>
        <w:t xml:space="preserve">[97]</w:t>
      </w:r>
      <w:r>
        <w:t xml:space="preserve">. The time to equilibration in the NTB is also unrealistically long</w:t>
      </w:r>
      <w:r>
        <w:t xml:space="preserve"> </w:t>
      </w:r>
      <w:r>
        <w:t xml:space="preserve">[11]</w:t>
      </w:r>
      <w:r>
        <w:t xml:space="preserve">. While protracted speciation has been proposed to correct some of these tempo problems in the NTB</w:t>
      </w:r>
      <w:r>
        <w:t xml:space="preserve"> </w:t>
      </w:r>
      <w:r>
        <w:t xml:space="preserve">[98]</w:t>
      </w:r>
      <w:r>
        <w:t xml:space="preserve">, it remains to be tested, by a framework such as the one we propose, whether these theoretical advances can accurately predict joint patterns of population genetics, phylogenies, and communities.</w:t>
      </w:r>
    </w:p>
    <w:p>
      <w:r>
        <w:t xml:space="preserve">Another approach has tested the ahistorical predictions of equilibrial ecological theory across evolutionary snapshots of community assembly with the goal of understanding how changing evolutionary dynamics drive community assembly. Several applications of the NTB in the fossil record have been used to show changes over geologic time in community assembly mechanisms</w:t>
      </w:r>
      <w:r>
        <w:t xml:space="preserve"> </w:t>
      </w:r>
      <w:r>
        <w:t xml:space="preserve">[99, 100]</w:t>
      </w:r>
      <w:r>
        <w:t xml:space="preserve">. In a similar theme, Rominger et al.</w:t>
      </w:r>
      <w:r>
        <w:t xml:space="preserve"> </w:t>
      </w:r>
      <w:r>
        <w:t xml:space="preserve">[31]</w:t>
      </w:r>
      <w:r>
        <w:t xml:space="preserve"> </w:t>
      </w:r>
      <w:r>
        <w:t xml:space="preserve">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e.g., from population genetic modeling.</w:t>
      </w:r>
    </w:p>
    <w:p>
      <w:pPr>
        <w:pStyle w:val="Heading1"/>
      </w:pPr>
      <w:bookmarkStart w:id="30" w:name="what-is-needed-now"/>
      <w:bookmarkEnd w:id="30"/>
      <w:r>
        <w:t xml:space="preserve">What is needed now</w:t>
      </w:r>
    </w:p>
    <w:p>
      <w:r>
        <w:t xml:space="preserve">A key limitation of using ahistorical theory to infer dynamic mechanisms is that multiple mechanisms, from simple and equilibrial to complex, can map onto the same ahistorical pattern, such as the species abundance distribution</w:t>
      </w:r>
      <w:r>
        <w:t xml:space="preserve"> </w:t>
      </w:r>
      <w:r>
        <w:t xml:space="preserve">[101–105]</w:t>
      </w:r>
      <w:r>
        <w:t xml:space="preserve">. This means that even when a theory describes the data well, we do not really know the dynamics that led to that good fit—an interpretational pitfall common in many studies that claim mechanistic insight even in novel evolutionary study systems</w:t>
      </w:r>
      <w:r>
        <w:t xml:space="preserve"> </w:t>
      </w:r>
      <w:r>
        <w:t xml:space="preserve">[4, 99, 100]</w:t>
      </w:r>
      <w:r>
        <w:t xml:space="preserve">. Studies that do not have a strong theoretical foundation, and instead rely on qualitative predictions such as higher or lower phylogenetic dispersion</w:t>
      </w:r>
      <w:r>
        <w:t xml:space="preserve"> </w:t>
      </w:r>
      <w:r>
        <w:t xml:space="preserve">[39]</w:t>
      </w:r>
      <w:r>
        <w:t xml:space="preserve">, further exacerbate the problem of many mechanisms mapping onto single phenomenological predictions.</w:t>
      </w:r>
    </w:p>
    <w:p>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w:t>
      </w:r>
      <w:r>
        <w:t xml:space="preserve"> </w:t>
      </w:r>
      <w:r>
        <w:t xml:space="preserve">[33]</w:t>
      </w:r>
      <w:r>
        <w:t xml:space="preserve">. We propose here a needed framework for integrating the dynamics inferred from population and phylogenetic approaches with ahistorical, equilibrial ecological theory. There are two complementary options for integrating and enhancing the insights of both ahistorical ecological theory and genetic inference methods:</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pPr>
        <w:pStyle w:val="Heading2"/>
      </w:pPr>
      <w:bookmarkStart w:id="31" w:name="what-we-could-gain-from-this-framework"/>
      <w:bookmarkEnd w:id="31"/>
      <w:r>
        <w:t xml:space="preserve">What we could gain from this framework</w:t>
      </w:r>
    </w:p>
    <w:p>
      <w:r>
        <w:t xml:space="preserve">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w:t>
      </w:r>
      <w:r>
        <w:t xml:space="preserve">[106–108]</w:t>
      </w:r>
      <w:r>
        <w:t xml:space="preserve">. What has not been done is link this back to ecological assembly mechanisms, but the opportunity seems ripe considering the abundance of work on niche differences and fitness differences</w:t>
      </w:r>
      <w:r>
        <w:t xml:space="preserve">[6, 109–111]</w:t>
      </w:r>
      <w:r>
        <w:t xml:space="preserve">. There has even been work on this from a phylogenetic viewpoint</w:t>
      </w:r>
      <w:r>
        <w:t xml:space="preserve">[112, 113]</w:t>
      </w:r>
      <w:r>
        <w:t xml:space="preserve">.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32" w:name="sec:pred"/>
      <w:bookmarkEnd w:id="32"/>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w:t>
      </w:r>
      <w:r>
        <w:t xml:space="preserve"> </w:t>
      </w:r>
      <w:r>
        <w:rPr>
          <w:b/>
        </w:rPr>
        <w:t xml:space="preserve">Bioinformatic advances</w:t>
      </w:r>
      <w:r>
        <w:t xml:space="preserve">), we now discuss hypotheses to be tested in our non-equilibrium framework.</w:t>
      </w:r>
    </w:p>
    <w:p>
      <w:pPr>
        <w:pStyle w:val="Heading2"/>
      </w:pPr>
      <w:bookmarkStart w:id="33" w:name="cycles-of-non-equilibrium"/>
      <w:bookmarkEnd w:id="33"/>
      <w:r>
        <w:t xml:space="preserve">Cycles of non-equilibrium</w:t>
      </w:r>
    </w:p>
    <w:p>
      <w:r>
        <w:t xml:space="preserve">Ecosystems are likely to experience regular disturbances which can occur on ecological time-scales, such as primary succession, or evolutionary time scales, such as evolution of novel innovations that lead to new ecosystem processes</w:t>
      </w:r>
      <w:r>
        <w:t xml:space="preserve"> </w:t>
      </w:r>
      <w:r>
        <w:t xml:space="preserve">[114, 115]</w:t>
      </w:r>
      <w:r>
        <w:t xml:space="preserve">. We hypothesize that these regular disturbances will lead to cycles of non-equilibrium in observed biodiversity patterns.</w:t>
      </w:r>
    </w:p>
    <w:p>
      <w:r>
        <w:t xml:space="preserve">Figure [fig:cycles] derives from comparing summaries of deviation from neutral/statistical equilibrium on the y-axis and deviations from equilibrial demography/diversification on the x-axis. Trajectories of biodiversity assemblages through this space shows how we hypothesize biodiversity to transition between different phases of equilibrium and non-equilibrium. Deviations from ecological theory can be quantified by the previously discussed exact tests</w:t>
      </w:r>
      <w:r>
        <w:t xml:space="preserve"> </w:t>
      </w:r>
      <w:r>
        <w:t xml:space="preserve">[35]</w:t>
      </w:r>
      <w:r>
        <w:t xml:space="preserve"> </w:t>
      </w:r>
      <w:r>
        <w:t xml:space="preserve">and z-scores</w:t>
      </w:r>
      <w:r>
        <w:t xml:space="preserve"> </w:t>
      </w:r>
      <w:r>
        <w:t xml:space="preserve">[36]</w:t>
      </w:r>
      <w:r>
        <w:t xml:space="preserve">, while many statistics are available to quantify departure from demographic/diversification steady state including the previously discussed Tajima’s D (which would be averaged over all populations in the sample).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4" w:name="systems-undergoing-rapid-ecological-change"/>
      <w:bookmarkEnd w:id="34"/>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[5]</w:t>
      </w:r>
      <w:r>
        <w:t xml:space="preserve">.</w:t>
      </w:r>
    </w:p>
    <w:p>
      <w:pPr>
        <w:pStyle w:val="Heading2"/>
      </w:pPr>
      <w:bookmarkStart w:id="35" w:name="non-equilibrium-ecological-communities-fostering-non-equilibrium-evolution"/>
      <w:bookmarkEnd w:id="35"/>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w:t>
      </w:r>
      <w:r>
        <w:t xml:space="preserve"> </w:t>
      </w:r>
      <w:r>
        <w:t xml:space="preserve">[45]</w:t>
      </w:r>
      <w:r>
        <w:t xml:space="preserve">,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
        <w:t xml:space="preserve">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w:t>
      </w:r>
      <w:r>
        <w:t xml:space="preserve"> </w:t>
      </w:r>
      <w:r>
        <w:t xml:space="preserve">[116]</w:t>
      </w:r>
      <w:r>
        <w:t xml:space="preserve">.</w:t>
      </w:r>
    </w:p>
    <w:p>
      <w:pPr>
        <w:pStyle w:val="Heading2"/>
      </w:pPr>
      <w:bookmarkStart w:id="36" w:name="non-equilibrium-evolution-fostering-non-equilibrium-ecological-dynamics"/>
      <w:bookmarkEnd w:id="36"/>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pPr>
        <w:pStyle w:val="Heading2"/>
      </w:pPr>
      <w:bookmarkStart w:id="37" w:name="ecological-relaxation"/>
      <w:bookmarkEnd w:id="37"/>
      <w:r>
        <w:t xml:space="preserve">Ecological relaxation</w:t>
      </w:r>
    </w:p>
    <w:p>
      <w:r>
        <w:t xml:space="preserve">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pPr>
        <w:pStyle w:val="Heading2"/>
      </w:pPr>
      <w:bookmarkStart w:id="38" w:name="evolutionary-relaxation"/>
      <w:bookmarkEnd w:id="38"/>
      <w:r>
        <w:t xml:space="preserve">Evolutionary relaxation</w:t>
      </w:r>
    </w:p>
    <w:p>
      <w:r>
        <w:t xml:space="preserve">Given sufficient time in ecological equilibrium, the time averaged demographic record revealed by genetic inference will likely also re-equilibrate.</w:t>
      </w:r>
    </w:p>
    <w:p>
      <w:pPr>
        <w:pStyle w:val="Heading1"/>
      </w:pPr>
      <w:bookmarkStart w:id="39" w:name="harnessing-evo-ecological-measures-of-non-equilibrium-for-a-changing-world"/>
      <w:bookmarkEnd w:id="39"/>
      <w:r>
        <w:t xml:space="preserve">Harnessing evo-ecological measures of non-equilibrium for a changing world</w:t>
      </w:r>
    </w:p>
    <w:p>
      <w:r>
        <w:t xml:space="preserve">Inference of community dynamics needs to expand the dimensions of data it uses to draw conclusions about assembly of biodiversity and whether/when this is an equilibrial or non-equilibrial process. The need for more data dimensions is supported by others</w:t>
      </w:r>
      <w:r>
        <w:t xml:space="preserve"> </w:t>
      </w:r>
      <w:r>
        <w:t xml:space="preserve">[12]</w:t>
      </w:r>
      <w:r>
        <w:t xml:space="preserve">; however, accounting for the complexities of history by explicitly linking theories of community assembly with theories of evolutionary genetics is novel, and made possible by advances in:</w:t>
      </w:r>
    </w:p>
    <w:p>
      <w:pPr>
        <w:numPr>
          <w:numId w:val="1004"/>
          <w:ilvl w:val="0"/>
        </w:numPr>
      </w:pPr>
      <w:r>
        <w:t xml:space="preserve">high throughput sequencing (Box [box:wet]) that have allow genetic samples to be economically and time-effectively produced on unprecedented scales</w:t>
      </w:r>
    </w:p>
    <w:p>
      <w:pPr>
        <w:numPr>
          <w:numId w:val="1004"/>
          <w:ilvl w:val="0"/>
        </w:numPr>
      </w:pPr>
      <w:r>
        <w:t xml:space="preserve">bioinformatic methods (Box [box:dry]) that allow us to make sense of these massive community-wide genetic/genomic datasets</w:t>
      </w:r>
    </w:p>
    <w:p>
      <w:pPr>
        <w:numPr>
          <w:numId w:val="1004"/>
          <w:ilvl w:val="0"/>
        </w:numPr>
      </w:pPr>
      <w:r>
        <w:t xml:space="preserve">theory development (section [sec:pred]) that gives us meaningful predictions to test with our new bioinformatic approaches</w:t>
      </w:r>
    </w:p>
    <w:p>
      <w:r>
        <w:t xml:space="preserve">This approach is a fertile cross pollination of two fields that, while successful in their own right, are enhanced by their integration. While comparative historical demographic models are advancing</w:t>
      </w:r>
      <w:r>
        <w:t xml:space="preserve"> </w:t>
      </w:r>
      <w:r>
        <w:t xml:space="preserve">[63–67]</w:t>
      </w:r>
      <w:r>
        <w:t xml:space="preserve">, testing community-scale hypotheses with multi-taxa data would be profoundly improved and enriched if population genetic model were grounded in macroecological and biogeographic theory. What is more,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[12]</w:t>
      </w:r>
      <w:r>
        <w:t xml:space="preserve">. The field is ready to fully merge these two approaches using the wetlab, bioinformatic, and theoretical-conceptual approaches we have promoted here. The time is right to do so as biodiversity scientists must face an increasingly non-equilibrium world and its consequences for our fundamental understanding of what forces govern the diversity of life and how we can best harmonize human activities with it.</w:t>
      </w:r>
    </w:p>
    <w:p>
      <w:pPr>
        <w:pStyle w:val="Heading1"/>
      </w:pPr>
      <w:bookmarkStart w:id="40" w:name="acknowledgements"/>
      <w:bookmarkEnd w:id="40"/>
      <w:r>
        <w:t xml:space="preserve">Acknowledgements</w:t>
      </w:r>
    </w:p>
    <w:p>
      <w:r>
        <w:t xml:space="preserve">We would like to thank L. Schneider for helpful comments. AJR acknowledges funding from the Berkeley Initiative in Global Change Biology and NSF DEB-1241253.</w:t>
      </w:r>
    </w:p>
    <w:p>
      <w:pPr>
        <w:pStyle w:val="Heading1"/>
      </w:pPr>
      <w:bookmarkStart w:id="41" w:name="boxes"/>
      <w:bookmarkEnd w:id="41"/>
      <w:r>
        <w:t xml:space="preserve">Boxes</w:t>
      </w:r>
    </w:p>
    <w:p>
      <w:r>
        <w:t xml:space="preserve">[box:wet]</w:t>
      </w:r>
    </w:p>
    <w:p>
      <w:pPr>
        <w:pStyle w:val="Heading2"/>
      </w:pPr>
      <w:bookmarkStart w:id="42" w:name="box-wetlab-techniques"/>
      <w:bookmarkEnd w:id="42"/>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w:t>
      </w:r>
      <w:r>
        <w:t xml:space="preserve"> </w:t>
      </w:r>
      <w:r>
        <w:t xml:space="preserve">[15, 20, 21, 117]</w:t>
      </w:r>
      <w:r>
        <w:t xml:space="preserve">. Two approaches, differing in cost and effectiveness, have emerged.</w:t>
      </w:r>
    </w:p>
    <w:p>
      <w:pPr>
        <w:pStyle w:val="Heading4"/>
      </w:pPr>
      <w:bookmarkStart w:id="43" w:name="metabarcoding"/>
      <w:bookmarkEnd w:id="43"/>
      <w:r>
        <w:t xml:space="preserve">Metabarcoding</w:t>
      </w:r>
    </w:p>
    <w:p>
      <w:r>
        <w:t xml:space="preserve">describes the targeted PCR amplification and next generation sequencing of short DNA barcode markers (typically  300-500 bp) from community samples</w:t>
      </w:r>
      <w:r>
        <w:t xml:space="preserve"> </w:t>
      </w:r>
      <w:r>
        <w:t xml:space="preserve">[13, 16]</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[19]</w:t>
      </w:r>
      <w:r>
        <w:t xml:space="preserve">. Amplicon sequencing is cheap, requires a small workload and thus allows rapid inventories of species composition and species interactions in whole ecosystems</w:t>
      </w:r>
      <w:r>
        <w:t xml:space="preserve"> </w:t>
      </w:r>
      <w:r>
        <w:t xml:space="preserve">[14, 20, 23]</w:t>
      </w:r>
      <w:r>
        <w:t xml:space="preserve">. However, the preferential amplification of some taxa during PCR can lead to highly skewed abundance estimates</w:t>
      </w:r>
      <w:r>
        <w:t xml:space="preserve"> </w:t>
      </w:r>
      <w:r>
        <w:t xml:space="preserve">[13, 118]</w:t>
      </w:r>
      <w:r>
        <w:t xml:space="preserve"> </w:t>
      </w:r>
      <w:r>
        <w:t xml:space="preserve">from metabarcoding libraries.</w:t>
      </w:r>
    </w:p>
    <w:p>
      <w:pPr>
        <w:pStyle w:val="Heading4"/>
      </w:pPr>
      <w:bookmarkStart w:id="44" w:name="metagenomic-approaches"/>
      <w:bookmarkEnd w:id="44"/>
      <w:r>
        <w:t xml:space="preserve">Metagenomic approaches</w:t>
      </w:r>
    </w:p>
    <w:p>
      <w:r>
        <w:t xml:space="preserve">, in contrast, avoid marker specific amplification bias by sequencing libraries constructed either from untreated genomic DNA</w:t>
      </w:r>
      <w:r>
        <w:t xml:space="preserve"> </w:t>
      </w:r>
      <w:r>
        <w:t xml:space="preserve">[18, 22, 24]</w:t>
      </w:r>
      <w:r>
        <w:t xml:space="preserve">, or after targeted enrichment of genomic regions</w:t>
      </w:r>
      <w:r>
        <w:t xml:space="preserve"> </w:t>
      </w:r>
      <w:r>
        <w:t xml:space="preserve">[25]</w:t>
      </w:r>
      <w:r>
        <w:t xml:space="preserve">. While being more laborious, expensive and computationally demanding than metabarcoding, metagenomics thus offers improved accuracy in detecting species composition and abundance</w:t>
      </w:r>
      <w:r>
        <w:t xml:space="preserve"> </w:t>
      </w:r>
      <w:r>
        <w:t xml:space="preserve">[17]</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[119]</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[24, 119]</w:t>
      </w:r>
      <w:r>
        <w:t xml:space="preserve">. In contrast, microbial metagenomic studies now routinely assemble complete genomes and characterize gene content and metabolic pathways even from complex communities</w:t>
      </w:r>
      <w:r>
        <w:t xml:space="preserve"> </w:t>
      </w:r>
      <w:r>
        <w:t xml:space="preserve">[120]</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5" w:name="box-bioinformatic-advances"/>
      <w:bookmarkEnd w:id="45"/>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[118]</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6" w:name="model-free-abundance-estimation."/>
      <w:bookmarkEnd w:id="46"/>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[121]</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[117, 122]</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7" w:name="joint-inference-of-community-assembly-and-population-genetic-models."/>
      <w:bookmarkEnd w:id="47"/>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[123]</w:t>
      </w:r>
      <w:r>
        <w:t xml:space="preserve"> </w:t>
      </w:r>
      <w:r>
        <w:t xml:space="preserve">simulates an individual-based forward time community dispersal model</w:t>
      </w:r>
      <w:r>
        <w:t xml:space="preserve"> </w:t>
      </w:r>
      <w:r>
        <w:t xml:space="preserve">[124]</w:t>
      </w:r>
      <w:r>
        <w:t xml:space="preserve"> </w:t>
      </w:r>
      <w:r>
        <w:t xml:space="preserve">linked with the msPrime coalescent simulator</w:t>
      </w:r>
      <w:r>
        <w:t xml:space="preserve"> </w:t>
      </w:r>
      <w:r>
        <w:t xml:space="preserve">[125]</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8" w:name="glossary"/>
      <w:bookmarkEnd w:id="48"/>
      <w:r>
        <w:t xml:space="preserve">Glossary</w:t>
      </w:r>
    </w:p>
    <w:p>
      <w:pPr>
        <w:pStyle w:val="Heading4"/>
      </w:pPr>
      <w:bookmarkStart w:id="49" w:name="approximate-bayesian-computation-abc"/>
      <w:bookmarkEnd w:id="49"/>
      <w:r>
        <w:t xml:space="preserve">Approximate Bayesian computation (ABC)</w:t>
      </w:r>
    </w:p>
    <w:p>
      <w:r>
        <w:t xml:space="preserve">.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50" w:name="ahistorical"/>
      <w:bookmarkEnd w:id="50"/>
      <w:r>
        <w:t xml:space="preserve">ahistorical</w:t>
      </w:r>
    </w:p>
    <w:p>
      <w:r>
        <w:t xml:space="preserve">Patterns or theories which do not contain information about the historical processes that gave rise to them</w:t>
      </w:r>
    </w:p>
    <w:p>
      <w:pPr>
        <w:pStyle w:val="Heading4"/>
      </w:pPr>
      <w:bookmarkStart w:id="51" w:name="coalescent"/>
      <w:bookmarkEnd w:id="51"/>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52" w:name="statistical-equilibrium"/>
      <w:bookmarkEnd w:id="52"/>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3" w:name="tajimas-d"/>
      <w:bookmarkEnd w:id="53"/>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4" w:name="outstanding-questions"/>
      <w:bookmarkEnd w:id="54"/>
      <w:r>
        <w:t xml:space="preserve">Outstanding Questions</w:t>
      </w:r>
    </w:p>
    <w:p>
      <w:pPr>
        <w:numPr>
          <w:numId w:val="1005"/>
          <w:ilvl w:val="0"/>
        </w:numPr>
      </w:pPr>
      <w:r>
        <w:t xml:space="preserve">How can fossil data be best integrated with ahistorical ecological theory and diversity dynamics as informed by phylogenetic and population genetic inference?</w:t>
      </w:r>
    </w:p>
    <w:p>
      <w:pPr>
        <w:numPr>
          <w:numId w:val="1005"/>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pStyle w:val="Heading1"/>
      </w:pPr>
      <w:bookmarkStart w:id="55" w:name="figures"/>
      <w:bookmarkEnd w:id="55"/>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8" w:name="box-boxdry-figures"/>
      <w:bookmarkEnd w:id="58"/>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6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61"/>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2.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3.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4.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5. Harte, J. (2011).</w:t>
      </w:r>
      <w:r>
        <w:t xml:space="preserve"> </w:t>
      </w:r>
      <w:r>
        <w:rPr>
          <w:i/>
        </w:rPr>
        <w:t xml:space="preserve">The maximum entropy theory of ecology</w:t>
      </w:r>
      <w:r>
        <w:t xml:space="preserve">. Oxford University Press.</w:t>
      </w:r>
    </w:p>
    <w:p>
      <w:pPr>
        <w:pStyle w:val="Bibliography"/>
      </w:pPr>
      <w:r>
        <w:t xml:space="preserve">6.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7.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8.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9.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10. Blonder, B., Nogu</w:t>
      </w:r>
      <w:r>
        <w:t xml:space="preserve">é</w:t>
      </w:r>
      <w:r>
        <w:t xml:space="preserve">s-Bravo, D., Borregaard, M. K., Donoghue, I., John, C., J</w:t>
      </w:r>
      <w:r>
        <w:t xml:space="preserve">ø</w:t>
      </w:r>
      <w:r>
        <w:t xml:space="preserve">rgensen, P. M., … others. (2015). Linking environmental filtering and disequilibrium to biogeography with a community climate framework.</w:t>
      </w:r>
      <w:r>
        <w:t xml:space="preserve"> </w:t>
      </w:r>
      <w:r>
        <w:rPr>
          <w:i/>
        </w:rPr>
        <w:t xml:space="preserve">Ecology</w:t>
      </w:r>
      <w:r>
        <w:t xml:space="preserve">,</w:t>
      </w:r>
      <w:r>
        <w:t xml:space="preserve"> </w:t>
      </w:r>
      <w:r>
        <w:rPr>
          <w:i/>
        </w:rPr>
        <w:t xml:space="preserve">96</w:t>
      </w:r>
      <w:r>
        <w:t xml:space="preserve">(4), 972–985.</w:t>
      </w:r>
    </w:p>
    <w:p>
      <w:pPr>
        <w:pStyle w:val="Bibliography"/>
      </w:pPr>
      <w:r>
        <w:t xml:space="preserve">11.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12.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13.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62">
        <w:r>
          <w:rPr>
            <w:rStyle w:val="Link"/>
          </w:rPr>
          <w:t xml:space="preserve">10.1111/j.2041-210X.2012.00198.x</w:t>
        </w:r>
      </w:hyperlink>
    </w:p>
    <w:p>
      <w:pPr>
        <w:pStyle w:val="Bibliography"/>
      </w:pPr>
      <w:r>
        <w:t xml:space="preserve">14.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15.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16.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17.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18.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19.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20.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21.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22.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23.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24.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25.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26.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27.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28. Pueyo, S., He, F., &amp; Zillio, T. (2007). The maximum entropy formalism and the idiosyncratic theory of biodiversity.</w:t>
      </w:r>
      <w:r>
        <w:t xml:space="preserve"> </w:t>
      </w:r>
      <w:r>
        <w:rPr>
          <w:i/>
        </w:rPr>
        <w:t xml:space="preserve">Ecology Letters</w:t>
      </w:r>
      <w:r>
        <w:t xml:space="preserve">,</w:t>
      </w:r>
      <w:r>
        <w:t xml:space="preserve"> </w:t>
      </w:r>
      <w:r>
        <w:rPr>
          <w:i/>
        </w:rPr>
        <w:t xml:space="preserve">10</w:t>
      </w:r>
      <w:r>
        <w:t xml:space="preserve">(11), 1017–1028.</w:t>
      </w:r>
    </w:p>
    <w:p>
      <w:pPr>
        <w:pStyle w:val="Bibliography"/>
      </w:pPr>
      <w:r>
        <w:t xml:space="preserve">29. Neill, C., Daufresne, T., &amp; Jones, C. G. (2009). A competitive coexistence principle?</w:t>
      </w:r>
      <w:r>
        <w:t xml:space="preserve"> </w:t>
      </w:r>
      <w:r>
        <w:rPr>
          <w:i/>
        </w:rPr>
        <w:t xml:space="preserve">Oikos</w:t>
      </w:r>
      <w:r>
        <w:t xml:space="preserve">,</w:t>
      </w:r>
      <w:r>
        <w:t xml:space="preserve"> </w:t>
      </w:r>
      <w:r>
        <w:rPr>
          <w:i/>
        </w:rPr>
        <w:t xml:space="preserve">118</w:t>
      </w:r>
      <w:r>
        <w:t xml:space="preserve">(10), 1570–1578.</w:t>
      </w:r>
    </w:p>
    <w:p>
      <w:pPr>
        <w:pStyle w:val="Bibliography"/>
      </w:pPr>
      <w:r>
        <w:t xml:space="preserve">30.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31.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32.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33.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34. Baldridge, E., Harris, D. J., Xiao, X., &amp; White, E. P. (2016). An extensive comparison of species-abundance distribution models.</w:t>
      </w:r>
      <w:r>
        <w:t xml:space="preserve"> </w:t>
      </w:r>
      <w:r>
        <w:rPr>
          <w:i/>
        </w:rPr>
        <w:t xml:space="preserve">PeerJ</w:t>
      </w:r>
      <w:r>
        <w:t xml:space="preserve">,</w:t>
      </w:r>
      <w:r>
        <w:t xml:space="preserve"> </w:t>
      </w:r>
      <w:r>
        <w:rPr>
          <w:i/>
        </w:rPr>
        <w:t xml:space="preserve">4</w:t>
      </w:r>
      <w:r>
        <w:t xml:space="preserve">, e2823.</w:t>
      </w:r>
    </w:p>
    <w:p>
      <w:pPr>
        <w:pStyle w:val="Bibliography"/>
      </w:pPr>
      <w:r>
        <w:t xml:space="preserve">35. Etienne, R. S. (2007). A neutral sampling formula for multiple samples and an ’exact’ test of neutrality.</w:t>
      </w:r>
      <w:r>
        <w:t xml:space="preserve"> </w:t>
      </w:r>
      <w:r>
        <w:rPr>
          <w:i/>
        </w:rPr>
        <w:t xml:space="preserve">Ecology letters</w:t>
      </w:r>
      <w:r>
        <w:t xml:space="preserve">,</w:t>
      </w:r>
      <w:r>
        <w:t xml:space="preserve"> </w:t>
      </w:r>
      <w:r>
        <w:rPr>
          <w:i/>
        </w:rPr>
        <w:t xml:space="preserve">10</w:t>
      </w:r>
      <w:r>
        <w:t xml:space="preserve">(7), 608–618.</w:t>
      </w:r>
    </w:p>
    <w:p>
      <w:pPr>
        <w:pStyle w:val="Bibliography"/>
      </w:pPr>
      <w:r>
        <w:t xml:space="preserve">36. Rominger, A. J., &amp; Merow, C. (2017). MeteR: An r package for testing the maximum entropy theory of ecology.</w:t>
      </w:r>
      <w:r>
        <w:t xml:space="preserve"> </w:t>
      </w:r>
      <w:r>
        <w:rPr>
          <w:i/>
        </w:rPr>
        <w:t xml:space="preserve">Methods in Ecology and Evolution</w:t>
      </w:r>
      <w:r>
        <w:t xml:space="preserve">,</w:t>
      </w:r>
      <w:r>
        <w:t xml:space="preserve"> </w:t>
      </w:r>
      <w:r>
        <w:rPr>
          <w:i/>
        </w:rPr>
        <w:t xml:space="preserve">8</w:t>
      </w:r>
      <w:r>
        <w:t xml:space="preserve">(2), 241–247.</w:t>
      </w:r>
    </w:p>
    <w:p>
      <w:pPr>
        <w:pStyle w:val="Bibliography"/>
      </w:pPr>
      <w:r>
        <w:t xml:space="preserve">37. Alroy, J., Aberhan, M., Bottjer, D. J., Foote, M., F</w:t>
      </w:r>
      <w:r>
        <w:t xml:space="preserve">ü</w:t>
      </w:r>
      <w:r>
        <w:t xml:space="preserve">rsich, F. T., Harries, P. J., … Visaggi, C. C. (2008). Phanerozoic trends in the global diversity of marine invertebrates.</w:t>
      </w:r>
      <w:r>
        <w:t xml:space="preserve"> </w:t>
      </w:r>
      <w:r>
        <w:rPr>
          <w:i/>
        </w:rPr>
        <w:t xml:space="preserve">Science</w:t>
      </w:r>
      <w:r>
        <w:t xml:space="preserve">,</w:t>
      </w:r>
      <w:r>
        <w:t xml:space="preserve"> </w:t>
      </w:r>
      <w:r>
        <w:rPr>
          <w:i/>
        </w:rPr>
        <w:t xml:space="preserve">321</w:t>
      </w:r>
      <w:r>
        <w:t xml:space="preserve">, 97–100.</w:t>
      </w:r>
    </w:p>
    <w:p>
      <w:pPr>
        <w:pStyle w:val="Bibliography"/>
      </w:pPr>
      <w:r>
        <w:t xml:space="preserve">38. Harnik, P. G. (2011). Direct and indirect effects of biological factors on extinction risk in fossil bivalves.</w:t>
      </w:r>
      <w:r>
        <w:t xml:space="preserve"> </w:t>
      </w:r>
      <w:r>
        <w:rPr>
          <w:i/>
        </w:rPr>
        <w:t xml:space="preserve">Proceedings of the National Academy of Sciences</w:t>
      </w:r>
      <w:r>
        <w:t xml:space="preserve">,</w:t>
      </w:r>
      <w:r>
        <w:t xml:space="preserve"> </w:t>
      </w:r>
      <w:r>
        <w:rPr>
          <w:i/>
        </w:rPr>
        <w:t xml:space="preserve">108</w:t>
      </w:r>
      <w:r>
        <w:t xml:space="preserve">(33), 13594–13599.</w:t>
      </w:r>
    </w:p>
    <w:p>
      <w:pPr>
        <w:pStyle w:val="Bibliography"/>
      </w:pPr>
      <w:r>
        <w:t xml:space="preserve">39.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40.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41.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42.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43.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44.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45.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46.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47.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48.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49.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50.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51.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52.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53.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54.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55.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56.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57.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58. Wakeley, J. (2008).</w:t>
      </w:r>
      <w:r>
        <w:t xml:space="preserve"> </w:t>
      </w:r>
      <w:r>
        <w:rPr>
          <w:i/>
        </w:rPr>
        <w:t xml:space="preserve">Coalescent theory</w:t>
      </w:r>
      <w:r>
        <w:t xml:space="preserve">. Roberts; Company Publishers.</w:t>
      </w:r>
    </w:p>
    <w:p>
      <w:pPr>
        <w:pStyle w:val="Bibliography"/>
      </w:pPr>
      <w:r>
        <w:t xml:space="preserve">59.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60.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61.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62.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63. Xue, A. T., &amp; Hickerson, M. J. (2015). The aggregate site frequency spectrum (aSFS) for comparative population genomic inference.</w:t>
      </w:r>
      <w:r>
        <w:t xml:space="preserve"> </w:t>
      </w:r>
      <w:r>
        <w:rPr>
          <w:i/>
        </w:rPr>
        <w:t xml:space="preserve">Mol. Ecol.</w:t>
      </w:r>
    </w:p>
    <w:p>
      <w:pPr>
        <w:pStyle w:val="Bibliography"/>
      </w:pPr>
      <w:r>
        <w:t xml:space="preserve">64.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65.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66.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67.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68.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69. Beaumont, M. (2010). Approximate bayesian computation in evolution and ecology.</w:t>
      </w:r>
      <w:r>
        <w:t xml:space="preserve"> </w:t>
      </w:r>
      <w:r>
        <w:rPr>
          <w:i/>
        </w:rPr>
        <w:t xml:space="preserve">Annu. Rev. Ecol. Evol. Syst.</w:t>
      </w:r>
      <w:r>
        <w:t xml:space="preserve">,</w:t>
      </w:r>
      <w:r>
        <w:t xml:space="preserve"> </w:t>
      </w:r>
      <w:r>
        <w:rPr>
          <w:i/>
        </w:rPr>
        <w:t xml:space="preserve">41</w:t>
      </w:r>
      <w:r>
        <w:t xml:space="preserve">(1), 379–406.</w:t>
      </w:r>
    </w:p>
    <w:p>
      <w:pPr>
        <w:pStyle w:val="Bibliography"/>
      </w:pPr>
      <w:r>
        <w:t xml:space="preserve">70. Pritchard, J. K., Seielstad, M. T., A., P.-L., &amp; Feldman, M. W. (1999). Population growth of human Y chromosomes: A study of Y chromosome microsatellites.</w:t>
      </w:r>
      <w:r>
        <w:t xml:space="preserve"> </w:t>
      </w:r>
      <w:r>
        <w:rPr>
          <w:i/>
        </w:rPr>
        <w:t xml:space="preserve">Mol. Biol. Evol.</w:t>
      </w:r>
      <w:r>
        <w:t xml:space="preserve">,</w:t>
      </w:r>
      <w:r>
        <w:t xml:space="preserve"> </w:t>
      </w:r>
      <w:r>
        <w:rPr>
          <w:i/>
        </w:rPr>
        <w:t xml:space="preserve">16</w:t>
      </w:r>
      <w:r>
        <w:t xml:space="preserve">, 1791–1798.</w:t>
      </w:r>
    </w:p>
    <w:p>
      <w:pPr>
        <w:pStyle w:val="Bibliography"/>
      </w:pPr>
      <w:r>
        <w:t xml:space="preserve">71. Sunn</w:t>
      </w:r>
      <w:r>
        <w:t xml:space="preserve">å</w:t>
      </w:r>
      <w:r>
        <w:t xml:space="preserve">ker, M., Busetto, A. G., Numminen, E., Corander, J., Foll, M., &amp; Dessimoz, C. (2013). Approximate bayesian computation.</w:t>
      </w:r>
      <w:r>
        <w:t xml:space="preserve"> </w:t>
      </w:r>
      <w:r>
        <w:rPr>
          <w:i/>
        </w:rPr>
        <w:t xml:space="preserve">PLoS Comput. Biol.</w:t>
      </w:r>
      <w:r>
        <w:t xml:space="preserve">,</w:t>
      </w:r>
      <w:r>
        <w:t xml:space="preserve"> </w:t>
      </w:r>
      <w:r>
        <w:rPr>
          <w:i/>
        </w:rPr>
        <w:t xml:space="preserve">9</w:t>
      </w:r>
      <w:r>
        <w:t xml:space="preserve">(1), e1002803. doi:10.1371/journal.pcbi.1002803.</w:t>
      </w:r>
    </w:p>
    <w:p>
      <w:pPr>
        <w:pStyle w:val="Bibliography"/>
      </w:pPr>
      <w:r>
        <w:t xml:space="preserve">72.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73.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74. Ewing, G. B., &amp; Jensen, J. D. (2016). The consequences of not accounting for background selection in demographic inference.</w:t>
      </w:r>
      <w:r>
        <w:t xml:space="preserve"> </w:t>
      </w:r>
      <w:r>
        <w:rPr>
          <w:i/>
        </w:rPr>
        <w:t xml:space="preserve">Mol. Ecol.</w:t>
      </w:r>
    </w:p>
    <w:p>
      <w:pPr>
        <w:pStyle w:val="Bibliography"/>
      </w:pPr>
      <w:r>
        <w:t xml:space="preserve">75.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76.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77.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78.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79.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80.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81.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82.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83. Phung, T. N., Huber, C. D., &amp; Lohmueller, K. E. (2016). Determining the effect of natural selection on linked neutral divergence across species.</w:t>
      </w:r>
      <w:r>
        <w:t xml:space="preserve"> </w:t>
      </w:r>
      <w:r>
        <w:rPr>
          <w:i/>
        </w:rPr>
        <w:t xml:space="preserve">PLoS Genet.</w:t>
      </w:r>
      <w:r>
        <w:t xml:space="preserve">,</w:t>
      </w:r>
      <w:r>
        <w:t xml:space="preserve"> </w:t>
      </w:r>
      <w:r>
        <w:rPr>
          <w:i/>
        </w:rPr>
        <w:t xml:space="preserve">12</w:t>
      </w:r>
      <w:r>
        <w:t xml:space="preserve">(8), e1006199.</w:t>
      </w:r>
    </w:p>
    <w:p>
      <w:pPr>
        <w:pStyle w:val="Bibliography"/>
      </w:pPr>
      <w:r>
        <w:t xml:space="preserve">84. Roux, C., Fra</w:t>
      </w:r>
      <w:r>
        <w:t xml:space="preserve">ï</w:t>
      </w:r>
      <w:r>
        <w:t xml:space="preserve">sse, C., Romiguier, J., Anciaux, Y., Galtier, N., &amp; Bierne, N. (2016). Shedding light on the grey zone of speciation along a continuum of genomic divergence.</w:t>
      </w:r>
      <w:r>
        <w:t xml:space="preserve"> </w:t>
      </w:r>
      <w:r>
        <w:rPr>
          <w:i/>
        </w:rPr>
        <w:t xml:space="preserve">PLoS Biol.</w:t>
      </w:r>
      <w:r>
        <w:t xml:space="preserve">,</w:t>
      </w:r>
      <w:r>
        <w:t xml:space="preserve"> </w:t>
      </w:r>
      <w:r>
        <w:rPr>
          <w:i/>
        </w:rPr>
        <w:t xml:space="preserve">14</w:t>
      </w:r>
      <w:r>
        <w:t xml:space="preserve">(12), e2000234.</w:t>
      </w:r>
    </w:p>
    <w:p>
      <w:pPr>
        <w:pStyle w:val="Bibliography"/>
      </w:pPr>
      <w:r>
        <w:t xml:space="preserve">85. Losos, J. B. (2008). Phylogenetic niche conservatism, phylogenetic signal and the relationship between phylogenetic relatedness and ecological similarity among species.</w:t>
      </w:r>
      <w:r>
        <w:t xml:space="preserve"> </w:t>
      </w:r>
      <w:r>
        <w:rPr>
          <w:i/>
        </w:rPr>
        <w:t xml:space="preserve">Ecol. Lett.</w:t>
      </w:r>
      <w:r>
        <w:t xml:space="preserve">,</w:t>
      </w:r>
      <w:r>
        <w:t xml:space="preserve"> </w:t>
      </w:r>
      <w:r>
        <w:rPr>
          <w:i/>
        </w:rPr>
        <w:t xml:space="preserve">11</w:t>
      </w:r>
      <w:r>
        <w:t xml:space="preserve">(10), 995–1007.</w:t>
      </w:r>
    </w:p>
    <w:p>
      <w:pPr>
        <w:pStyle w:val="Bibliography"/>
      </w:pPr>
      <w:r>
        <w:t xml:space="preserve">86. Sukumaran, J., Economo, E. P., &amp; Knowles, L. L. (2016). Machine learning biogeographic processes from biotic patterns: A new trait-dependent dispersal and diversification model with model choice by simulation-trained discriminant analysis.</w:t>
      </w:r>
      <w:r>
        <w:t xml:space="preserve"> </w:t>
      </w:r>
      <w:r>
        <w:rPr>
          <w:i/>
        </w:rPr>
        <w:t xml:space="preserve">Systematic biology</w:t>
      </w:r>
      <w:r>
        <w:t xml:space="preserve">,</w:t>
      </w:r>
      <w:r>
        <w:t xml:space="preserve"> </w:t>
      </w:r>
      <w:r>
        <w:rPr>
          <w:i/>
        </w:rPr>
        <w:t xml:space="preserve">65</w:t>
      </w:r>
      <w:r>
        <w:t xml:space="preserve">(3), 525–545.</w:t>
      </w:r>
    </w:p>
    <w:p>
      <w:pPr>
        <w:pStyle w:val="Bibliography"/>
      </w:pPr>
      <w:r>
        <w:t xml:space="preserve">87. Ricklefs, R. E. (2007). History and diversity: Explorations at the intersection of ecology and evolution.</w:t>
      </w:r>
      <w:r>
        <w:t xml:space="preserve"> </w:t>
      </w:r>
      <w:r>
        <w:rPr>
          <w:i/>
        </w:rPr>
        <w:t xml:space="preserve">Am. Nat.</w:t>
      </w:r>
      <w:r>
        <w:t xml:space="preserve">,</w:t>
      </w:r>
      <w:r>
        <w:t xml:space="preserve"> </w:t>
      </w:r>
      <w:r>
        <w:rPr>
          <w:i/>
        </w:rPr>
        <w:t xml:space="preserve">170</w:t>
      </w:r>
      <w:r>
        <w:t xml:space="preserve">(S2), S56–S70.</w:t>
      </w:r>
    </w:p>
    <w:p>
      <w:pPr>
        <w:pStyle w:val="Bibliography"/>
      </w:pPr>
      <w:r>
        <w:t xml:space="preserve">88. Emerson, B. C., &amp; Gillespie, R. G. (2008). Phylogenetic analysis of community assembly and structure over space and time.</w:t>
      </w:r>
      <w:r>
        <w:t xml:space="preserve"> </w:t>
      </w:r>
      <w:r>
        <w:rPr>
          <w:i/>
        </w:rPr>
        <w:t xml:space="preserve">Trends Ecol. Evol.</w:t>
      </w:r>
    </w:p>
    <w:p>
      <w:pPr>
        <w:pStyle w:val="Bibliography"/>
      </w:pPr>
      <w:r>
        <w:t xml:space="preserve">89.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90.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91.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92.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93.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94.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95.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96.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97. Davies, T. J., Allen, A. P., Borda-de-</w:t>
      </w:r>
      <w:r>
        <w:t xml:space="preserve">Á</w:t>
      </w:r>
      <w:r>
        <w:t xml:space="preserve">gua, L., Regetz, J., &amp; Meli</w:t>
      </w:r>
      <w:r>
        <w:t xml:space="preserve">á</w:t>
      </w:r>
      <w:r>
        <w:t xml:space="preserve">n, C. J. (2011). NEUTRAL BIODIVERSITY THEORY CAN EXPLAIN THE IMBALANCE OF PHYLOGENETIC TREES BUT NOT THE TEMPO OF THEIR DIVERSIFICATION.</w:t>
      </w:r>
      <w:r>
        <w:t xml:space="preserve"> </w:t>
      </w:r>
      <w:r>
        <w:rPr>
          <w:i/>
        </w:rPr>
        <w:t xml:space="preserve">Evolution</w:t>
      </w:r>
      <w:r>
        <w:t xml:space="preserve">,</w:t>
      </w:r>
      <w:r>
        <w:t xml:space="preserve"> </w:t>
      </w:r>
      <w:r>
        <w:rPr>
          <w:i/>
        </w:rPr>
        <w:t xml:space="preserve">65</w:t>
      </w:r>
      <w:r>
        <w:t xml:space="preserve">(7), 1841–1850.</w:t>
      </w:r>
    </w:p>
    <w:p>
      <w:pPr>
        <w:pStyle w:val="Bibliography"/>
      </w:pPr>
      <w:r>
        <w:t xml:space="preserve">98.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99.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100.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101.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102. Kendall, D. G. (1948). On some modes of population growth leading to r. a. fisher’s logarithmic series distribution.</w:t>
      </w:r>
      <w:r>
        <w:t xml:space="preserve"> </w:t>
      </w:r>
      <w:r>
        <w:rPr>
          <w:i/>
        </w:rPr>
        <w:t xml:space="preserve">Biometrika</w:t>
      </w:r>
      <w:r>
        <w:t xml:space="preserve">,</w:t>
      </w:r>
      <w:r>
        <w:t xml:space="preserve"> </w:t>
      </w:r>
      <w:r>
        <w:rPr>
          <w:i/>
        </w:rPr>
        <w:t xml:space="preserve">35</w:t>
      </w:r>
      <w:r>
        <w:t xml:space="preserve">(1), 6–15.</w:t>
      </w:r>
    </w:p>
    <w:p>
      <w:pPr>
        <w:pStyle w:val="Bibliography"/>
      </w:pPr>
      <w:r>
        <w:t xml:space="preserve">103.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104. Engen, S., &amp; Lande, R. (1996). Population dynamic models generating species abundance distributions of the gamma type.</w:t>
      </w:r>
      <w:r>
        <w:t xml:space="preserve"> </w:t>
      </w:r>
      <w:r>
        <w:rPr>
          <w:i/>
        </w:rPr>
        <w:t xml:space="preserve">J. Theor. Biol.</w:t>
      </w:r>
      <w:r>
        <w:t xml:space="preserve">,</w:t>
      </w:r>
      <w:r>
        <w:t xml:space="preserve"> </w:t>
      </w:r>
      <w:r>
        <w:rPr>
          <w:i/>
        </w:rPr>
        <w:t xml:space="preserve">178</w:t>
      </w:r>
      <w:r>
        <w:t xml:space="preserve">(3), 325–331.</w:t>
      </w:r>
    </w:p>
    <w:p>
      <w:pPr>
        <w:pStyle w:val="Bibliography"/>
      </w:pPr>
      <w:r>
        <w:t xml:space="preserve">105.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106.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107.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108.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109. Adler, P. B., HilleRisLambers, J., &amp; Levine, J. M. (2007). A niche for neutrality.</w:t>
      </w:r>
      <w:r>
        <w:t xml:space="preserve"> </w:t>
      </w:r>
      <w:r>
        <w:rPr>
          <w:i/>
        </w:rPr>
        <w:t xml:space="preserve">Ecol. Lett.</w:t>
      </w:r>
      <w:r>
        <w:t xml:space="preserve">,</w:t>
      </w:r>
      <w:r>
        <w:t xml:space="preserve"> </w:t>
      </w:r>
      <w:r>
        <w:rPr>
          <w:i/>
        </w:rPr>
        <w:t xml:space="preserve">10</w:t>
      </w:r>
      <w:r>
        <w:t xml:space="preserve">(2), 95–104.</w:t>
      </w:r>
    </w:p>
    <w:p>
      <w:pPr>
        <w:pStyle w:val="Bibliography"/>
      </w:pPr>
      <w:r>
        <w:t xml:space="preserve">110. HilleRisLambers, J., Adler, P. B., Harpole, W. S., Levine, J. M., &amp; Mayfield, M. M. (2012). Rethinking community assembly through the lens of coexistence theory.</w:t>
      </w:r>
      <w:r>
        <w:t xml:space="preserve"> </w:t>
      </w:r>
      <w:r>
        <w:rPr>
          <w:i/>
        </w:rPr>
        <w:t xml:space="preserve">Annual Review of</w:t>
      </w:r>
      <w:r>
        <w:t xml:space="preserve">.</w:t>
      </w:r>
    </w:p>
    <w:p>
      <w:pPr>
        <w:pStyle w:val="Bibliography"/>
      </w:pPr>
      <w:r>
        <w:t xml:space="preserve">111. Levine, J. M., &amp; HilleRisLambers, J. (2009). The importance of niches for the maintenance of species diversity.</w:t>
      </w:r>
      <w:r>
        <w:t xml:space="preserve"> </w:t>
      </w:r>
      <w:r>
        <w:rPr>
          <w:i/>
        </w:rPr>
        <w:t xml:space="preserve">Nature</w:t>
      </w:r>
      <w:r>
        <w:t xml:space="preserve">,</w:t>
      </w:r>
      <w:r>
        <w:t xml:space="preserve"> </w:t>
      </w:r>
      <w:r>
        <w:rPr>
          <w:i/>
        </w:rPr>
        <w:t xml:space="preserve">461</w:t>
      </w:r>
      <w:r>
        <w:t xml:space="preserve">(7261), 254–257.</w:t>
      </w:r>
    </w:p>
    <w:p>
      <w:pPr>
        <w:pStyle w:val="Bibliography"/>
      </w:pPr>
      <w:r>
        <w:t xml:space="preserve">112. Mayfield, M. M., &amp; Levine, J. M. (2010). Opposing effects of competitive exclusion on the phylogenetic structure of communities.</w:t>
      </w:r>
      <w:r>
        <w:t xml:space="preserve"> </w:t>
      </w:r>
      <w:r>
        <w:rPr>
          <w:i/>
        </w:rPr>
        <w:t xml:space="preserve">Ecol. Lett.</w:t>
      </w:r>
      <w:r>
        <w:t xml:space="preserve">,</w:t>
      </w:r>
      <w:r>
        <w:t xml:space="preserve"> </w:t>
      </w:r>
      <w:r>
        <w:rPr>
          <w:i/>
        </w:rPr>
        <w:t xml:space="preserve">13</w:t>
      </w:r>
      <w:r>
        <w:t xml:space="preserve">(9), 1085–1093.</w:t>
      </w:r>
    </w:p>
    <w:p>
      <w:pPr>
        <w:pStyle w:val="Bibliography"/>
      </w:pPr>
      <w:r>
        <w:t xml:space="preserve">113. Godoy, O., Kraft, N. J. B., &amp; Levine, J. M. (2014). Phylogenetic relatedness and the determinants of competitive outcomes.</w:t>
      </w:r>
      <w:r>
        <w:t xml:space="preserve"> </w:t>
      </w:r>
      <w:r>
        <w:rPr>
          <w:i/>
        </w:rPr>
        <w:t xml:space="preserve">Ecol. Lett.</w:t>
      </w:r>
      <w:r>
        <w:t xml:space="preserve">,</w:t>
      </w:r>
      <w:r>
        <w:t xml:space="preserve"> </w:t>
      </w:r>
      <w:r>
        <w:rPr>
          <w:i/>
        </w:rPr>
        <w:t xml:space="preserve">17</w:t>
      </w:r>
      <w:r>
        <w:t xml:space="preserve">(7), 836–844.</w:t>
      </w:r>
    </w:p>
    <w:p>
      <w:pPr>
        <w:pStyle w:val="Bibliography"/>
      </w:pPr>
      <w:r>
        <w:t xml:space="preserve">114. Van Valen, L. (1973). A new evolutionary law.</w:t>
      </w:r>
      <w:r>
        <w:t xml:space="preserve"> </w:t>
      </w:r>
      <w:r>
        <w:rPr>
          <w:i/>
        </w:rPr>
        <w:t xml:space="preserve">Evolutionary theory</w:t>
      </w:r>
      <w:r>
        <w:t xml:space="preserve">,</w:t>
      </w:r>
      <w:r>
        <w:t xml:space="preserve"> </w:t>
      </w:r>
      <w:r>
        <w:rPr>
          <w:i/>
        </w:rPr>
        <w:t xml:space="preserve">1</w:t>
      </w:r>
      <w:r>
        <w:t xml:space="preserve">, 1–30.</w:t>
      </w:r>
    </w:p>
    <w:p>
      <w:pPr>
        <w:pStyle w:val="Bibliography"/>
      </w:pPr>
      <w:r>
        <w:t xml:space="preserve">115. Erwin, D. H. (2008). Macroevolution of ecosystem engineering, niche construction and diversity.</w:t>
      </w:r>
      <w:r>
        <w:t xml:space="preserve"> </w:t>
      </w:r>
      <w:r>
        <w:rPr>
          <w:i/>
        </w:rPr>
        <w:t xml:space="preserve">Trends in Ecology &amp; Evolution</w:t>
      </w:r>
      <w:r>
        <w:t xml:space="preserve">,</w:t>
      </w:r>
      <w:r>
        <w:t xml:space="preserve"> </w:t>
      </w:r>
      <w:r>
        <w:rPr>
          <w:i/>
        </w:rPr>
        <w:t xml:space="preserve">23</w:t>
      </w:r>
      <w:r>
        <w:t xml:space="preserve">(6), 304–310.</w:t>
      </w:r>
    </w:p>
    <w:p>
      <w:pPr>
        <w:pStyle w:val="Bibliography"/>
      </w:pPr>
      <w:r>
        <w:t xml:space="preserve">116. Kirchner, J. W., &amp; Weil, A. (1998). No fractals in fossil extinction statistics.</w:t>
      </w:r>
      <w:r>
        <w:t xml:space="preserve"> </w:t>
      </w:r>
      <w:r>
        <w:rPr>
          <w:i/>
        </w:rPr>
        <w:t xml:space="preserve">Nature</w:t>
      </w:r>
      <w:r>
        <w:t xml:space="preserve">,</w:t>
      </w:r>
      <w:r>
        <w:t xml:space="preserve"> </w:t>
      </w:r>
      <w:r>
        <w:rPr>
          <w:i/>
        </w:rPr>
        <w:t xml:space="preserve">395</w:t>
      </w:r>
      <w:r>
        <w:t xml:space="preserve">, 337–338.</w:t>
      </w:r>
    </w:p>
    <w:p>
      <w:pPr>
        <w:pStyle w:val="Bibliography"/>
      </w:pPr>
      <w:r>
        <w:t xml:space="preserve">117.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118.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119.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120.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121.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122.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123. Overcast, I. A., &amp; Hickerson, M. J. ({in prep.}). Integrating community assembly models and comparative population genetics.</w:t>
      </w:r>
    </w:p>
    <w:p>
      <w:pPr>
        <w:pStyle w:val="Bibliography"/>
      </w:pPr>
      <w:r>
        <w:t xml:space="preserve">124.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125.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91ce3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89bc07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1b21cfb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0" Target="media/rId60.pdf"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61" Target="media/rId61.png" /><Relationship Type="http://schemas.openxmlformats.org/officeDocument/2006/relationships/image" Id="rId59" Target="media/rId59.pdf" /><Relationship Type="http://schemas.openxmlformats.org/officeDocument/2006/relationships/hyperlink" Id="rId62"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62"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