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B00020"/>
          <w:sz w:val="22"/>
          <w:szCs w:val="22"/>
        </w:rPr>
        <w:t xml:space="preserve">DRAFT — PENDING OWNER REVIEW</w:t>
      </w:r>
    </w:p>
    <w:p>
      <w:pPr>
        <w:spacing w:after="60"/>
        <w:jc w:val="center"/>
      </w:pPr>
      <w:r>
        <w:rPr>
          <w:b/>
          <w:bCs/>
          <w:sz w:val="48"/>
          <w:szCs w:val="48"/>
        </w:rPr>
        <w:t xml:space="preserve">Negotiation Brief</w:t>
      </w:r>
    </w:p>
    <w:p>
      <w:pPr>
        <w:spacing w:after="60"/>
        <w:jc w:val="center"/>
      </w:pPr>
      <w:r>
        <w:rPr>
          <w:sz w:val="26"/>
          <w:szCs w:val="26"/>
        </w:rPr>
        <w:t xml:space="preserve">Glow Body Co.  |  Distributor: Sephora (LVMH)</w:t>
      </w:r>
    </w:p>
    <w:p>
      <w:pPr>
        <w:spacing w:after="300"/>
        <w:jc w:val="center"/>
      </w:pPr>
      <w:r>
        <w:rPr>
          <w:i/>
          <w:iCs/>
          <w:color w:val="666666"/>
          <w:sz w:val="20"/>
          <w:szCs w:val="20"/>
        </w:rPr>
        <w:t xml:space="preserve">Generated 2026-07-31</w:t>
      </w:r>
    </w:p>
    <w:p>
      <w:pPr>
        <w:spacing w:after="120"/>
      </w:pPr>
      <w:r>
        <w:t xml:space="preserve">This brief is a starting point prepared from the scenario notes provided and a small researched knowledge base on distributor dynamics and negotiation tactics. It is not legal or financial advice. Review every figure and claim against your own contract and current numbers, and do not use this in a live negotiation until you have accepted it below.</w:t>
      </w:r>
    </w:p>
    <w:p>
      <w:pPr>
        <w:pStyle w:val="Heading1"/>
        <w:spacing w:after="150" w:before="300"/>
      </w:pPr>
      <w:r>
        <w:t xml:space="preserve">1. Situation Summary</w:t>
      </w:r>
    </w:p>
    <w:p>
      <w:pPr>
        <w:spacing w:after="120"/>
      </w:pPr>
      <w:r>
        <w:t xml:space="preserve">Renewal Notes — Sephora Distribution Agreement</w:t>
      </w:r>
    </w:p>
    <w:p>
      <w:pPr>
        <w:spacing w:after="120"/>
      </w:pPr>
      <w:r>
        <w:t xml:space="preserve">We've been in Sephora for just under three years now (28 SKUs across our</w:t>
      </w:r>
    </w:p>
    <w:p>
      <w:pPr>
        <w:spacing w:after="120"/>
      </w:pPr>
      <w:r>
        <w:t xml:space="preserve">body butter and body oil lines). Contract is up for renewal in 60 days.</w:t>
      </w:r>
    </w:p>
    <w:p>
      <w:pPr>
        <w:spacing w:after="120"/>
      </w:pPr>
      <w:r>
        <w:t xml:space="preserve">Our Sephora buyer mentioned in our last call that they want to revisit</w:t>
      </w:r>
    </w:p>
    <w:p>
      <w:pPr>
        <w:spacing w:after="120"/>
      </w:pPr>
      <w:r>
        <w:t xml:space="preserve">terms.</w:t>
      </w:r>
    </w:p>
    <w:p>
      <w:pPr>
        <w:spacing w:after="120"/>
      </w:pPr>
      <w:r>
        <w:t xml:space="preserve">Specifically she raised three things: (1) increasing our minimum order</w:t>
      </w:r>
    </w:p>
    <w:p>
      <w:pPr>
        <w:spacing w:after="120"/>
      </w:pPr>
      <w:r>
        <w:t xml:space="preserve">commitment for next year by about 40%, (2) asking us to commit more</w:t>
      </w:r>
    </w:p>
    <w:p>
      <w:pPr>
        <w:spacing w:after="120"/>
      </w:pPr>
      <w:r>
        <w:t xml:space="preserve">marketing/trade spend to fund an endcap placement, and (3) a note that</w:t>
      </w:r>
    </w:p>
    <w:p>
      <w:pPr>
        <w:spacing w:after="120"/>
      </w:pPr>
      <w:r>
        <w:t xml:space="preserve">our chargeback rate on late shipments has been higher than they'd like</w:t>
      </w:r>
    </w:p>
    <w:p>
      <w:pPr>
        <w:spacing w:after="120"/>
      </w:pPr>
      <w:r>
        <w:t xml:space="preserve">the last two quarters.</w:t>
      </w:r>
    </w:p>
    <w:p>
      <w:pPr>
        <w:spacing w:after="120"/>
      </w:pPr>
      <w:r>
        <w:t xml:space="preserve">On our side: sell-through has actually been solid, our body oil line is</w:t>
      </w:r>
    </w:p>
    <w:p>
      <w:pPr>
        <w:spacing w:after="120"/>
      </w:pPr>
      <w:r>
        <w:t xml:space="preserve">one of the better performers in our sub-category per the quarterly</w:t>
      </w:r>
    </w:p>
    <w:p>
      <w:pPr>
        <w:spacing w:after="120"/>
      </w:pPr>
      <w:r>
        <w:t xml:space="preserve">reports they share, and we've had strong reviews (4.7 avg, 1,200+</w:t>
      </w:r>
    </w:p>
    <w:p>
      <w:pPr>
        <w:spacing w:after="120"/>
      </w:pPr>
      <w:r>
        <w:t xml:space="preserve">reviews). Margin is already tight after trade spend, so we're worried</w:t>
      </w:r>
    </w:p>
    <w:p>
      <w:pPr>
        <w:spacing w:after="120"/>
      </w:pPr>
      <w:r>
        <w:t xml:space="preserve">about the combination of higher MOQ plus more marketing spend hitting</w:t>
      </w:r>
    </w:p>
    <w:p>
      <w:pPr>
        <w:spacing w:after="120"/>
      </w:pPr>
      <w:r>
        <w:t xml:space="preserve">cash flow hard, especially with 60-day payment terms.</w:t>
      </w:r>
    </w:p>
    <w:p>
      <w:pPr>
        <w:spacing w:after="120"/>
      </w:pPr>
      <w:r>
        <w:t xml:space="preserve">We have had informal interest from a regional distributor about carrying</w:t>
      </w:r>
    </w:p>
    <w:p>
      <w:pPr>
        <w:spacing w:after="120"/>
      </w:pPr>
      <w:r>
        <w:t xml:space="preserve">us in spas and boutique retailers, but nothing signed. We'd prefer to</w:t>
      </w:r>
    </w:p>
    <w:p>
      <w:pPr>
        <w:spacing w:after="120"/>
      </w:pPr>
      <w:r>
        <w:t xml:space="preserve">stay in Sephora if we can get to reasonable terms.</w:t>
      </w:r>
    </w:p>
    <w:p>
      <w:pPr>
        <w:spacing w:after="120"/>
      </w:pPr>
      <w:r>
        <w:t xml:space="preserve">Owner note: we can flex on MOQ if they hold marketing spend flat, but we cannot absorb both a 40% MOQ increase and more trade spend in the same renewal. Willing to discuss a 2-year term if terms are favorable.</w:t>
      </w:r>
    </w:p>
    <w:p>
      <w:pPr>
        <w:pStyle w:val="Heading1"/>
        <w:spacing w:after="150" w:before="300"/>
      </w:pPr>
      <w:r>
        <w:t xml:space="preserve">2. Distributor Profile &amp; Market Context</w:t>
      </w:r>
    </w:p>
    <w:p>
      <w:pPr>
        <w:pStyle w:val="ListParagraph"/>
        <w:numPr>
          <w:ilvl w:val="0"/>
          <w:numId w:val="1"/>
        </w:numPr>
        <w:spacing w:after="120"/>
      </w:pPr>
      <w:r>
        <w:t xml:space="preserve">Sephora's parent division (Selective Retailing) grew 4% organically in 2025 and LVMH called Sephora's 2025 performance "remarkable" even while the wider LVMH group's revenue was flat-to-down — Sephora is currently a bright spot they are motivated to keep growing.</w:t>
      </w:r>
    </w:p>
    <w:p>
      <w:pPr>
        <w:pStyle w:val="ListParagraph"/>
        <w:numPr>
          <w:ilvl w:val="0"/>
          <w:numId w:val="1"/>
        </w:numPr>
        <w:spacing w:after="120"/>
      </w:pPr>
      <w:r>
        <w:t xml:space="preserve">Sephora opened roughly 100 new stores in 2025 and continues gaining market share into 2026, and is actively investing in fresh, differentiated indie brands (e.g., the widely publicized Rhode launch) to keep the assortment exciting.</w:t>
      </w:r>
    </w:p>
    <w:p>
      <w:pPr>
        <w:pStyle w:val="ListParagraph"/>
        <w:numPr>
          <w:ilvl w:val="0"/>
          <w:numId w:val="1"/>
        </w:numPr>
        <w:spacing w:after="120"/>
      </w:pPr>
      <w:r>
        <w:t xml:space="preserve">Standard wholesale terms are "keystone" (Sephora buys at roughly 50% of retail); after funding trade spend and marketing support, brands often net only 25-30% contribution margin — know this baseline so a "standard" ask isn't mistaken for a concession.</w:t>
      </w:r>
    </w:p>
    <w:p>
      <w:pPr>
        <w:pStyle w:val="ListParagraph"/>
        <w:numPr>
          <w:ilvl w:val="0"/>
          <w:numId w:val="1"/>
        </w:numPr>
        <w:spacing w:after="120"/>
      </w:pPr>
      <w:r>
        <w:t xml:space="preserve">Vendor compliance has tightened: FDA facility registration/product listing has been required since mid-2024, and several packaging chemical categories (PFAS/PTFE, BPA, silver salts, mineral oils) were banned from Sephora packaging effective Dec 31, 2025 — compliance failures are a direct, avoidable source of chargebacks.</w:t>
      </w:r>
    </w:p>
    <w:p>
      <w:pPr>
        <w:spacing w:after="60" w:before="120"/>
      </w:pPr>
      <w:r>
        <w:rPr>
          <w:b/>
          <w:bCs/>
        </w:rPr>
        <w:t xml:space="preserve">Margin / Wholesale Pricing</w:t>
      </w:r>
    </w:p>
    <w:p>
      <w:pPr>
        <w:pStyle w:val="ListParagraph"/>
        <w:numPr>
          <w:ilvl w:val="0"/>
          <w:numId w:val="1"/>
        </w:numPr>
        <w:spacing w:after="120"/>
      </w:pPr>
      <w:r>
        <w:t xml:space="preserve">Set your target, acceptable-floor, and walk-away margin numbers before the conversation — treat margin as its own line item, separate from MOQ, marketing spend, and payment terms, so you can trade across them instead of caving on all at once.</w:t>
      </w:r>
    </w:p>
    <w:p>
      <w:pPr>
        <w:spacing w:after="60" w:before="120"/>
      </w:pPr>
      <w:r>
        <w:rPr>
          <w:b/>
          <w:bCs/>
        </w:rPr>
        <w:t xml:space="preserve">Minimum Order Quantity</w:t>
      </w:r>
    </w:p>
    <w:p>
      <w:pPr>
        <w:pStyle w:val="ListParagraph"/>
        <w:numPr>
          <w:ilvl w:val="0"/>
          <w:numId w:val="1"/>
        </w:numPr>
        <w:spacing w:after="120"/>
      </w:pPr>
      <w:r>
        <w:t xml:space="preserve">A higher MOQ ask is really a cash-flow and inventory-risk ask disguised as a volume ask — quantify what it costs you in working capital and carrying risk before agreeing, and consider trading a higher MOQ for better payment terms or a firmer forecast/commitment from them in return.</w:t>
      </w:r>
    </w:p>
    <w:p>
      <w:pPr>
        <w:spacing w:after="60" w:before="120"/>
      </w:pPr>
      <w:r>
        <w:rPr>
          <w:b/>
          <w:bCs/>
        </w:rPr>
        <w:t xml:space="preserve">Marketing / Trade Spend</w:t>
      </w:r>
    </w:p>
    <w:p>
      <w:pPr>
        <w:pStyle w:val="ListParagraph"/>
        <w:numPr>
          <w:ilvl w:val="0"/>
          <w:numId w:val="1"/>
        </w:numPr>
        <w:spacing w:after="120"/>
      </w:pPr>
      <w:r>
        <w:t xml:space="preserve">Trade spend and marketing support commitments come directly out of your margin — model the all-in effective margin after any new marketing ask before agreeing, not just the headline wholesale discount.</w:t>
      </w:r>
    </w:p>
    <w:p>
      <w:pPr>
        <w:spacing w:after="60" w:before="120"/>
      </w:pPr>
      <w:r>
        <w:rPr>
          <w:b/>
          <w:bCs/>
        </w:rPr>
        <w:t xml:space="preserve">Chargebacks / Compliance Deductions</w:t>
      </w:r>
    </w:p>
    <w:p>
      <w:pPr>
        <w:pStyle w:val="ListParagraph"/>
        <w:numPr>
          <w:ilvl w:val="0"/>
          <w:numId w:val="1"/>
        </w:numPr>
        <w:spacing w:after="120"/>
      </w:pPr>
      <w:r>
        <w:t xml:space="preserve">Chargebacks (deductions for shipment, labeling, or delivery-window misses) disproportionately hurt small brands because there's less margin to absorb an error — ask for chargeback detail/root cause before agreeing to new compliance terms, and confirm you have a notice-and-cure window before any deduction is final.</w:t>
      </w:r>
    </w:p>
    <w:p>
      <w:pPr>
        <w:spacing w:after="60" w:before="120"/>
      </w:pPr>
      <w:r>
        <w:rPr>
          <w:b/>
          <w:bCs/>
        </w:rPr>
        <w:t xml:space="preserve">Payment Terms</w:t>
      </w:r>
    </w:p>
    <w:p>
      <w:pPr>
        <w:pStyle w:val="ListParagraph"/>
        <w:numPr>
          <w:ilvl w:val="0"/>
          <w:numId w:val="1"/>
        </w:numPr>
        <w:spacing w:after="120"/>
      </w:pPr>
      <w:r>
        <w:t xml:space="preserve">A small brand's biggest cash outlay of the year (a pipeline/reset order) can sit unpaid for 90-150 days once payment terms and fee deductions are combined — faster or staged payment terms are a legitimate, factual ask, not a favor.</w:t>
      </w:r>
    </w:p>
    <w:p>
      <w:pPr>
        <w:pStyle w:val="Heading1"/>
        <w:spacing w:after="150" w:before="300"/>
      </w:pPr>
      <w:r>
        <w:t xml:space="preserve">3. Objectives — Target, Acceptable, Walk-Away</w:t>
      </w:r>
    </w:p>
    <w:p>
      <w:pPr>
        <w:spacing w:after="120"/>
      </w:pPr>
      <w:r>
        <w:t xml:space="preserve">Fill in before the conversation. Set these separately for each issue in play (margin, MOQ, marketing spend, payment terms, exclusivity) so you can trade across them instead of conceding on all at once.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2800"/>
      </w:tblGrid>
      <w:tr>
        <w:tc>
          <w:tcPr>
            <w:tcW w:type="dxa" w:w="2800"/>
          </w:tcPr>
          <w:p>
            <w:r>
              <w:rPr>
                <w:b/>
                <w:bCs/>
              </w:rPr>
              <w:t xml:space="preserve">Margin / Pricing</w:t>
            </w:r>
          </w:p>
        </w:tc>
        <w:tc>
          <w:tcPr>
            <w:tcW w:type="dxa" w:w="2400"/>
          </w:tcPr>
          <w:p>
            <w:r>
              <w:t xml:space="preserve">Target: ______</w:t>
            </w:r>
          </w:p>
        </w:tc>
        <w:tc>
          <w:tcPr>
            <w:tcW w:type="dxa" w:w="2400"/>
          </w:tcPr>
          <w:p>
            <w:r>
              <w:t xml:space="preserve">Acceptable: ______</w:t>
            </w:r>
          </w:p>
        </w:tc>
        <w:tc>
          <w:tcPr>
            <w:tcW w:type="dxa" w:w="2800"/>
          </w:tcPr>
          <w:p>
            <w:r>
              <w:t xml:space="preserve">Walk-away: ______</w:t>
            </w:r>
          </w:p>
        </w:tc>
      </w:tr>
      <w:tr>
        <w:tc>
          <w:tcPr>
            <w:tcW w:type="dxa" w:w="2800"/>
          </w:tcPr>
          <w:p>
            <w:r>
              <w:rPr>
                <w:b/>
                <w:bCs/>
              </w:rPr>
              <w:t xml:space="preserve">Minimum Order Quantity</w:t>
            </w:r>
          </w:p>
        </w:tc>
        <w:tc>
          <w:tcPr>
            <w:tcW w:type="dxa" w:w="2400"/>
          </w:tcPr>
          <w:p>
            <w:r>
              <w:t xml:space="preserve">Target: ______</w:t>
            </w:r>
          </w:p>
        </w:tc>
        <w:tc>
          <w:tcPr>
            <w:tcW w:type="dxa" w:w="2400"/>
          </w:tcPr>
          <w:p>
            <w:r>
              <w:t xml:space="preserve">Acceptable: ______</w:t>
            </w:r>
          </w:p>
        </w:tc>
        <w:tc>
          <w:tcPr>
            <w:tcW w:type="dxa" w:w="2800"/>
          </w:tcPr>
          <w:p>
            <w:r>
              <w:t xml:space="preserve">Walk-away: ______</w:t>
            </w:r>
          </w:p>
        </w:tc>
      </w:tr>
      <w:tr>
        <w:tc>
          <w:tcPr>
            <w:tcW w:type="dxa" w:w="2800"/>
          </w:tcPr>
          <w:p>
            <w:r>
              <w:rPr>
                <w:b/>
                <w:bCs/>
              </w:rPr>
              <w:t xml:space="preserve">Marketing / Trade Spend</w:t>
            </w:r>
          </w:p>
        </w:tc>
        <w:tc>
          <w:tcPr>
            <w:tcW w:type="dxa" w:w="2400"/>
          </w:tcPr>
          <w:p>
            <w:r>
              <w:t xml:space="preserve">Target: ______</w:t>
            </w:r>
          </w:p>
        </w:tc>
        <w:tc>
          <w:tcPr>
            <w:tcW w:type="dxa" w:w="2400"/>
          </w:tcPr>
          <w:p>
            <w:r>
              <w:t xml:space="preserve">Acceptable: ______</w:t>
            </w:r>
          </w:p>
        </w:tc>
        <w:tc>
          <w:tcPr>
            <w:tcW w:type="dxa" w:w="2800"/>
          </w:tcPr>
          <w:p>
            <w:r>
              <w:t xml:space="preserve">Walk-away: ______</w:t>
            </w:r>
          </w:p>
        </w:tc>
      </w:tr>
      <w:tr>
        <w:tc>
          <w:tcPr>
            <w:tcW w:type="dxa" w:w="2800"/>
          </w:tcPr>
          <w:p>
            <w:r>
              <w:rPr>
                <w:b/>
                <w:bCs/>
              </w:rPr>
              <w:t xml:space="preserve">Payment Terms</w:t>
            </w:r>
          </w:p>
        </w:tc>
        <w:tc>
          <w:tcPr>
            <w:tcW w:type="dxa" w:w="2400"/>
          </w:tcPr>
          <w:p>
            <w:r>
              <w:t xml:space="preserve">Target: ______</w:t>
            </w:r>
          </w:p>
        </w:tc>
        <w:tc>
          <w:tcPr>
            <w:tcW w:type="dxa" w:w="2400"/>
          </w:tcPr>
          <w:p>
            <w:r>
              <w:t xml:space="preserve">Acceptable: ______</w:t>
            </w:r>
          </w:p>
        </w:tc>
        <w:tc>
          <w:tcPr>
            <w:tcW w:type="dxa" w:w="2800"/>
          </w:tcPr>
          <w:p>
            <w:r>
              <w:t xml:space="preserve">Walk-away: ______</w:t>
            </w:r>
          </w:p>
        </w:tc>
      </w:tr>
      <w:tr>
        <w:tc>
          <w:tcPr>
            <w:tcW w:type="dxa" w:w="2800"/>
          </w:tcPr>
          <w:p>
            <w:r>
              <w:rPr>
                <w:b/>
                <w:bCs/>
              </w:rPr>
              <w:t xml:space="preserve">Exclusivity</w:t>
            </w:r>
          </w:p>
        </w:tc>
        <w:tc>
          <w:tcPr>
            <w:tcW w:type="dxa" w:w="2400"/>
          </w:tcPr>
          <w:p>
            <w:r>
              <w:t xml:space="preserve">Target: ______</w:t>
            </w:r>
          </w:p>
        </w:tc>
        <w:tc>
          <w:tcPr>
            <w:tcW w:type="dxa" w:w="2400"/>
          </w:tcPr>
          <w:p>
            <w:r>
              <w:t xml:space="preserve">Acceptable: ______</w:t>
            </w:r>
          </w:p>
        </w:tc>
        <w:tc>
          <w:tcPr>
            <w:tcW w:type="dxa" w:w="2800"/>
          </w:tcPr>
          <w:p>
            <w:r>
              <w:t xml:space="preserve">Walk-away: ______</w:t>
            </w:r>
          </w:p>
        </w:tc>
      </w:tr>
      <w:tr>
        <w:tc>
          <w:tcPr>
            <w:tcW w:type="dxa" w:w="2800"/>
          </w:tcPr>
          <w:p>
            <w:r>
              <w:rPr>
                <w:b/>
                <w:bCs/>
              </w:rPr>
              <w:t xml:space="preserve">Term Length</w:t>
            </w:r>
          </w:p>
        </w:tc>
        <w:tc>
          <w:tcPr>
            <w:tcW w:type="dxa" w:w="2400"/>
          </w:tcPr>
          <w:p>
            <w:r>
              <w:t xml:space="preserve">Target: ______</w:t>
            </w:r>
          </w:p>
        </w:tc>
        <w:tc>
          <w:tcPr>
            <w:tcW w:type="dxa" w:w="2400"/>
          </w:tcPr>
          <w:p>
            <w:r>
              <w:t xml:space="preserve">Acceptable: ______</w:t>
            </w:r>
          </w:p>
        </w:tc>
        <w:tc>
          <w:tcPr>
            <w:tcW w:type="dxa" w:w="2800"/>
          </w:tcPr>
          <w:p>
            <w:r>
              <w:t xml:space="preserve">Walk-away: ______</w:t>
            </w:r>
          </w:p>
        </w:tc>
      </w:tr>
    </w:tbl>
    <w:p>
      <w:pPr>
        <w:spacing w:after="120"/>
      </w:pPr>
      <w:r>
        <w:t xml:space="preserve"/>
      </w:r>
    </w:p>
    <w:p>
      <w:pPr>
        <w:spacing w:before="200"/>
      </w:pPr>
      <w:r>
        <w:rPr>
          <w:b/>
          <w:bCs/>
        </w:rPr>
        <w:t xml:space="preserve">BATNA (your real alternative if this renewal falls through): </w:t>
      </w:r>
    </w:p>
    <w:p>
      <w:pPr>
        <w:spacing w:after="120"/>
      </w:pPr>
      <w:r>
        <w:t xml:space="preserve">______________________________________________________________</w:t>
      </w:r>
    </w:p>
    <w:p>
      <w:pPr>
        <w:pStyle w:val="Heading1"/>
        <w:spacing w:after="150" w:before="300"/>
      </w:pPr>
      <w:r>
        <w:t xml:space="preserve">4. Suggested Talking Points</w:t>
      </w:r>
    </w:p>
    <w:p>
      <w:pPr>
        <w:pStyle w:val="ListParagraph"/>
        <w:numPr>
          <w:ilvl w:val="0"/>
          <w:numId w:val="1"/>
        </w:numPr>
        <w:spacing w:after="120"/>
      </w:pPr>
      <w:r>
        <w:t xml:space="preserve">Open by naming the relationship's track record and your intent to renew, before any specific ask: you want a fair deal that works for both sides, not a fight.</w:t>
      </w:r>
    </w:p>
    <w:p>
      <w:pPr>
        <w:pStyle w:val="ListParagraph"/>
        <w:numPr>
          <w:ilvl w:val="0"/>
          <w:numId w:val="1"/>
        </w:numPr>
        <w:spacing w:after="120"/>
      </w:pPr>
      <w:r>
        <w:t xml:space="preserve">Lead with your own performance data (sell-through, repeat purchase rate, reviews, social proof) to reframe the conversation from opinions to facts.</w:t>
      </w:r>
    </w:p>
    <w:p>
      <w:pPr>
        <w:pStyle w:val="ListParagraph"/>
        <w:numPr>
          <w:ilvl w:val="0"/>
          <w:numId w:val="1"/>
        </w:numPr>
        <w:spacing w:after="120"/>
      </w:pPr>
      <w:r>
        <w:t xml:space="preserve">State your priority issues explicitly and in order, so the distributor knows what matters most to you and where you have flexibility.</w:t>
      </w:r>
    </w:p>
    <w:p>
      <w:pPr>
        <w:pStyle w:val="ListParagraph"/>
        <w:numPr>
          <w:ilvl w:val="0"/>
          <w:numId w:val="1"/>
        </w:numPr>
        <w:spacing w:after="120"/>
      </w:pPr>
      <w:r>
        <w:t xml:space="preserve">If pressed on any single number, offer a trade (a non-price concession) rather than an immediate yes or no.</w:t>
      </w:r>
    </w:p>
    <w:p>
      <w:pPr>
        <w:pStyle w:val="ListParagraph"/>
        <w:numPr>
          <w:ilvl w:val="0"/>
          <w:numId w:val="1"/>
        </w:numPr>
        <w:spacing w:after="120"/>
      </w:pPr>
      <w:r>
        <w:t xml:space="preserve">Ask directly what's changed on their side this cycle — a corporate directive, a margin target, a competing brand — to understand their real constraint.</w:t>
      </w:r>
    </w:p>
    <w:p>
      <w:pPr>
        <w:spacing w:after="60" w:before="120"/>
      </w:pPr>
      <w:r>
        <w:rPr>
          <w:b/>
          <w:bCs/>
        </w:rPr>
        <w:t xml:space="preserve">General negotiation tactics to keep in mind:</w:t>
      </w:r>
    </w:p>
    <w:p>
      <w:pPr>
        <w:pStyle w:val="ListParagraph"/>
        <w:numPr>
          <w:ilvl w:val="0"/>
          <w:numId w:val="1"/>
        </w:numPr>
        <w:spacing w:after="120"/>
      </w:pPr>
      <w:r>
        <w:t xml:space="preserve">Know your BATNA (Best Alternative To a Negotiated Agreement) before you sit down — the real, concrete thing you'd do if this renewal falls through. You don't need to disclose it in detail, but knowing it cold is what lets you walk away from a bad deal instead of caving under pressure.</w:t>
      </w:r>
    </w:p>
    <w:p>
      <w:pPr>
        <w:pStyle w:val="ListParagraph"/>
        <w:numPr>
          <w:ilvl w:val="0"/>
          <w:numId w:val="1"/>
        </w:numPr>
        <w:spacing w:after="120"/>
      </w:pPr>
      <w:r>
        <w:t xml:space="preserve">Set three numbers for every issue on the table (target / acceptable / walk-away) before the conversation — margin, MOQ, marketing spend, payment terms, and exclusivity each deserve their own range so you can trade across them.</w:t>
      </w:r>
    </w:p>
    <w:p>
      <w:pPr>
        <w:pStyle w:val="ListParagraph"/>
        <w:numPr>
          <w:ilvl w:val="0"/>
          <w:numId w:val="1"/>
        </w:numPr>
        <w:spacing w:after="120"/>
      </w:pPr>
      <w:r>
        <w:t xml:space="preserve">Bring your own performance data (sell-through, repeat-purchase rate, reorder velocity, reviews, social engagement) to reframe the conversation from opinions to facts.</w:t>
      </w:r>
    </w:p>
    <w:p>
      <w:pPr>
        <w:pStyle w:val="ListParagraph"/>
        <w:numPr>
          <w:ilvl w:val="0"/>
          <w:numId w:val="1"/>
        </w:numPr>
        <w:spacing w:after="120"/>
      </w:pPr>
      <w:r>
        <w:t xml:space="preserve">When asked a pointed question that puts you on the back foot, it is legitimate to answer with a clarifying question ("what specifically is driving that?") instead of immediately defending or conceding — this buys time and surfaces their real constraint.</w:t>
      </w:r>
    </w:p>
    <w:p>
      <w:pPr>
        <w:pStyle w:val="ListParagraph"/>
        <w:numPr>
          <w:ilvl w:val="0"/>
          <w:numId w:val="1"/>
        </w:numPr>
        <w:spacing w:after="120"/>
      </w:pPr>
      <w:r>
        <w:t xml:space="preserve">Look for a non-price trade before agreeing to a straight concession: exclusivity for marketing support, volume commitment for better payment terms, additional SKUs for a lower per-unit rate.</w:t>
      </w:r>
    </w:p>
    <w:p>
      <w:pPr>
        <w:pStyle w:val="ListParagraph"/>
        <w:numPr>
          <w:ilvl w:val="0"/>
          <w:numId w:val="1"/>
        </w:numPr>
        <w:spacing w:after="120"/>
      </w:pPr>
      <w:r>
        <w:t xml:space="preserve">Stay collaborative and specific — asking "what pressure are you under this cycle?" tends to surface the distributor's actual constraint (their own margin targets, a corporate directive, a competing brand's terms), which is more useful than guessing.</w:t>
      </w:r>
    </w:p>
    <w:p>
      <w:pPr>
        <w:pStyle w:val="ListParagraph"/>
        <w:numPr>
          <w:ilvl w:val="0"/>
          <w:numId w:val="1"/>
        </w:numPr>
        <w:spacing w:after="120"/>
      </w:pPr>
      <w:r>
        <w:t xml:space="preserve">Treat a take-it-or-leave-it deadline as a tactic, not a fact — it's reasonable to ask what's driving the deadline and to ask for it in writing before responding, especially for multi-year terms.</w:t>
      </w:r>
    </w:p>
    <w:p>
      <w:pPr>
        <w:pStyle w:val="Heading1"/>
        <w:spacing w:after="150" w:before="300"/>
      </w:pPr>
      <w:r>
        <w:t xml:space="preserve">5. Anticipated Difficult Questions &amp; Counters</w:t>
      </w:r>
    </w:p>
    <w:p>
      <w:pPr>
        <w:spacing w:after="120"/>
      </w:pPr>
      <w:r>
        <w:t xml:space="preserve">Questions selected based on the distributor and issues detected in your scenario notes, plus general renewal pressure tactics.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4500"/>
        <w:gridCol w:w="5900"/>
      </w:tblGrid>
      <w:tr>
        <w:trPr>
          <w:tblHeader/>
        </w:trPr>
        <w:tc>
          <w:tcPr>
            <w:tcW w:type="dxa" w:w="4500"/>
            <w:shd w:fill="2F2F2F" w:val="clear"/>
          </w:tcPr>
          <w:p>
            <w:r>
              <w:rPr>
                <w:b/>
                <w:bCs/>
                <w:color w:val="FFFFFF"/>
              </w:rPr>
              <w:t xml:space="preserve">If they ask...</w:t>
            </w:r>
          </w:p>
        </w:tc>
        <w:tc>
          <w:tcPr>
            <w:tcW w:type="dxa" w:w="5900"/>
            <w:shd w:fill="2F2F2F" w:val="clear"/>
          </w:tcPr>
          <w:p>
            <w:r>
              <w:rPr>
                <w:b/>
                <w:bCs/>
                <w:color w:val="FFFFFF"/>
              </w:rPr>
              <w:t xml:space="preserve">Suggested counter</w:t>
            </w:r>
          </w:p>
        </w:tc>
      </w:tr>
      <w:tr>
        <w:tc>
          <w:tcPr>
            <w:tcW w:type="dxa" w:w="4500"/>
          </w:tcPr>
          <w:p>
            <w:r>
              <w:rPr>
                <w:i/>
                <w:iCs/>
              </w:rPr>
              <w:t xml:space="preserve">"We're reallocating shelf space to brands with a bigger growth story this cycle — why should that be you?"</w:t>
            </w:r>
          </w:p>
        </w:tc>
        <w:tc>
          <w:tcPr>
            <w:tcW w:type="dxa" w:w="5900"/>
          </w:tcPr>
          <w:p>
            <w:r>
              <w:t xml:space="preserve">Lead with your own sell-through, repeat-purchase, and review data rather than a general pitch. Sephora is actively investing in fresh indie brands right now (its own buyers are looking for the next breakout story) — position your renewal ask as helping their growth narrative, not as a favor to you.</w:t>
            </w:r>
          </w:p>
        </w:tc>
      </w:tr>
      <w:tr>
        <w:tc>
          <w:tcPr>
            <w:tcW w:type="dxa" w:w="4500"/>
          </w:tcPr>
          <w:p>
            <w:r>
              <w:rPr>
                <w:i/>
                <w:iCs/>
              </w:rPr>
              <w:t xml:space="preserve">"Your costs are your problem, not ours — why should we absorb a price increase?"</w:t>
            </w:r>
          </w:p>
        </w:tc>
        <w:tc>
          <w:tcPr>
            <w:tcW w:type="dxa" w:w="5900"/>
          </w:tcPr>
          <w:p>
            <w:r>
              <w:t xml:space="preserve">Don't argue abstractly about fairness; show the specific cost driver (materials, packaging compliance, freight) with numbers, and offer a phased increase or a volume-based offset (e.g., a larger commitment in exchange for a smaller increase) instead of an all-or-nothing ask.</w:t>
            </w:r>
          </w:p>
        </w:tc>
      </w:tr>
      <w:tr>
        <w:tc>
          <w:tcPr>
            <w:tcW w:type="dxa" w:w="4500"/>
          </w:tcPr>
          <w:p>
            <w:r>
              <w:rPr>
                <w:i/>
                <w:iCs/>
              </w:rPr>
              <w:t xml:space="preserve">"We need you to commit to a significantly higher minimum order for the next term."</w:t>
            </w:r>
          </w:p>
        </w:tc>
        <w:tc>
          <w:tcPr>
            <w:tcW w:type="dxa" w:w="5900"/>
          </w:tcPr>
          <w:p>
            <w:r>
              <w:t xml:space="preserve">Ask what's driving the increase (their own demand forecast, a reset, a new store count) and request the underlying sell-through data before committing. If you agree to raise MOQ, tie it to a reciprocal commitment (e.g., improved payment terms, a marketing commitment, or a cancellation/return protection clause).</w:t>
            </w:r>
          </w:p>
        </w:tc>
      </w:tr>
      <w:tr>
        <w:tc>
          <w:tcPr>
            <w:tcW w:type="dxa" w:w="4500"/>
          </w:tcPr>
          <w:p>
            <w:r>
              <w:rPr>
                <w:i/>
                <w:iCs/>
              </w:rPr>
              <w:t xml:space="preserve">"We need a bigger co-op marketing commitment to keep supporting your brand."</w:t>
            </w:r>
          </w:p>
        </w:tc>
        <w:tc>
          <w:tcPr>
            <w:tcW w:type="dxa" w:w="5900"/>
          </w:tcPr>
          <w:p>
            <w:r>
              <w:t xml:space="preserve">Ask what the marketing spend is intended to fund and what success looks like (placement, feature, launch event) so the commitment is tied to a deliverable, not an open-ended percentage. Offer a capped, milestone-based commitment rather than an ongoing flat percentage increase.</w:t>
            </w:r>
          </w:p>
        </w:tc>
      </w:tr>
      <w:tr>
        <w:tc>
          <w:tcPr>
            <w:tcW w:type="dxa" w:w="4500"/>
          </w:tcPr>
          <w:p>
            <w:r>
              <w:rPr>
                <w:i/>
                <w:iCs/>
              </w:rPr>
              <w:t xml:space="preserve">"Your compliance error rate is too high and it's costing us money."</w:t>
            </w:r>
          </w:p>
        </w:tc>
        <w:tc>
          <w:tcPr>
            <w:tcW w:type="dxa" w:w="5900"/>
          </w:tcPr>
          <w:p>
            <w:r>
              <w:t xml:space="preserve">Ask for the specific infractions and dates rather than accepting a general characterization, and propose a concrete fix (packaging/labeling checklist, updated ship-window process) in exchange for a defined notice-and-cure period before any future chargeback is applied.</w:t>
            </w:r>
          </w:p>
        </w:tc>
      </w:tr>
      <w:tr>
        <w:tc>
          <w:tcPr>
            <w:tcW w:type="dxa" w:w="4500"/>
          </w:tcPr>
          <w:p>
            <w:r>
              <w:rPr>
                <w:i/>
                <w:iCs/>
              </w:rPr>
              <w:t xml:space="preserve">"Our standard terms are net 60/90 — we can't make an exception for one vendor."</w:t>
            </w:r>
          </w:p>
        </w:tc>
        <w:tc>
          <w:tcPr>
            <w:tcW w:type="dxa" w:w="5900"/>
          </w:tcPr>
          <w:p>
            <w:r>
              <w:t xml:space="preserve">Reframe as a pilot or volume-linked exception rather than a blanket policy change: propose staged payment (a deposit at PO plus balance on delivery) or a shorter term tied to a specific order size, so it's easy for them to say yes without setting a company-wide precedent.</w:t>
            </w:r>
          </w:p>
        </w:tc>
      </w:tr>
      <w:tr>
        <w:tc>
          <w:tcPr>
            <w:tcW w:type="dxa" w:w="4500"/>
          </w:tcPr>
          <w:p>
            <w:r>
              <w:rPr>
                <w:i/>
                <w:iCs/>
              </w:rPr>
              <w:t xml:space="preserve">"If you can't agree to these terms, we have other brands who will."</w:t>
            </w:r>
          </w:p>
        </w:tc>
        <w:tc>
          <w:tcPr>
            <w:tcW w:type="dxa" w:w="5900"/>
          </w:tcPr>
          <w:p>
            <w:r>
              <w:t xml:space="preserve">Don't match urgency with urgency. Acknowledge it calmly, restate the value you bring with data, and ask what specifically would need to change for both sides to reach an agreement you're each comfortable with. This is a pressure tactic — respond with your prepared walk-away point, not in the moment.</w:t>
            </w:r>
          </w:p>
        </w:tc>
      </w:tr>
      <w:tr>
        <w:tc>
          <w:tcPr>
            <w:tcW w:type="dxa" w:w="4500"/>
          </w:tcPr>
          <w:p>
            <w:r>
              <w:rPr>
                <w:i/>
                <w:iCs/>
              </w:rPr>
              <w:t xml:space="preserve">"Can you send us your full cost breakdown / financials to justify your pricing?"</w:t>
            </w:r>
          </w:p>
        </w:tc>
        <w:tc>
          <w:tcPr>
            <w:tcW w:type="dxa" w:w="5900"/>
          </w:tcPr>
          <w:p>
            <w:r>
              <w:t xml:space="preserve">You are not obligated to open your books. Share the specific cost drivers relevant to the ask (e.g., a packaging or freight cost increase) without disclosing your full margin structure, and redirect to the value/performance data that supports your terms.</w:t>
            </w:r>
          </w:p>
        </w:tc>
      </w:tr>
      <w:tr>
        <w:tc>
          <w:tcPr>
            <w:tcW w:type="dxa" w:w="4500"/>
          </w:tcPr>
          <w:p>
            <w:r>
              <w:rPr>
                <w:i/>
                <w:iCs/>
              </w:rPr>
              <w:t xml:space="preserve">"Why should we keep investing in a brand your size?"</w:t>
            </w:r>
          </w:p>
        </w:tc>
        <w:tc>
          <w:tcPr>
            <w:tcW w:type="dxa" w:w="5900"/>
          </w:tcPr>
          <w:p>
            <w:r>
              <w:t xml:space="preserve">Reframe size as an advantage: cite your responsiveness, ability to customize for their channel, and direct relationship with your buyer as things a larger, slower-moving brand can't offer, backed by your actual sell-through and engagement numbers.</w:t>
            </w:r>
          </w:p>
        </w:tc>
      </w:tr>
    </w:tbl>
    <w:p>
      <w:pPr>
        <w:pStyle w:val="Heading1"/>
        <w:spacing w:after="150" w:before="300"/>
      </w:pPr>
      <w:r>
        <w:t xml:space="preserve">6. Next Steps &amp; Sign-Off</w:t>
      </w:r>
    </w:p>
    <w:p>
      <w:pPr>
        <w:pStyle w:val="ListParagraph"/>
        <w:numPr>
          <w:ilvl w:val="0"/>
          <w:numId w:val="1"/>
        </w:numPr>
        <w:spacing w:after="120"/>
      </w:pPr>
      <w:r>
        <w:t xml:space="preserve">Confirm every figure in this brief (margins, dates, terms) against your actual current contract before using it.</w:t>
      </w:r>
    </w:p>
    <w:p>
      <w:pPr>
        <w:pStyle w:val="ListParagraph"/>
        <w:numPr>
          <w:ilvl w:val="0"/>
          <w:numId w:val="1"/>
        </w:numPr>
        <w:spacing w:after="120"/>
      </w:pPr>
      <w:r>
        <w:t xml:space="preserve">Confirm the distributor facts above are still current — this brief was generated from open web research and may be out of date.</w:t>
      </w:r>
    </w:p>
    <w:p>
      <w:pPr>
        <w:pStyle w:val="ListParagraph"/>
        <w:numPr>
          <w:ilvl w:val="0"/>
          <w:numId w:val="1"/>
        </w:numPr>
        <w:spacing w:after="120"/>
      </w:pPr>
      <w:r>
        <w:t xml:space="preserve">Decide and write down your walk-away point before the conversation, and get sign-off from anyone else who needs to agree to it.</w:t>
      </w:r>
    </w:p>
    <w:p>
      <w:pPr>
        <w:pStyle w:val="ListParagraph"/>
        <w:numPr>
          <w:ilvl w:val="0"/>
          <w:numId w:val="1"/>
        </w:numPr>
        <w:spacing w:after="120"/>
      </w:pPr>
      <w:r>
        <w:t xml:space="preserve">This brief does not get used in a live negotiation, sent to anyone, or treated as final until the owner below has reviewed and accepted it.</w:t>
      </w:r>
    </w:p>
    <w:p>
      <w:pPr>
        <w:spacing w:before="300"/>
      </w:pPr>
      <w:r>
        <w:rPr>
          <w:b/>
          <w:bCs/>
        </w:rPr>
        <w:t xml:space="preserve">Owner sign-off</w:t>
      </w:r>
    </w:p>
    <w:p>
      <w:pPr>
        <w:spacing w:after="120"/>
      </w:pPr>
      <w:r>
        <w:t xml:space="preserve">Reviewed and accepted by: Ashley Umlauf</w:t>
      </w:r>
    </w:p>
    <w:p>
      <w:pPr>
        <w:spacing w:after="120"/>
      </w:pPr>
      <w:r>
        <w:t xml:space="preserve">Date: ______________________</w:t>
      </w:r>
    </w:p>
    <w:p>
      <w:pPr>
        <w:spacing w:after="120"/>
      </w:pPr>
      <w:r>
        <w:t xml:space="preserve">Notes / changes required before use: ______________________________________________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DRAFT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2026-07-31T07:51:36.168Z</dcterms:created>
  <dcterms:modified xsi:type="dcterms:W3CDTF">2026-07-31T07:51:36.168Z</dcterms:modified>
</cp:coreProperties>
</file>

<file path=docProps/custom.xml><?xml version="1.0" encoding="utf-8"?>
<Properties xmlns="http://schemas.openxmlformats.org/officeDocument/2006/custom-properties" xmlns:vt="http://schemas.openxmlformats.org/officeDocument/2006/docPropsVTypes"/>
</file>