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Computer Networks (6CS105CC26) — Sessional Exam Analysis</w:t>
      </w:r>
    </w:p>
    <w:p>
      <w:pPr>
        <w:pBdr>
          <w:bottom w:val="single" w:color="1F3864" w:sz="8" w:space="4"/>
        </w:pBdr>
        <w:spacing w:after="160"/>
      </w:pPr>
      <w:r>
        <w:rPr>
          <w:rFonts w:ascii="Arial" w:cs="Arial" w:eastAsia="Arial" w:hAnsi="Arial"/>
          <w:color w:val="595959"/>
          <w:sz w:val="22"/>
          <w:szCs w:val="22"/>
        </w:rPr>
        <w:t xml:space="preserve">MCA Semester I, Nirma University  |  Past-paper and Question-Bank analysis restricted to your sessional syllabus</w:t>
      </w:r>
    </w:p>
    <w:p>
      <w:pPr>
        <w:pStyle w:val="Heading2"/>
        <w:keepNext/>
        <w:spacing w:after="80" w:before="200"/>
      </w:pPr>
      <w:r>
        <w:rPr>
          <w:rFonts w:ascii="Arial" w:cs="Arial" w:eastAsia="Arial" w:hAnsi="Arial"/>
        </w:rPr>
        <w:t xml:space="preserve">Scope and sources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600"/>
        <w:gridCol w:w="12800"/>
      </w:tblGrid>
      <w:tr>
        <w:trPr>
          <w:cantSplit/>
          <w:tblHeader/>
        </w:trPr>
        <w:tc>
          <w:tcPr>
            <w:tcW w:type="dxa" w:w="26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Item</w:t>
            </w:r>
          </w:p>
        </w:tc>
        <w:tc>
          <w:tcPr>
            <w:tcW w:type="dxa" w:w="128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Detail</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Sessional scope</w:t>
            </w:r>
            <w:r>
              <w:rPr>
                <w:rFonts w:ascii="Arial" w:cs="Arial" w:eastAsia="Arial" w:hAnsi="Arial"/>
                <w:b w:val="false"/>
                <w:bCs w:val="false"/>
                <w:sz w:val="19"/>
                <w:szCs w:val="19"/>
              </w:rPr>
              <w:t xml:space="preserve"> (from your 231-slide syllabus deck)</w:t>
            </w:r>
          </w:p>
        </w:tc>
        <w:tc>
          <w:tcPr>
            <w:tcW w:type="dxa" w:w="12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Unit 1</w:t>
            </w:r>
            <w:r>
              <w:rPr>
                <w:rFonts w:ascii="Arial" w:cs="Arial" w:eastAsia="Arial" w:hAnsi="Arial"/>
                <w:b w:val="false"/>
                <w:bCs w:val="false"/>
                <w:sz w:val="19"/>
                <w:szCs w:val="19"/>
              </w:rPr>
              <w:t xml:space="preserve"> — Introduction to Data Communication &amp; Networks: components, data flow, topologies, PAN/LAN/MAN/WAN, wireless, switching overview, Internet (slides 1–58)</w:t>
            </w:r>
          </w:p>
          <w:p>
            <w:pPr>
              <w:spacing w:after="40" w:before="0"/>
              <w:jc w:val="left"/>
            </w:pPr>
            <w:r>
              <w:rPr>
                <w:rFonts w:ascii="Arial" w:cs="Arial" w:eastAsia="Arial" w:hAnsi="Arial"/>
                <w:b/>
                <w:bCs/>
                <w:sz w:val="19"/>
                <w:szCs w:val="19"/>
              </w:rPr>
              <w:t xml:space="preserve">Unit 2</w:t>
            </w:r>
            <w:r>
              <w:rPr>
                <w:rFonts w:ascii="Arial" w:cs="Arial" w:eastAsia="Arial" w:hAnsi="Arial"/>
                <w:b w:val="false"/>
                <w:bCs w:val="false"/>
                <w:sz w:val="19"/>
                <w:szCs w:val="19"/>
              </w:rPr>
              <w:t xml:space="preserve"> — Data Link Layer: framing, flow &amp; error control, Stop-and-Wait, Go-Back-N (Ch. 11, slides 59–116)</w:t>
            </w:r>
          </w:p>
          <w:p>
            <w:pPr>
              <w:spacing w:after="40" w:before="0"/>
              <w:jc w:val="left"/>
            </w:pPr>
            <w:r>
              <w:rPr>
                <w:rFonts w:ascii="Arial" w:cs="Arial" w:eastAsia="Arial" w:hAnsi="Arial"/>
                <w:b/>
                <w:bCs/>
                <w:sz w:val="19"/>
                <w:szCs w:val="19"/>
              </w:rPr>
              <w:t xml:space="preserve">Unit 3</w:t>
            </w:r>
            <w:r>
              <w:rPr>
                <w:rFonts w:ascii="Arial" w:cs="Arial" w:eastAsia="Arial" w:hAnsi="Arial"/>
                <w:b w:val="false"/>
                <w:bCs w:val="false"/>
                <w:sz w:val="19"/>
                <w:szCs w:val="19"/>
              </w:rPr>
              <w:t xml:space="preserve"> — Data &amp; Signals: analog/digital, bandwidth, bit rate, transmission impairment (Ch. 3, slides 117–196)</w:t>
            </w:r>
          </w:p>
          <w:p>
            <w:pPr>
              <w:spacing w:after="40" w:before="0"/>
              <w:jc w:val="left"/>
            </w:pPr>
            <w:r>
              <w:rPr>
                <w:rFonts w:ascii="Arial" w:cs="Arial" w:eastAsia="Arial" w:hAnsi="Arial"/>
                <w:b/>
                <w:bCs/>
                <w:sz w:val="19"/>
                <w:szCs w:val="19"/>
              </w:rPr>
              <w:t xml:space="preserve">Unit 4</w:t>
            </w:r>
            <w:r>
              <w:rPr>
                <w:rFonts w:ascii="Arial" w:cs="Arial" w:eastAsia="Arial" w:hAnsi="Arial"/>
                <w:b w:val="false"/>
                <w:bCs w:val="false"/>
                <w:sz w:val="19"/>
                <w:szCs w:val="19"/>
              </w:rPr>
              <w:t xml:space="preserve"> — Switching: circuit, datagram, virtual-circuit networks (Ch. 8, slides 197–231)</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Papers analysed</w:t>
            </w:r>
          </w:p>
        </w:tc>
        <w:tc>
          <w:tcPr>
            <w:tcW w:type="dxa" w:w="12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Semester-End Jan 2022 (50 marks, 2 h), Jan 2023, Jan 2025 and Dec 2025 (100 marks, 3 h each), plus the 58-item Question Bank (6CS105CC26).</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How to read “frequency”</w:t>
            </w:r>
          </w:p>
        </w:tc>
        <w:tc>
          <w:tcPr>
            <w:tcW w:type="dxa" w:w="12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Number of the 4 past papers in which the topic appeared. The Question Bank (QB) column is a second, independent signal. Unit names are my labels based on chapters; your deck does not number units.</w:t>
            </w:r>
          </w:p>
        </w:tc>
      </w:tr>
    </w:tbl>
    <w:p>
      <w:pPr>
        <w:pStyle w:val="Heading2"/>
        <w:keepNext/>
        <w:spacing w:after="80" w:before="200"/>
      </w:pPr>
      <w:r>
        <w:rPr>
          <w:rFonts w:ascii="Arial" w:cs="Arial" w:eastAsia="Arial" w:hAnsi="Arial"/>
        </w:rPr>
        <w:t xml:space="preserve">Key findings at a glance</w:t>
      </w:r>
    </w:p>
    <w:p>
      <w:pPr>
        <w:pStyle w:val="ListParagraph"/>
        <w:numPr>
          <w:ilvl w:val="0"/>
          <w:numId w:val="2"/>
        </w:numPr>
        <w:spacing w:after="60"/>
      </w:pPr>
      <w:r>
        <w:rPr>
          <w:rFonts w:ascii="Arial" w:cs="Arial" w:eastAsia="Arial" w:hAnsi="Arial"/>
          <w:b/>
          <w:bCs/>
          <w:sz w:val="20"/>
          <w:szCs w:val="20"/>
        </w:rPr>
        <w:t xml:space="preserve">Past finals under-represent your sessional.</w:t>
      </w:r>
      <w:r>
        <w:rPr>
          <w:rFonts w:ascii="Arial" w:cs="Arial" w:eastAsia="Arial" w:hAnsi="Arial"/>
          <w:b w:val="false"/>
          <w:bCs w:val="false"/>
          <w:sz w:val="20"/>
          <w:szCs w:val="20"/>
        </w:rPr>
        <w:t xml:space="preserve"> Only 6–22% of the marks in each past paper sit clearly inside your slides (Table 1). Finals are weighted towards OSI, IP addressing, TCP, MAC protocols and Hamming code, which are not in your deck.</w:t>
      </w:r>
    </w:p>
    <w:p>
      <w:pPr>
        <w:pStyle w:val="ListParagraph"/>
        <w:numPr>
          <w:ilvl w:val="0"/>
          <w:numId w:val="2"/>
        </w:numPr>
        <w:spacing w:after="60"/>
      </w:pPr>
      <w:r>
        <w:rPr>
          <w:rFonts w:ascii="Arial" w:cs="Arial" w:eastAsia="Arial" w:hAnsi="Arial"/>
          <w:b/>
          <w:bCs/>
          <w:sz w:val="20"/>
          <w:szCs w:val="20"/>
        </w:rPr>
        <w:t xml:space="preserve">The Question Bank is your best guide:</w:t>
      </w:r>
      <w:r>
        <w:rPr>
          <w:rFonts w:ascii="Arial" w:cs="Arial" w:eastAsia="Arial" w:hAnsi="Arial"/>
          <w:b w:val="false"/>
          <w:bCs w:val="false"/>
          <w:sz w:val="20"/>
          <w:szCs w:val="20"/>
        </w:rPr>
        <w:t xml:space="preserve"> 28 of its 58 questions fall inside your sessional slides (Q1–9, Q19–23, Q30–39, Q55–58).</w:t>
      </w:r>
    </w:p>
    <w:p>
      <w:pPr>
        <w:pStyle w:val="ListParagraph"/>
        <w:numPr>
          <w:ilvl w:val="0"/>
          <w:numId w:val="2"/>
        </w:numPr>
        <w:spacing w:after="60"/>
      </w:pPr>
      <w:r>
        <w:rPr>
          <w:rFonts w:ascii="Arial" w:cs="Arial" w:eastAsia="Arial" w:hAnsi="Arial"/>
          <w:b/>
          <w:bCs/>
          <w:sz w:val="20"/>
          <w:szCs w:val="20"/>
        </w:rPr>
        <w:t xml:space="preserve">ARQ is the most repeated topic:</w:t>
      </w:r>
      <w:r>
        <w:rPr>
          <w:rFonts w:ascii="Arial" w:cs="Arial" w:eastAsia="Arial" w:hAnsi="Arial"/>
          <w:b w:val="false"/>
          <w:bCs w:val="false"/>
          <w:sz w:val="20"/>
          <w:szCs w:val="20"/>
        </w:rPr>
        <w:t xml:space="preserve"> Selective Repeat vs Go-Back-N appears in 3 of 4 papers, in near-identical wording twice (Jan 2023, Jan 2025).</w:t>
      </w:r>
    </w:p>
    <w:p>
      <w:pPr>
        <w:pStyle w:val="ListParagraph"/>
        <w:numPr>
          <w:ilvl w:val="0"/>
          <w:numId w:val="2"/>
        </w:numPr>
        <w:spacing w:after="60"/>
      </w:pPr>
      <w:r>
        <w:rPr>
          <w:rFonts w:ascii="Arial" w:cs="Arial" w:eastAsia="Arial" w:hAnsi="Arial"/>
          <w:b/>
          <w:bCs/>
          <w:sz w:val="20"/>
          <w:szCs w:val="20"/>
        </w:rPr>
        <w:t xml:space="preserve">Framing (bit/byte stuffing) and topologies</w:t>
      </w:r>
      <w:r>
        <w:rPr>
          <w:rFonts w:ascii="Arial" w:cs="Arial" w:eastAsia="Arial" w:hAnsi="Arial"/>
          <w:b w:val="false"/>
          <w:bCs w:val="false"/>
          <w:sz w:val="20"/>
          <w:szCs w:val="20"/>
        </w:rPr>
        <w:t xml:space="preserve"> each appear in 2 of 4 papers. Signal numericals are low-effort marks and follow a reusable template.</w:t>
      </w:r>
    </w:p>
    <w:p>
      <w:pPr>
        <w:pStyle w:val="ListParagraph"/>
        <w:numPr>
          <w:ilvl w:val="0"/>
          <w:numId w:val="2"/>
        </w:numPr>
        <w:spacing w:after="60"/>
      </w:pPr>
      <w:r>
        <w:rPr>
          <w:rFonts w:ascii="Arial" w:cs="Arial" w:eastAsia="Arial" w:hAnsi="Arial"/>
          <w:b/>
          <w:bCs/>
          <w:sz w:val="20"/>
          <w:szCs w:val="20"/>
        </w:rPr>
        <w:t xml:space="preserve">Gap to fix:</w:t>
      </w:r>
      <w:r>
        <w:rPr>
          <w:rFonts w:ascii="Arial" w:cs="Arial" w:eastAsia="Arial" w:hAnsi="Arial"/>
          <w:b w:val="false"/>
          <w:bCs w:val="false"/>
          <w:sz w:val="20"/>
          <w:szCs w:val="20"/>
        </w:rPr>
        <w:t xml:space="preserve"> your deck mentions Selective Repeat ARQ on only 3 slides, so study it from the textbook (the slides appear to follow Forouzan chapter numbering). Switching (Ch. 8) never appeared in the 4 finals but has 4 QB questions.</w:t>
      </w:r>
    </w:p>
    <w:p>
      <w:pPr>
        <w:pageBreakBefore/>
        <w:spacing w:after="0"/>
      </w:pPr>
    </w:p>
    <w:p>
      <w:pPr>
        <w:pStyle w:val="Heading1"/>
        <w:keepNext/>
        <w:spacing w:after="120" w:before="280"/>
      </w:pPr>
      <w:r>
        <w:rPr>
          <w:rFonts w:ascii="Arial" w:cs="Arial" w:eastAsia="Arial" w:hAnsi="Arial"/>
        </w:rPr>
        <w:t xml:space="preserve">Table 1 — How much of each past paper falls in your sessional scope</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300"/>
        <w:gridCol w:w="3900"/>
        <w:gridCol w:w="1700"/>
        <w:gridCol w:w="2200"/>
      </w:tblGrid>
      <w:tr>
        <w:trPr>
          <w:cantSplit/>
          <w:tblHeader/>
        </w:trPr>
        <w:tc>
          <w:tcPr>
            <w:tcW w:type="dxa" w:w="30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Past paper</w:t>
            </w:r>
          </w:p>
        </w:tc>
        <w:tc>
          <w:tcPr>
            <w:tcW w:type="dxa" w:w="1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Max marks</w:t>
            </w:r>
          </w:p>
        </w:tc>
        <w:tc>
          <w:tcPr>
            <w:tcW w:type="dxa" w:w="3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Clearly in sessional slides</w:t>
            </w:r>
          </w:p>
        </w:tc>
        <w:tc>
          <w:tcPr>
            <w:tcW w:type="dxa" w:w="39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Partly covered (adjacent / briefly in slides)</w:t>
            </w:r>
          </w:p>
        </w:tc>
        <w:tc>
          <w:tcPr>
            <w:tcW w:type="dxa" w:w="17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Clear share</w:t>
            </w:r>
          </w:p>
        </w:tc>
        <w:tc>
          <w:tcPr>
            <w:tcW w:type="dxa" w:w="22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Clear + partial share</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Semester-End, Jan 2022</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50</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11 marks — Q1 (8) PAN/LAN/MAN/WAN; Q8 (3) bandwidth</w:t>
            </w:r>
          </w:p>
        </w:tc>
        <w:tc>
          <w:tcPr>
            <w:tcW w:type="dxa" w:w="3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8 marks — Q4 OR option: Selective Repeat ARQ</w:t>
            </w:r>
          </w:p>
        </w:tc>
        <w:tc>
          <w:tcPr>
            <w:tcW w:type="dxa" w:w="17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22%</w:t>
            </w:r>
          </w:p>
        </w:tc>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38%</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Semester-End, Jan 2023</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100</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10 marks — Q3A (4) mesh calculation; Q3B (6) bit stuffing</w:t>
            </w:r>
          </w:p>
        </w:tc>
        <w:tc>
          <w:tcPr>
            <w:tcW w:type="dxa" w:w="3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14 marks — Q1B (8) SR vs GBN; Q2A (6) unicast/multicast/broadcast</w:t>
            </w:r>
          </w:p>
        </w:tc>
        <w:tc>
          <w:tcPr>
            <w:tcW w:type="dxa" w:w="17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10%</w:t>
            </w:r>
          </w:p>
        </w:tc>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24%</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Semester-End, Jan 2025</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100</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8 marks — Q1b (8) Star/Bus/Mesh/Ring</w:t>
            </w:r>
          </w:p>
        </w:tc>
        <w:tc>
          <w:tcPr>
            <w:tcW w:type="dxa" w:w="3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6 marks — Q2c (6) SR vs GBN</w:t>
            </w:r>
          </w:p>
        </w:tc>
        <w:tc>
          <w:tcPr>
            <w:tcW w:type="dxa" w:w="17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w:t>
            </w:r>
          </w:p>
        </w:tc>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14%</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Semester-End, Dec 2025</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100</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6 marks — Q2b (6) framing</w:t>
            </w:r>
          </w:p>
        </w:tc>
        <w:tc>
          <w:tcPr>
            <w:tcW w:type="dxa" w:w="3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≈4 marks (estimate) — data-link half of Q1a (8)</w:t>
            </w:r>
          </w:p>
        </w:tc>
        <w:tc>
          <w:tcPr>
            <w:tcW w:type="dxa" w:w="17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10%</w:t>
            </w:r>
          </w:p>
        </w:tc>
      </w:tr>
    </w:tbl>
    <w:p>
      <w:pPr>
        <w:spacing w:after="120" w:before="60"/>
      </w:pPr>
      <w:r>
        <w:rPr>
          <w:rFonts w:ascii="Arial" w:cs="Arial" w:eastAsia="Arial" w:hAnsi="Arial"/>
          <w:b w:val="false"/>
          <w:bCs w:val="false"/>
          <w:i/>
          <w:iCs/>
          <w:color w:val="595959"/>
          <w:sz w:val="17"/>
          <w:szCs w:val="17"/>
        </w:rPr>
        <w:t xml:space="preserve">“Partly covered” = the topic is only briefly in your slides (Selective Repeat: slides 83, 105, 107; unicast/multicast not explained) or overlaps with your slides (data-link layer functions). Other questions in these papers (OSI layers, MAC protocols, Hamming, IP, TCP, DNS, etc.) fall outside your deck.</w:t>
      </w:r>
    </w:p>
    <w:p>
      <w:pPr>
        <w:pStyle w:val="Heading1"/>
        <w:keepNext/>
        <w:spacing w:after="120" w:before="280"/>
      </w:pPr>
      <w:r>
        <w:rPr>
          <w:rFonts w:ascii="Arial" w:cs="Arial" w:eastAsia="Arial" w:hAnsi="Arial"/>
        </w:rPr>
        <w:t xml:space="preserve">1. Topic Weightage Table (Unit · Topic · Frequency · Typical marks)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400"/>
        <w:gridCol w:w="3500"/>
        <w:gridCol w:w="1000"/>
        <w:gridCol w:w="2300"/>
        <w:gridCol w:w="1300"/>
        <w:gridCol w:w="1100"/>
      </w:tblGrid>
      <w:tr>
        <w:trPr>
          <w:cantSplit/>
          <w:tblHeader/>
        </w:trPr>
        <w:tc>
          <w:tcPr>
            <w:tcW w:type="dxa" w:w="15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Unit</w:t>
            </w:r>
          </w:p>
        </w:tc>
        <w:tc>
          <w:tcPr>
            <w:tcW w:type="dxa" w:w="3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Specific topic</w:t>
            </w:r>
          </w:p>
        </w:tc>
        <w:tc>
          <w:tcPr>
            <w:tcW w:type="dxa" w:w="14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Slides</w:t>
            </w:r>
          </w:p>
        </w:tc>
        <w:tc>
          <w:tcPr>
            <w:tcW w:type="dxa" w:w="35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Where it appeared in past papers (marks)</w:t>
            </w:r>
          </w:p>
        </w:tc>
        <w:tc>
          <w:tcPr>
            <w:tcW w:type="dxa" w:w="10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Freq. (of 4)</w:t>
            </w:r>
          </w:p>
        </w:tc>
        <w:tc>
          <w:tcPr>
            <w:tcW w:type="dxa" w:w="2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Question Bank items</w:t>
            </w:r>
          </w:p>
        </w:tc>
        <w:tc>
          <w:tcPr>
            <w:tcW w:type="dxa" w:w="1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Typical marks</w:t>
            </w:r>
          </w:p>
        </w:tc>
        <w:tc>
          <w:tcPr>
            <w:tcW w:type="dxa" w:w="11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Priority</w:t>
            </w:r>
          </w:p>
        </w:tc>
      </w:tr>
      <w:tr>
        <w:trPr>
          <w:cantSplit/>
        </w:trPr>
        <w:tc>
          <w:tcPr>
            <w:tcW w:type="dxa" w:w="15400"/>
            <w:gridSpan w:val="8"/>
            <w:tcBorders>
              <w:top w:val="single" w:color="8C8C8C" w:sz="4"/>
              <w:left w:val="single" w:color="8C8C8C" w:sz="4"/>
              <w:bottom w:val="single" w:color="8C8C8C" w:sz="4"/>
              <w:right w:val="single" w:color="8C8C8C" w:sz="4"/>
            </w:tcBorders>
            <w:shd w:fill="D9E2F3" w:color="auto" w:val="clear"/>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UNIT 1 — Introduction to Data Communication &amp; Networks (slides 1–58)</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1</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Network topologies:</w:t>
            </w:r>
            <w:r>
              <w:rPr>
                <w:rFonts w:ascii="Arial" w:cs="Arial" w:eastAsia="Arial" w:hAnsi="Arial"/>
                <w:b w:val="false"/>
                <w:bCs w:val="false"/>
                <w:sz w:val="19"/>
                <w:szCs w:val="19"/>
              </w:rPr>
              <w:t xml:space="preserve"> Mesh, Star, Bus, Ring (Hybrid and Tree also in slides)</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23–38</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Jan 2023</w:t>
            </w:r>
            <w:r>
              <w:rPr>
                <w:rFonts w:ascii="Arial" w:cs="Arial" w:eastAsia="Arial" w:hAnsi="Arial"/>
                <w:b w:val="false"/>
                <w:bCs w:val="false"/>
                <w:sz w:val="19"/>
                <w:szCs w:val="19"/>
              </w:rPr>
              <w:t xml:space="preserve"> Q3A — cables &amp; ports for a 5-device mesh (4)</w:t>
            </w:r>
          </w:p>
          <w:p>
            <w:pPr>
              <w:spacing w:after="40" w:before="0"/>
              <w:jc w:val="left"/>
            </w:pPr>
            <w:r>
              <w:rPr>
                <w:rFonts w:ascii="Arial" w:cs="Arial" w:eastAsia="Arial" w:hAnsi="Arial"/>
                <w:b/>
                <w:bCs/>
                <w:sz w:val="19"/>
                <w:szCs w:val="19"/>
              </w:rPr>
              <w:t xml:space="preserve">Jan 2025</w:t>
            </w:r>
            <w:r>
              <w:rPr>
                <w:rFonts w:ascii="Arial" w:cs="Arial" w:eastAsia="Arial" w:hAnsi="Arial"/>
                <w:b w:val="false"/>
                <w:bCs w:val="false"/>
                <w:sz w:val="19"/>
                <w:szCs w:val="19"/>
              </w:rPr>
              <w:t xml:space="preserve"> Q1b — differentiate Star, Bus, Mesh, Ring with diagrams (8)</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 Q3, Q4, Q5 (5–8 each); Q1e</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4–8</w:t>
            </w:r>
          </w:p>
        </w:tc>
        <w:tc>
          <w:tcPr>
            <w:tcW w:type="dxa" w:w="11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1</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Network categories:</w:t>
            </w:r>
            <w:r>
              <w:rPr>
                <w:rFonts w:ascii="Arial" w:cs="Arial" w:eastAsia="Arial" w:hAnsi="Arial"/>
                <w:b w:val="false"/>
                <w:bCs w:val="false"/>
                <w:sz w:val="19"/>
                <w:szCs w:val="19"/>
              </w:rPr>
              <w:t xml:space="preserve"> PAN, LAN, MAN, WAN (+ wireless networks)</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39–52</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Jan 2022</w:t>
            </w:r>
            <w:r>
              <w:rPr>
                <w:rFonts w:ascii="Arial" w:cs="Arial" w:eastAsia="Arial" w:hAnsi="Arial"/>
                <w:b w:val="false"/>
                <w:bCs w:val="false"/>
                <w:sz w:val="19"/>
                <w:szCs w:val="19"/>
              </w:rPr>
              <w:t xml:space="preserve"> Q1 — key characteristics of PAN, LAN, MAN, WAN (8)</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Q6 (2–3); Q7, Q8, Q9 (5–8 each)</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3–8</w:t>
            </w:r>
          </w:p>
        </w:tc>
        <w:tc>
          <w:tcPr>
            <w:tcW w:type="dxa" w:w="11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1</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Core definitions:</w:t>
            </w:r>
            <w:r>
              <w:rPr>
                <w:rFonts w:ascii="Arial" w:cs="Arial" w:eastAsia="Arial" w:hAnsi="Arial"/>
                <w:b w:val="false"/>
                <w:bCs w:val="false"/>
                <w:sz w:val="19"/>
                <w:szCs w:val="19"/>
              </w:rPr>
              <w:t xml:space="preserve"> network, data communication, point-to-point vs multipoint, unicast / multicast / broadcast, analog vs digital, bandwidth</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5–7, 21, 119–122</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Jan 2023</w:t>
            </w:r>
            <w:r>
              <w:rPr>
                <w:rFonts w:ascii="Arial" w:cs="Arial" w:eastAsia="Arial" w:hAnsi="Arial"/>
                <w:b w:val="false"/>
                <w:bCs w:val="false"/>
                <w:sz w:val="19"/>
                <w:szCs w:val="19"/>
              </w:rPr>
              <w:t xml:space="preserve"> Q2A — distinguish unicast, multicast, broadcast (6)</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Q1(a–m): 13 short definitions</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1–6</w:t>
            </w:r>
          </w:p>
        </w:tc>
        <w:tc>
          <w:tcPr>
            <w:tcW w:type="dxa" w:w="1100"/>
            <w:tcBorders>
              <w:top w:val="single" w:color="8C8C8C" w:sz="4"/>
              <w:left w:val="single" w:color="8C8C8C" w:sz="4"/>
              <w:bottom w:val="single" w:color="8C8C8C" w:sz="4"/>
              <w:right w:val="single" w:color="8C8C8C" w:sz="4"/>
            </w:tcBorders>
            <w:shd w:fill="FBD5A5"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1</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DC vs computer network, 5 components of DC, data flow (simplex / half / full duplex), protocol elements (syntax, semantics, timing), network criteria</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6–20</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 directly</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Q1(a, b) only</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1–3</w:t>
            </w:r>
          </w:p>
        </w:tc>
        <w:tc>
          <w:tcPr>
            <w:tcW w:type="dxa" w:w="1100"/>
            <w:tcBorders>
              <w:top w:val="single" w:color="8C8C8C" w:sz="4"/>
              <w:left w:val="single" w:color="8C8C8C" w:sz="4"/>
              <w:bottom w:val="single" w:color="8C8C8C" w:sz="4"/>
              <w:right w:val="single" w:color="8C8C8C" w:sz="4"/>
            </w:tcBorders>
            <w:shd w:fill="E7E6E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LOW</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1</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Switching overview, Internet, ways of accessing the Internet</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53–57</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None</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w:t>
            </w:r>
          </w:p>
        </w:tc>
        <w:tc>
          <w:tcPr>
            <w:tcW w:type="dxa" w:w="1100"/>
            <w:tcBorders>
              <w:top w:val="single" w:color="8C8C8C" w:sz="4"/>
              <w:left w:val="single" w:color="8C8C8C" w:sz="4"/>
              <w:bottom w:val="single" w:color="8C8C8C" w:sz="4"/>
              <w:right w:val="single" w:color="8C8C8C" w:sz="4"/>
            </w:tcBorders>
            <w:shd w:fill="E7E6E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LOW</w:t>
            </w:r>
          </w:p>
        </w:tc>
      </w:tr>
      <w:tr>
        <w:trPr>
          <w:cantSplit/>
        </w:trPr>
        <w:tc>
          <w:tcPr>
            <w:tcW w:type="dxa" w:w="15400"/>
            <w:gridSpan w:val="8"/>
            <w:tcBorders>
              <w:top w:val="single" w:color="8C8C8C" w:sz="4"/>
              <w:left w:val="single" w:color="8C8C8C" w:sz="4"/>
              <w:bottom w:val="single" w:color="8C8C8C" w:sz="4"/>
              <w:right w:val="single" w:color="8C8C8C" w:sz="4"/>
            </w:tcBorders>
            <w:shd w:fill="D9E2F3" w:color="auto" w:val="clear"/>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UNIT 2 — Data Link Layer: Framing, Flow &amp; Error Control (Ch. 11, slides 59–116)</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2</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Framing:</w:t>
            </w:r>
            <w:r>
              <w:rPr>
                <w:rFonts w:ascii="Arial" w:cs="Arial" w:eastAsia="Arial" w:hAnsi="Arial"/>
                <w:b w:val="false"/>
                <w:bCs w:val="false"/>
                <w:sz w:val="19"/>
                <w:szCs w:val="19"/>
              </w:rPr>
              <w:t xml:space="preserve"> byte stuffing, bit stuffing, fixed vs variable-size framing</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60–66</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Jan 2023</w:t>
            </w:r>
            <w:r>
              <w:rPr>
                <w:rFonts w:ascii="Arial" w:cs="Arial" w:eastAsia="Arial" w:hAnsi="Arial"/>
                <w:b w:val="false"/>
                <w:bCs w:val="false"/>
                <w:sz w:val="19"/>
                <w:szCs w:val="19"/>
              </w:rPr>
              <w:t xml:space="preserve"> Q3B — illustrate bit stuffing with example (6)</w:t>
            </w:r>
          </w:p>
          <w:p>
            <w:pPr>
              <w:spacing w:after="40" w:before="0"/>
              <w:jc w:val="left"/>
            </w:pPr>
            <w:r>
              <w:rPr>
                <w:rFonts w:ascii="Arial" w:cs="Arial" w:eastAsia="Arial" w:hAnsi="Arial"/>
                <w:b/>
                <w:bCs/>
                <w:sz w:val="19"/>
                <w:szCs w:val="19"/>
              </w:rPr>
              <w:t xml:space="preserve">Dec 2025</w:t>
            </w:r>
            <w:r>
              <w:rPr>
                <w:rFonts w:ascii="Arial" w:cs="Arial" w:eastAsia="Arial" w:hAnsi="Arial"/>
                <w:b w:val="false"/>
                <w:bCs w:val="false"/>
                <w:sz w:val="19"/>
                <w:szCs w:val="19"/>
              </w:rPr>
              <w:t xml:space="preserve"> Q2b — why framing is required + any 3 frame header fields (6)</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Q30 (justify framing; bit vs byte), Q31, Q32</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c>
          <w:tcPr>
            <w:tcW w:type="dxa" w:w="11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2</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Selective Repeat ARQ</w:t>
            </w:r>
            <w:r>
              <w:rPr>
                <w:rFonts w:ascii="Arial" w:cs="Arial" w:eastAsia="Arial" w:hAnsi="Arial"/>
                <w:b w:val="false"/>
                <w:bCs w:val="false"/>
                <w:sz w:val="19"/>
                <w:szCs w:val="19"/>
              </w:rPr>
              <w:t xml:space="preserve"> and SR vs Go-Back-N comparison</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83, 105, 107 (SR only briefly mentioned)</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Jan 2022</w:t>
            </w:r>
            <w:r>
              <w:rPr>
                <w:rFonts w:ascii="Arial" w:cs="Arial" w:eastAsia="Arial" w:hAnsi="Arial"/>
                <w:b w:val="false"/>
                <w:bCs w:val="false"/>
                <w:sz w:val="19"/>
                <w:szCs w:val="19"/>
              </w:rPr>
              <w:t xml:space="preserve"> Q4-OR — how SR gives error &amp; flow control, with example (8)</w:t>
            </w:r>
          </w:p>
          <w:p>
            <w:pPr>
              <w:spacing w:after="40" w:before="0"/>
              <w:jc w:val="left"/>
            </w:pPr>
            <w:r>
              <w:rPr>
                <w:rFonts w:ascii="Arial" w:cs="Arial" w:eastAsia="Arial" w:hAnsi="Arial"/>
                <w:b/>
                <w:bCs/>
                <w:sz w:val="19"/>
                <w:szCs w:val="19"/>
              </w:rPr>
              <w:t xml:space="preserve">Jan 2023</w:t>
            </w:r>
            <w:r>
              <w:rPr>
                <w:rFonts w:ascii="Arial" w:cs="Arial" w:eastAsia="Arial" w:hAnsi="Arial"/>
                <w:b w:val="false"/>
                <w:bCs w:val="false"/>
                <w:sz w:val="19"/>
                <w:szCs w:val="19"/>
              </w:rPr>
              <w:t xml:space="preserve"> Q1B — why SR beats GBN; diagram + critical comments (8)</w:t>
            </w:r>
          </w:p>
          <w:p>
            <w:pPr>
              <w:spacing w:after="40" w:before="0"/>
              <w:jc w:val="left"/>
            </w:pPr>
            <w:r>
              <w:rPr>
                <w:rFonts w:ascii="Arial" w:cs="Arial" w:eastAsia="Arial" w:hAnsi="Arial"/>
                <w:b/>
                <w:bCs/>
                <w:sz w:val="19"/>
                <w:szCs w:val="19"/>
              </w:rPr>
              <w:t xml:space="preserve">Jan 2025</w:t>
            </w:r>
            <w:r>
              <w:rPr>
                <w:rFonts w:ascii="Arial" w:cs="Arial" w:eastAsia="Arial" w:hAnsi="Arial"/>
                <w:b w:val="false"/>
                <w:bCs w:val="false"/>
                <w:sz w:val="19"/>
                <w:szCs w:val="19"/>
              </w:rPr>
              <w:t xml:space="preserve"> Q2c — same question, same wording (6)</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Q35, Q37, Q38</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6–8</w:t>
            </w:r>
          </w:p>
        </w:tc>
        <w:tc>
          <w:tcPr>
            <w:tcW w:type="dxa" w:w="11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2</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Go-Back-N ARQ and Stop-and-Wait ARQ:</w:t>
            </w:r>
            <w:r>
              <w:rPr>
                <w:rFonts w:ascii="Arial" w:cs="Arial" w:eastAsia="Arial" w:hAnsi="Arial"/>
                <w:b w:val="false"/>
                <w:bCs w:val="false"/>
                <w:sz w:val="19"/>
                <w:szCs w:val="19"/>
              </w:rPr>
              <w:t xml:space="preserve"> working, sequence numbers, timers, lost frame / lost ACK</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78–116</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Appears as the baseline inside the GBN-vs-SR questions (Jan 2023 Q1B, Jan 2025 Q2c)</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 / 4 (indirect)</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Q33, Q34, Q36, Q37</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6–8</w:t>
            </w:r>
          </w:p>
        </w:tc>
        <w:tc>
          <w:tcPr>
            <w:tcW w:type="dxa" w:w="11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2</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Sliding-window numericals: sender / receiver window size for a given maximum sequence number</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107–116</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Q38, Q39</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1–3 (est.)</w:t>
            </w:r>
          </w:p>
        </w:tc>
        <w:tc>
          <w:tcPr>
            <w:tcW w:type="dxa" w:w="1100"/>
            <w:tcBorders>
              <w:top w:val="single" w:color="8C8C8C" w:sz="4"/>
              <w:left w:val="single" w:color="8C8C8C" w:sz="4"/>
              <w:bottom w:val="single" w:color="8C8C8C" w:sz="4"/>
              <w:right w:val="single" w:color="8C8C8C" w:sz="4"/>
            </w:tcBorders>
            <w:shd w:fill="FFE699"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MEDIUM</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2</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Flow control vs error control, data link control, noiseless-channel protocols (Simplest, Stop-and-Wait)</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67–82</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Dec 2025</w:t>
            </w:r>
            <w:r>
              <w:rPr>
                <w:rFonts w:ascii="Arial" w:cs="Arial" w:eastAsia="Arial" w:hAnsi="Arial"/>
                <w:b w:val="false"/>
                <w:bCs w:val="false"/>
                <w:sz w:val="19"/>
                <w:szCs w:val="19"/>
              </w:rPr>
              <w:t xml:space="preserve"> Q1a — functions of Data Link layer (+ Application layer) (8; data-link half overlaps)</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 / 4 (partial)</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Background for Q33</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3–4</w:t>
            </w:r>
          </w:p>
        </w:tc>
        <w:tc>
          <w:tcPr>
            <w:tcW w:type="dxa" w:w="1100"/>
            <w:tcBorders>
              <w:top w:val="single" w:color="8C8C8C" w:sz="4"/>
              <w:left w:val="single" w:color="8C8C8C" w:sz="4"/>
              <w:bottom w:val="single" w:color="8C8C8C" w:sz="4"/>
              <w:right w:val="single" w:color="8C8C8C" w:sz="4"/>
            </w:tcBorders>
            <w:shd w:fill="FFE699"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MEDIUM</w:t>
            </w:r>
          </w:p>
        </w:tc>
      </w:tr>
      <w:tr>
        <w:trPr>
          <w:cantSplit/>
        </w:trPr>
        <w:tc>
          <w:tcPr>
            <w:tcW w:type="dxa" w:w="15400"/>
            <w:gridSpan w:val="8"/>
            <w:tcBorders>
              <w:top w:val="single" w:color="8C8C8C" w:sz="4"/>
              <w:left w:val="single" w:color="8C8C8C" w:sz="4"/>
              <w:bottom w:val="single" w:color="8C8C8C" w:sz="4"/>
              <w:right w:val="single" w:color="8C8C8C" w:sz="4"/>
            </w:tcBorders>
            <w:shd w:fill="D9E2F3" w:color="auto" w:val="clear"/>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UNIT 3 — Data &amp; Signals (Ch. 3, slides 117–196)</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3</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Bandwidth &amp; frequency-domain numericals:</w:t>
            </w:r>
            <w:r>
              <w:rPr>
                <w:rFonts w:ascii="Arial" w:cs="Arial" w:eastAsia="Arial" w:hAnsi="Arial"/>
                <w:b w:val="false"/>
                <w:bCs w:val="false"/>
                <w:sz w:val="19"/>
                <w:szCs w:val="19"/>
              </w:rPr>
              <w:t xml:space="preserve"> periodic / non-periodic composite signals, draw spectrum</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146–165</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Jan 2022</w:t>
            </w:r>
            <w:r>
              <w:rPr>
                <w:rFonts w:ascii="Arial" w:cs="Arial" w:eastAsia="Arial" w:hAnsi="Arial"/>
                <w:b w:val="false"/>
                <w:bCs w:val="false"/>
                <w:sz w:val="19"/>
                <w:szCs w:val="19"/>
              </w:rPr>
              <w:t xml:space="preserve"> Q8 — bandwidth 100 kHz, middle frequency 150 kHz, peak 10 V; draw frequency domain (3)</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Q19, Q20 (2–4 each)</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2–4</w:t>
            </w:r>
          </w:p>
        </w:tc>
        <w:tc>
          <w:tcPr>
            <w:tcW w:type="dxa" w:w="11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HIGH</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3</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Bit rate and signal-level numericals (bits per level, required bit rate)</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166–175</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Q21 (1–2), Q22 (1–3)</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1–3</w:t>
            </w:r>
          </w:p>
        </w:tc>
        <w:tc>
          <w:tcPr>
            <w:tcW w:type="dxa" w:w="1100"/>
            <w:tcBorders>
              <w:top w:val="single" w:color="8C8C8C" w:sz="4"/>
              <w:left w:val="single" w:color="8C8C8C" w:sz="4"/>
              <w:bottom w:val="single" w:color="8C8C8C" w:sz="4"/>
              <w:right w:val="single" w:color="8C8C8C" w:sz="4"/>
            </w:tcBorders>
            <w:shd w:fill="FFE699"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MEDIUM</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3</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Transmission impairment: attenuation, distortion, noise; dB and SNR</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180–196</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Q23 (3–6)</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3–6</w:t>
            </w:r>
          </w:p>
        </w:tc>
        <w:tc>
          <w:tcPr>
            <w:tcW w:type="dxa" w:w="1100"/>
            <w:tcBorders>
              <w:top w:val="single" w:color="8C8C8C" w:sz="4"/>
              <w:left w:val="single" w:color="8C8C8C" w:sz="4"/>
              <w:bottom w:val="single" w:color="8C8C8C" w:sz="4"/>
              <w:right w:val="single" w:color="8C8C8C" w:sz="4"/>
            </w:tcBorders>
            <w:shd w:fill="FFE699"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MEDIUM</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3</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Analog vs digital signals, sine-wave parameters (amplitude, period, frequency, phase), time vs frequency domain</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119–145</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Q1(i–l)</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1–3</w:t>
            </w:r>
          </w:p>
        </w:tc>
        <w:tc>
          <w:tcPr>
            <w:tcW w:type="dxa" w:w="1100"/>
            <w:tcBorders>
              <w:top w:val="single" w:color="8C8C8C" w:sz="4"/>
              <w:left w:val="single" w:color="8C8C8C" w:sz="4"/>
              <w:bottom w:val="single" w:color="8C8C8C" w:sz="4"/>
              <w:right w:val="single" w:color="8C8C8C" w:sz="4"/>
            </w:tcBorders>
            <w:shd w:fill="E7E6E6"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LOW</w:t>
            </w:r>
          </w:p>
        </w:tc>
      </w:tr>
      <w:tr>
        <w:trPr>
          <w:cantSplit/>
        </w:trPr>
        <w:tc>
          <w:tcPr>
            <w:tcW w:type="dxa" w:w="15400"/>
            <w:gridSpan w:val="8"/>
            <w:tcBorders>
              <w:top w:val="single" w:color="8C8C8C" w:sz="4"/>
              <w:left w:val="single" w:color="8C8C8C" w:sz="4"/>
              <w:bottom w:val="single" w:color="8C8C8C" w:sz="4"/>
              <w:right w:val="single" w:color="8C8C8C" w:sz="4"/>
            </w:tcBorders>
            <w:shd w:fill="D9E2F3" w:color="auto" w:val="clear"/>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UNIT 4 — Switching (Ch. 8, slides 197–231)</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4</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Circuit switching: three phases, efficiency, delay; advantages &amp; disadvantages</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204–213</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Q55, Q56 (marks not stated)</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5–8 (est.)</w:t>
            </w:r>
          </w:p>
        </w:tc>
        <w:tc>
          <w:tcPr>
            <w:tcW w:type="dxa" w:w="1100"/>
            <w:tcBorders>
              <w:top w:val="single" w:color="8C8C8C" w:sz="4"/>
              <w:left w:val="single" w:color="8C8C8C" w:sz="4"/>
              <w:bottom w:val="single" w:color="8C8C8C" w:sz="4"/>
              <w:right w:val="single" w:color="8C8C8C" w:sz="4"/>
            </w:tcBorders>
            <w:shd w:fill="FFE699"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MEDIUM</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Unit 4</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Datagram (packet) switching, virtual-circuit switching, message switching</w:t>
            </w:r>
          </w:p>
        </w:tc>
        <w:tc>
          <w:tcPr>
            <w:tcW w:type="dxa" w:w="1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203, 214–231</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asked</w:t>
            </w:r>
          </w:p>
        </w:tc>
        <w:tc>
          <w:tcPr>
            <w:tcW w:type="dxa" w:w="1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0 / 4</w:t>
            </w:r>
          </w:p>
        </w:tc>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Q55, Q57, Q58 (marks not stated)</w:t>
            </w:r>
          </w:p>
        </w:tc>
        <w:tc>
          <w:tcPr>
            <w:tcW w:type="dxa" w:w="1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5–8 (est.)</w:t>
            </w:r>
          </w:p>
        </w:tc>
        <w:tc>
          <w:tcPr>
            <w:tcW w:type="dxa" w:w="1100"/>
            <w:tcBorders>
              <w:top w:val="single" w:color="8C8C8C" w:sz="4"/>
              <w:left w:val="single" w:color="8C8C8C" w:sz="4"/>
              <w:bottom w:val="single" w:color="8C8C8C" w:sz="4"/>
              <w:right w:val="single" w:color="8C8C8C" w:sz="4"/>
            </w:tcBorders>
            <w:shd w:fill="FFE699" w:color="auto" w:val="clear"/>
            <w:tcMar>
              <w:top w:type="dxa" w:w="60"/>
              <w:left w:type="dxa" w:w="100"/>
              <w:bottom w:type="dxa" w:w="40"/>
              <w:right w:type="dxa" w:w="100"/>
            </w:tcMar>
            <w:vAlign w:val="center"/>
          </w:tcPr>
          <w:p>
            <w:pPr>
              <w:spacing w:after="40" w:before="0"/>
              <w:jc w:val="center"/>
            </w:pPr>
            <w:r>
              <w:rPr>
                <w:rFonts w:ascii="Arial" w:cs="Arial" w:eastAsia="Arial" w:hAnsi="Arial"/>
                <w:b/>
                <w:bCs/>
                <w:sz w:val="19"/>
                <w:szCs w:val="19"/>
              </w:rPr>
              <w:t xml:space="preserve">MEDIUM</w:t>
            </w:r>
          </w:p>
        </w:tc>
      </w:tr>
    </w:tbl>
    <w:p>
      <w:pPr>
        <w:spacing w:after="120" w:before="60"/>
      </w:pPr>
      <w:r>
        <w:rPr>
          <w:rFonts w:ascii="Arial" w:cs="Arial" w:eastAsia="Arial" w:hAnsi="Arial"/>
          <w:b w:val="false"/>
          <w:bCs w:val="false"/>
          <w:i/>
          <w:iCs/>
          <w:color w:val="595959"/>
          <w:sz w:val="17"/>
          <w:szCs w:val="17"/>
        </w:rPr>
        <w:t xml:space="preserve">Priority combines past-paper frequency, Question Bank coverage and marks. “est.” = my estimate, because the Question Bank states no marks for those items. Zero appearances in a final paper does not mean unimportant for a sessional, since those papers cover the whole course. Unicast and multicast are not explained in your slides (only “broadcast” appears), so use the textbook for those.</w:t>
      </w:r>
    </w:p>
    <w:p>
      <w:pPr>
        <w:pageBreakBefore/>
        <w:spacing w:after="0"/>
      </w:pPr>
    </w:p>
    <w:p>
      <w:pPr>
        <w:pStyle w:val="Heading1"/>
        <w:keepNext/>
        <w:spacing w:after="120" w:before="280"/>
      </w:pPr>
      <w:r>
        <w:rPr>
          <w:rFonts w:ascii="Arial" w:cs="Arial" w:eastAsia="Arial" w:hAnsi="Arial"/>
        </w:rPr>
        <w:t xml:space="preserve">2. High-Yield Priority List — study these 5 first</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600"/>
        <w:gridCol w:w="5900"/>
        <w:gridCol w:w="1800"/>
      </w:tblGrid>
      <w:tr>
        <w:trPr>
          <w:cantSplit/>
          <w:tblHeader/>
        </w:trPr>
        <w:tc>
          <w:tcPr>
            <w:tcW w:type="dxa" w:w="7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Rank</w:t>
            </w:r>
          </w:p>
        </w:tc>
        <w:tc>
          <w:tcPr>
            <w:tcW w:type="dxa" w:w="24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Topic</w:t>
            </w:r>
          </w:p>
        </w:tc>
        <w:tc>
          <w:tcPr>
            <w:tcW w:type="dxa" w:w="46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Evidence</w:t>
            </w:r>
          </w:p>
        </w:tc>
        <w:tc>
          <w:tcPr>
            <w:tcW w:type="dxa" w:w="59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What to prepare (exam-ready checklist)</w:t>
            </w:r>
          </w:p>
        </w:tc>
        <w:tc>
          <w:tcPr>
            <w:tcW w:type="dxa" w:w="18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Expected marks</w:t>
            </w:r>
          </w:p>
        </w:tc>
      </w:tr>
      <w:tr>
        <w:trPr>
          <w:cantSplit/>
        </w:trPr>
        <w:tc>
          <w:tcPr>
            <w:tcW w:type="dxa" w:w="7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top"/>
          </w:tcPr>
          <w:p>
            <w:pPr>
              <w:spacing w:after="40" w:before="0"/>
              <w:jc w:val="center"/>
            </w:pPr>
            <w:r>
              <w:rPr>
                <w:rFonts w:ascii="Arial" w:cs="Arial" w:eastAsia="Arial" w:hAnsi="Arial"/>
                <w:b/>
                <w:bCs/>
                <w:sz w:val="19"/>
                <w:szCs w:val="19"/>
              </w:rPr>
              <w:t xml:space="preserve">1</w:t>
            </w:r>
          </w:p>
        </w:tc>
        <w:tc>
          <w:tcPr>
            <w:tcW w:type="dxa" w:w="2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ARQ protocols:</w:t>
            </w:r>
            <w:r>
              <w:rPr>
                <w:rFonts w:ascii="Arial" w:cs="Arial" w:eastAsia="Arial" w:hAnsi="Arial"/>
                <w:b w:val="false"/>
                <w:bCs w:val="false"/>
                <w:sz w:val="19"/>
                <w:szCs w:val="19"/>
              </w:rPr>
              <w:t xml:space="preserve"> Selective Repeat vs Go-Back-N (with Stop-and-Wait as base)</w:t>
            </w:r>
          </w:p>
        </w:tc>
        <w:tc>
          <w:tcPr>
            <w:tcW w:type="dxa" w:w="4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Only topic seen in </w:t>
            </w:r>
            <w:r>
              <w:rPr>
                <w:rFonts w:ascii="Arial" w:cs="Arial" w:eastAsia="Arial" w:hAnsi="Arial"/>
                <w:b/>
                <w:bCs/>
                <w:sz w:val="19"/>
                <w:szCs w:val="19"/>
              </w:rPr>
              <w:t xml:space="preserve">3 of 4</w:t>
            </w:r>
            <w:r>
              <w:rPr>
                <w:rFonts w:ascii="Arial" w:cs="Arial" w:eastAsia="Arial" w:hAnsi="Arial"/>
                <w:b w:val="false"/>
                <w:bCs w:val="false"/>
                <w:sz w:val="19"/>
                <w:szCs w:val="19"/>
              </w:rPr>
              <w:t xml:space="preserve"> papers.</w:t>
            </w:r>
          </w:p>
          <w:p>
            <w:pPr>
              <w:spacing w:after="40" w:before="0"/>
              <w:jc w:val="left"/>
            </w:pPr>
            <w:r>
              <w:rPr>
                <w:rFonts w:ascii="Arial" w:cs="Arial" w:eastAsia="Arial" w:hAnsi="Arial"/>
                <w:b w:val="false"/>
                <w:bCs w:val="false"/>
                <w:sz w:val="19"/>
                <w:szCs w:val="19"/>
              </w:rPr>
              <w:t xml:space="preserve">Jan 2023 Q1B and Jan 2025 Q2c: near-identical wording (why SR performs better than GBN; justify with diagram and critical comments).</w:t>
            </w:r>
          </w:p>
          <w:p>
            <w:pPr>
              <w:spacing w:after="40" w:before="0"/>
              <w:jc w:val="left"/>
            </w:pPr>
            <w:r>
              <w:rPr>
                <w:rFonts w:ascii="Arial" w:cs="Arial" w:eastAsia="Arial" w:hAnsi="Arial"/>
                <w:b w:val="false"/>
                <w:bCs w:val="false"/>
                <w:sz w:val="19"/>
                <w:szCs w:val="19"/>
              </w:rPr>
              <w:t xml:space="preserve">Jan 2022 Q4-OR: SR error and flow control with an example.</w:t>
            </w:r>
          </w:p>
          <w:p>
            <w:pPr>
              <w:spacing w:after="40" w:before="0"/>
              <w:jc w:val="left"/>
            </w:pPr>
            <w:r>
              <w:rPr>
                <w:rFonts w:ascii="Arial" w:cs="Arial" w:eastAsia="Arial" w:hAnsi="Arial"/>
                <w:b w:val="false"/>
                <w:bCs w:val="false"/>
                <w:sz w:val="19"/>
                <w:szCs w:val="19"/>
              </w:rPr>
              <w:t xml:space="preserve">QB has 7 ARQ items (Q33–39).</w:t>
            </w:r>
          </w:p>
        </w:tc>
        <w:tc>
          <w:tcPr>
            <w:tcW w:type="dxa" w:w="5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pStyle w:val="ListParagraph"/>
              <w:numPr>
                <w:ilvl w:val="0"/>
                <w:numId w:val="2"/>
              </w:numPr>
              <w:spacing w:after="40" w:before="0"/>
              <w:jc w:val="left"/>
            </w:pPr>
            <w:r>
              <w:rPr>
                <w:rFonts w:ascii="Arial" w:cs="Arial" w:eastAsia="Arial" w:hAnsi="Arial"/>
                <w:b w:val="false"/>
                <w:bCs w:val="false"/>
                <w:sz w:val="19"/>
                <w:szCs w:val="19"/>
              </w:rPr>
              <w:t xml:space="preserve">Timeline diagrams for Stop-and-Wait, GBN and SR showing a lost frame and a lost ACK</w:t>
            </w:r>
          </w:p>
          <w:p>
            <w:pPr>
              <w:pStyle w:val="ListParagraph"/>
              <w:numPr>
                <w:ilvl w:val="0"/>
                <w:numId w:val="2"/>
              </w:numPr>
              <w:spacing w:after="40" w:before="0"/>
              <w:jc w:val="left"/>
            </w:pPr>
            <w:r>
              <w:rPr>
                <w:rFonts w:ascii="Arial" w:cs="Arial" w:eastAsia="Arial" w:hAnsi="Arial"/>
                <w:b w:val="false"/>
                <w:bCs w:val="false"/>
                <w:sz w:val="19"/>
                <w:szCs w:val="19"/>
              </w:rPr>
              <w:t xml:space="preserve">Comparison points: frames resent (all outstanding vs only the lost one), receiver window (1 vs N), out-of-order frames (discarded vs buffered), timers / NAK, bandwidth efficiency, receiver complexity</w:t>
            </w:r>
          </w:p>
          <w:p>
            <w:pPr>
              <w:pStyle w:val="ListParagraph"/>
              <w:numPr>
                <w:ilvl w:val="0"/>
                <w:numId w:val="2"/>
              </w:numPr>
              <w:spacing w:after="40" w:before="0"/>
              <w:jc w:val="left"/>
            </w:pPr>
            <w:r>
              <w:rPr>
                <w:rFonts w:ascii="Arial" w:cs="Arial" w:eastAsia="Arial" w:hAnsi="Arial"/>
                <w:b w:val="false"/>
                <w:bCs w:val="false"/>
                <w:sz w:val="19"/>
                <w:szCs w:val="19"/>
              </w:rPr>
              <w:t xml:space="preserve">Window rules: GBN sender 2^m − 1, receiver 1; SR both 2^(m−1)</w:t>
            </w:r>
          </w:p>
          <w:p>
            <w:pPr>
              <w:pStyle w:val="ListParagraph"/>
              <w:numPr>
                <w:ilvl w:val="0"/>
                <w:numId w:val="2"/>
              </w:numPr>
              <w:spacing w:after="40" w:before="0"/>
              <w:jc w:val="left"/>
            </w:pPr>
            <w:r>
              <w:rPr>
                <w:rFonts w:ascii="Arial" w:cs="Arial" w:eastAsia="Arial" w:hAnsi="Arial"/>
                <w:b w:val="false"/>
                <w:bCs w:val="false"/>
                <w:sz w:val="19"/>
                <w:szCs w:val="19"/>
              </w:rPr>
              <w:t xml:space="preserve">Finish with a verdict: SR wastes less bandwidth but needs more buffer and logic</w:t>
            </w:r>
          </w:p>
          <w:p>
            <w:pPr>
              <w:pStyle w:val="ListParagraph"/>
              <w:numPr>
                <w:ilvl w:val="0"/>
                <w:numId w:val="2"/>
              </w:numPr>
              <w:spacing w:after="40" w:before="0"/>
              <w:jc w:val="left"/>
            </w:pPr>
            <w:r>
              <w:rPr>
                <w:rFonts w:ascii="Arial" w:cs="Arial" w:eastAsia="Arial" w:hAnsi="Arial"/>
                <w:b w:val="false"/>
                <w:bCs w:val="false"/>
                <w:sz w:val="19"/>
                <w:szCs w:val="19"/>
              </w:rPr>
              <w:t xml:space="preserve">SR is only mentioned on 3 slides, so study it from the textbook</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6–8 (a full sub-question)</w:t>
            </w:r>
          </w:p>
        </w:tc>
      </w:tr>
      <w:tr>
        <w:trPr>
          <w:cantSplit/>
        </w:trPr>
        <w:tc>
          <w:tcPr>
            <w:tcW w:type="dxa" w:w="7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top"/>
          </w:tcPr>
          <w:p>
            <w:pPr>
              <w:spacing w:after="40" w:before="0"/>
              <w:jc w:val="center"/>
            </w:pPr>
            <w:r>
              <w:rPr>
                <w:rFonts w:ascii="Arial" w:cs="Arial" w:eastAsia="Arial" w:hAnsi="Arial"/>
                <w:b/>
                <w:bCs/>
                <w:sz w:val="19"/>
                <w:szCs w:val="19"/>
              </w:rPr>
              <w:t xml:space="preserve">2</w:t>
            </w:r>
          </w:p>
        </w:tc>
        <w:tc>
          <w:tcPr>
            <w:tcW w:type="dxa" w:w="2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Framing:</w:t>
            </w:r>
            <w:r>
              <w:rPr>
                <w:rFonts w:ascii="Arial" w:cs="Arial" w:eastAsia="Arial" w:hAnsi="Arial"/>
                <w:b w:val="false"/>
                <w:bCs w:val="false"/>
                <w:sz w:val="19"/>
                <w:szCs w:val="19"/>
              </w:rPr>
              <w:t xml:space="preserve"> byte stuffing and bit stuffing</w:t>
            </w:r>
          </w:p>
        </w:tc>
        <w:tc>
          <w:tcPr>
            <w:tcW w:type="dxa" w:w="4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2 of 4</w:t>
            </w:r>
            <w:r>
              <w:rPr>
                <w:rFonts w:ascii="Arial" w:cs="Arial" w:eastAsia="Arial" w:hAnsi="Arial"/>
                <w:b w:val="false"/>
                <w:bCs w:val="false"/>
                <w:sz w:val="19"/>
                <w:szCs w:val="19"/>
              </w:rPr>
              <w:t xml:space="preserve"> papers, 6 marks each (Jan 2023 Q3B, Dec 2025 Q2b).</w:t>
            </w:r>
          </w:p>
          <w:p>
            <w:pPr>
              <w:spacing w:after="40" w:before="0"/>
              <w:jc w:val="left"/>
            </w:pPr>
            <w:r>
              <w:rPr>
                <w:rFonts w:ascii="Arial" w:cs="Arial" w:eastAsia="Arial" w:hAnsi="Arial"/>
                <w:b w:val="false"/>
                <w:bCs w:val="false"/>
                <w:sz w:val="19"/>
                <w:szCs w:val="19"/>
              </w:rPr>
              <w:t xml:space="preserve">QB Q30–32 cover justification, bit stuffing and byte stuffing.</w:t>
            </w:r>
          </w:p>
        </w:tc>
        <w:tc>
          <w:tcPr>
            <w:tcW w:type="dxa" w:w="5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pStyle w:val="ListParagraph"/>
              <w:numPr>
                <w:ilvl w:val="0"/>
                <w:numId w:val="2"/>
              </w:numPr>
              <w:spacing w:after="40" w:before="0"/>
              <w:jc w:val="left"/>
            </w:pPr>
            <w:r>
              <w:rPr>
                <w:rFonts w:ascii="Arial" w:cs="Arial" w:eastAsia="Arial" w:hAnsi="Arial"/>
                <w:b w:val="false"/>
                <w:bCs w:val="false"/>
                <w:sz w:val="19"/>
                <w:szCs w:val="19"/>
              </w:rPr>
              <w:t xml:space="preserve">Why framing is needed (frame boundaries, receiver synchronisation); fixed vs variable-size framing</w:t>
            </w:r>
          </w:p>
          <w:p>
            <w:pPr>
              <w:pStyle w:val="ListParagraph"/>
              <w:numPr>
                <w:ilvl w:val="0"/>
                <w:numId w:val="2"/>
              </w:numPr>
              <w:spacing w:after="40" w:before="0"/>
              <w:jc w:val="left"/>
            </w:pPr>
            <w:r>
              <w:rPr>
                <w:rFonts w:ascii="Arial" w:cs="Arial" w:eastAsia="Arial" w:hAnsi="Arial"/>
                <w:b w:val="false"/>
                <w:bCs w:val="false"/>
                <w:sz w:val="19"/>
                <w:szCs w:val="19"/>
              </w:rPr>
              <w:t xml:space="preserve">Byte stuffing: flag + ESC byte, with a worked stuff / unstuff example</w:t>
            </w:r>
          </w:p>
          <w:p>
            <w:pPr>
              <w:pStyle w:val="ListParagraph"/>
              <w:numPr>
                <w:ilvl w:val="0"/>
                <w:numId w:val="2"/>
              </w:numPr>
              <w:spacing w:after="40" w:before="0"/>
              <w:jc w:val="left"/>
            </w:pPr>
            <w:r>
              <w:rPr>
                <w:rFonts w:ascii="Arial" w:cs="Arial" w:eastAsia="Arial" w:hAnsi="Arial"/>
                <w:b w:val="false"/>
                <w:bCs w:val="false"/>
                <w:sz w:val="19"/>
                <w:szCs w:val="19"/>
              </w:rPr>
              <w:t xml:space="preserve">Bit stuffing: flag 01111110, insert a 0 after five consecutive 1s, with a worked example</w:t>
            </w:r>
          </w:p>
          <w:p>
            <w:pPr>
              <w:pStyle w:val="ListParagraph"/>
              <w:numPr>
                <w:ilvl w:val="0"/>
                <w:numId w:val="2"/>
              </w:numPr>
              <w:spacing w:after="40" w:before="0"/>
              <w:jc w:val="left"/>
            </w:pPr>
            <w:r>
              <w:rPr>
                <w:rFonts w:ascii="Arial" w:cs="Arial" w:eastAsia="Arial" w:hAnsi="Arial"/>
                <w:b w:val="false"/>
                <w:bCs w:val="false"/>
                <w:sz w:val="19"/>
                <w:szCs w:val="19"/>
              </w:rPr>
              <w:t xml:space="preserve">Table: bit vs byte stuffing; plus three header fields with purpose (e.g. address, control, length/type)</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r>
      <w:tr>
        <w:trPr>
          <w:cantSplit/>
        </w:trPr>
        <w:tc>
          <w:tcPr>
            <w:tcW w:type="dxa" w:w="7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top"/>
          </w:tcPr>
          <w:p>
            <w:pPr>
              <w:spacing w:after="40" w:before="0"/>
              <w:jc w:val="center"/>
            </w:pPr>
            <w:r>
              <w:rPr>
                <w:rFonts w:ascii="Arial" w:cs="Arial" w:eastAsia="Arial" w:hAnsi="Arial"/>
                <w:b/>
                <w:bCs/>
                <w:sz w:val="19"/>
                <w:szCs w:val="19"/>
              </w:rPr>
              <w:t xml:space="preserve">3</w:t>
            </w:r>
          </w:p>
        </w:tc>
        <w:tc>
          <w:tcPr>
            <w:tcW w:type="dxa" w:w="2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Network topologies:</w:t>
            </w:r>
            <w:r>
              <w:rPr>
                <w:rFonts w:ascii="Arial" w:cs="Arial" w:eastAsia="Arial" w:hAnsi="Arial"/>
                <w:b w:val="false"/>
                <w:bCs w:val="false"/>
                <w:sz w:val="19"/>
                <w:szCs w:val="19"/>
              </w:rPr>
              <w:t xml:space="preserve"> Mesh, Star, Bus, Ring</w:t>
            </w:r>
          </w:p>
        </w:tc>
        <w:tc>
          <w:tcPr>
            <w:tcW w:type="dxa" w:w="4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2 of 4</w:t>
            </w:r>
            <w:r>
              <w:rPr>
                <w:rFonts w:ascii="Arial" w:cs="Arial" w:eastAsia="Arial" w:hAnsi="Arial"/>
                <w:b w:val="false"/>
                <w:bCs w:val="false"/>
                <w:sz w:val="19"/>
                <w:szCs w:val="19"/>
              </w:rPr>
              <w:t xml:space="preserve"> papers (Jan 2023 Q3A numerical, 4 marks; Jan 2025 Q1b diagram-based, 8 marks).</w:t>
            </w:r>
          </w:p>
          <w:p>
            <w:pPr>
              <w:spacing w:after="40" w:before="0"/>
              <w:jc w:val="left"/>
            </w:pPr>
            <w:r>
              <w:rPr>
                <w:rFonts w:ascii="Arial" w:cs="Arial" w:eastAsia="Arial" w:hAnsi="Arial"/>
                <w:b w:val="false"/>
                <w:bCs w:val="false"/>
                <w:sz w:val="19"/>
                <w:szCs w:val="19"/>
              </w:rPr>
              <w:t xml:space="preserve">QB Q2–5: one full question per topology.</w:t>
            </w:r>
          </w:p>
        </w:tc>
        <w:tc>
          <w:tcPr>
            <w:tcW w:type="dxa" w:w="5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pStyle w:val="ListParagraph"/>
              <w:numPr>
                <w:ilvl w:val="0"/>
                <w:numId w:val="2"/>
              </w:numPr>
              <w:spacing w:after="40" w:before="0"/>
              <w:jc w:val="left"/>
            </w:pPr>
            <w:r>
              <w:rPr>
                <w:rFonts w:ascii="Arial" w:cs="Arial" w:eastAsia="Arial" w:hAnsi="Arial"/>
                <w:b w:val="false"/>
                <w:bCs w:val="false"/>
                <w:sz w:val="19"/>
                <w:szCs w:val="19"/>
              </w:rPr>
              <w:t xml:space="preserve">Neat diagram of each topology</w:t>
            </w:r>
          </w:p>
          <w:p>
            <w:pPr>
              <w:pStyle w:val="ListParagraph"/>
              <w:numPr>
                <w:ilvl w:val="0"/>
                <w:numId w:val="2"/>
              </w:numPr>
              <w:spacing w:after="40" w:before="0"/>
              <w:jc w:val="left"/>
            </w:pPr>
            <w:r>
              <w:rPr>
                <w:rFonts w:ascii="Arial" w:cs="Arial" w:eastAsia="Arial" w:hAnsi="Arial"/>
                <w:b w:val="false"/>
                <w:bCs w:val="false"/>
                <w:sz w:val="19"/>
                <w:szCs w:val="19"/>
              </w:rPr>
              <w:t xml:space="preserve">4–5 advantages and disadvantages each (slides 24–34)</w:t>
            </w:r>
          </w:p>
          <w:p>
            <w:pPr>
              <w:pStyle w:val="ListParagraph"/>
              <w:numPr>
                <w:ilvl w:val="0"/>
                <w:numId w:val="2"/>
              </w:numPr>
              <w:spacing w:after="40" w:before="0"/>
              <w:jc w:val="left"/>
            </w:pPr>
            <w:r>
              <w:rPr>
                <w:rFonts w:ascii="Arial" w:cs="Arial" w:eastAsia="Arial" w:hAnsi="Arial"/>
                <w:b w:val="false"/>
                <w:bCs w:val="false"/>
                <w:sz w:val="19"/>
                <w:szCs w:val="19"/>
              </w:rPr>
              <w:t xml:space="preserve">One comparison table: cost, cabling, reliability, fault isolation, single point of failure, scalability</w:t>
            </w:r>
          </w:p>
          <w:p>
            <w:pPr>
              <w:pStyle w:val="ListParagraph"/>
              <w:numPr>
                <w:ilvl w:val="0"/>
                <w:numId w:val="2"/>
              </w:numPr>
              <w:spacing w:after="40" w:before="0"/>
              <w:jc w:val="left"/>
            </w:pPr>
            <w:r>
              <w:rPr>
                <w:rFonts w:ascii="Arial" w:cs="Arial" w:eastAsia="Arial" w:hAnsi="Arial"/>
                <w:b w:val="false"/>
                <w:bCs w:val="false"/>
                <w:sz w:val="19"/>
                <w:szCs w:val="19"/>
              </w:rPr>
              <w:t xml:space="preserve">Mesh formulas: links = n(n−1)/2 (duplex), n(n−1) (simplex); ports per device = n−1</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4–8</w:t>
            </w:r>
          </w:p>
        </w:tc>
      </w:tr>
      <w:tr>
        <w:trPr>
          <w:cantSplit/>
        </w:trPr>
        <w:tc>
          <w:tcPr>
            <w:tcW w:type="dxa" w:w="7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top"/>
          </w:tcPr>
          <w:p>
            <w:pPr>
              <w:spacing w:after="40" w:before="0"/>
              <w:jc w:val="center"/>
            </w:pPr>
            <w:r>
              <w:rPr>
                <w:rFonts w:ascii="Arial" w:cs="Arial" w:eastAsia="Arial" w:hAnsi="Arial"/>
                <w:b/>
                <w:bCs/>
                <w:sz w:val="19"/>
                <w:szCs w:val="19"/>
              </w:rPr>
              <w:t xml:space="preserve">4</w:t>
            </w:r>
          </w:p>
        </w:tc>
        <w:tc>
          <w:tcPr>
            <w:tcW w:type="dxa" w:w="2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Network categories:</w:t>
            </w:r>
            <w:r>
              <w:rPr>
                <w:rFonts w:ascii="Arial" w:cs="Arial" w:eastAsia="Arial" w:hAnsi="Arial"/>
                <w:b w:val="false"/>
                <w:bCs w:val="false"/>
                <w:sz w:val="19"/>
                <w:szCs w:val="19"/>
              </w:rPr>
              <w:t xml:space="preserve"> PAN, LAN, MAN, WAN</w:t>
            </w:r>
          </w:p>
        </w:tc>
        <w:tc>
          <w:tcPr>
            <w:tcW w:type="dxa" w:w="4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 Q1 — the opening 8-mark question.</w:t>
            </w:r>
          </w:p>
          <w:p>
            <w:pPr>
              <w:spacing w:after="40" w:before="0"/>
              <w:jc w:val="left"/>
            </w:pPr>
            <w:r>
              <w:rPr>
                <w:rFonts w:ascii="Arial" w:cs="Arial" w:eastAsia="Arial" w:hAnsi="Arial"/>
                <w:b w:val="false"/>
                <w:bCs w:val="false"/>
                <w:sz w:val="19"/>
                <w:szCs w:val="19"/>
              </w:rPr>
              <w:t xml:space="preserve">QB Q6–9 (PAN 2–3 marks, others 5–8).</w:t>
            </w:r>
          </w:p>
        </w:tc>
        <w:tc>
          <w:tcPr>
            <w:tcW w:type="dxa" w:w="5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pStyle w:val="ListParagraph"/>
              <w:numPr>
                <w:ilvl w:val="0"/>
                <w:numId w:val="2"/>
              </w:numPr>
              <w:spacing w:after="40" w:before="0"/>
              <w:jc w:val="left"/>
            </w:pPr>
            <w:r>
              <w:rPr>
                <w:rFonts w:ascii="Arial" w:cs="Arial" w:eastAsia="Arial" w:hAnsi="Arial"/>
                <w:b w:val="false"/>
                <w:bCs w:val="false"/>
                <w:sz w:val="19"/>
                <w:szCs w:val="19"/>
              </w:rPr>
              <w:t xml:space="preserve">For each: definition, area covered, ownership, speed, typical technology, example</w:t>
            </w:r>
          </w:p>
          <w:p>
            <w:pPr>
              <w:pStyle w:val="ListParagraph"/>
              <w:numPr>
                <w:ilvl w:val="0"/>
                <w:numId w:val="2"/>
              </w:numPr>
              <w:spacing w:after="40" w:before="0"/>
              <w:jc w:val="left"/>
            </w:pPr>
            <w:r>
              <w:rPr>
                <w:rFonts w:ascii="Arial" w:cs="Arial" w:eastAsia="Arial" w:hAnsi="Arial"/>
                <w:b w:val="false"/>
                <w:bCs w:val="false"/>
                <w:sz w:val="19"/>
                <w:szCs w:val="19"/>
              </w:rPr>
              <w:t xml:space="preserve">One comparison table covering all four</w:t>
            </w:r>
          </w:p>
          <w:p>
            <w:pPr>
              <w:pStyle w:val="ListParagraph"/>
              <w:numPr>
                <w:ilvl w:val="0"/>
                <w:numId w:val="2"/>
              </w:numPr>
              <w:spacing w:after="40" w:before="0"/>
              <w:jc w:val="left"/>
            </w:pPr>
            <w:r>
              <w:rPr>
                <w:rFonts w:ascii="Arial" w:cs="Arial" w:eastAsia="Arial" w:hAnsi="Arial"/>
                <w:b w:val="false"/>
                <w:bCs w:val="false"/>
                <w:sz w:val="19"/>
                <w:szCs w:val="19"/>
              </w:rPr>
              <w:t xml:space="preserve">Wireless categories (Bluetooth, WLAN / IEEE 802.11, wireless WAN) and WAN vs Internet difference</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3–8</w:t>
            </w:r>
          </w:p>
        </w:tc>
      </w:tr>
      <w:tr>
        <w:trPr>
          <w:cantSplit/>
        </w:trPr>
        <w:tc>
          <w:tcPr>
            <w:tcW w:type="dxa" w:w="700"/>
            <w:tcBorders>
              <w:top w:val="single" w:color="8C8C8C" w:sz="4"/>
              <w:left w:val="single" w:color="8C8C8C" w:sz="4"/>
              <w:bottom w:val="single" w:color="8C8C8C" w:sz="4"/>
              <w:right w:val="single" w:color="8C8C8C" w:sz="4"/>
            </w:tcBorders>
            <w:shd w:fill="F4B6B6" w:color="auto" w:val="clear"/>
            <w:tcMar>
              <w:top w:type="dxa" w:w="60"/>
              <w:left w:type="dxa" w:w="100"/>
              <w:bottom w:type="dxa" w:w="40"/>
              <w:right w:type="dxa" w:w="100"/>
            </w:tcMar>
            <w:vAlign w:val="top"/>
          </w:tcPr>
          <w:p>
            <w:pPr>
              <w:spacing w:after="40" w:before="0"/>
              <w:jc w:val="center"/>
            </w:pPr>
            <w:r>
              <w:rPr>
                <w:rFonts w:ascii="Arial" w:cs="Arial" w:eastAsia="Arial" w:hAnsi="Arial"/>
                <w:b/>
                <w:bCs/>
                <w:sz w:val="19"/>
                <w:szCs w:val="19"/>
              </w:rPr>
              <w:t xml:space="preserve">5</w:t>
            </w:r>
          </w:p>
        </w:tc>
        <w:tc>
          <w:tcPr>
            <w:tcW w:type="dxa" w:w="2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Signal numericals:</w:t>
            </w:r>
            <w:r>
              <w:rPr>
                <w:rFonts w:ascii="Arial" w:cs="Arial" w:eastAsia="Arial" w:hAnsi="Arial"/>
                <w:b w:val="false"/>
                <w:bCs w:val="false"/>
                <w:sz w:val="19"/>
                <w:szCs w:val="19"/>
              </w:rPr>
              <w:t xml:space="preserve"> bandwidth, spectrum, bits per level, bit rate</w:t>
            </w:r>
          </w:p>
        </w:tc>
        <w:tc>
          <w:tcPr>
            <w:tcW w:type="dxa" w:w="4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 Q8 (3 marks) is QB Q20 with different numbers.</w:t>
            </w:r>
          </w:p>
          <w:p>
            <w:pPr>
              <w:spacing w:after="40" w:before="0"/>
              <w:jc w:val="left"/>
            </w:pPr>
            <w:r>
              <w:rPr>
                <w:rFonts w:ascii="Arial" w:cs="Arial" w:eastAsia="Arial" w:hAnsi="Arial"/>
                <w:b w:val="false"/>
                <w:bCs w:val="false"/>
                <w:sz w:val="19"/>
                <w:szCs w:val="19"/>
              </w:rPr>
              <w:t xml:space="preserve">QB Q19–22 are short textbook-style numericals.</w:t>
            </w:r>
          </w:p>
        </w:tc>
        <w:tc>
          <w:tcPr>
            <w:tcW w:type="dxa" w:w="5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pStyle w:val="ListParagraph"/>
              <w:numPr>
                <w:ilvl w:val="0"/>
                <w:numId w:val="2"/>
              </w:numPr>
              <w:spacing w:after="40" w:before="0"/>
              <w:jc w:val="left"/>
            </w:pPr>
            <w:r>
              <w:rPr>
                <w:rFonts w:ascii="Arial" w:cs="Arial" w:eastAsia="Arial" w:hAnsi="Arial"/>
                <w:b w:val="false"/>
                <w:bCs w:val="false"/>
                <w:sz w:val="19"/>
                <w:szCs w:val="19"/>
              </w:rPr>
              <w:t xml:space="preserve">Bandwidth = f_high − f_low; draw spectrum with labelled axes</w:t>
            </w:r>
          </w:p>
          <w:p>
            <w:pPr>
              <w:pStyle w:val="ListParagraph"/>
              <w:numPr>
                <w:ilvl w:val="0"/>
                <w:numId w:val="2"/>
              </w:numPr>
              <w:spacing w:after="40" w:before="0"/>
              <w:jc w:val="left"/>
            </w:pPr>
            <w:r>
              <w:rPr>
                <w:rFonts w:ascii="Arial" w:cs="Arial" w:eastAsia="Arial" w:hAnsi="Arial"/>
                <w:b w:val="false"/>
                <w:bCs w:val="false"/>
                <w:sz w:val="19"/>
                <w:szCs w:val="19"/>
              </w:rPr>
              <w:t xml:space="preserve">Bits per level = log2(L); bit rate = total bits ÷ time (state page-size assumptions)</w:t>
            </w:r>
          </w:p>
          <w:p>
            <w:pPr>
              <w:pStyle w:val="ListParagraph"/>
              <w:numPr>
                <w:ilvl w:val="0"/>
                <w:numId w:val="2"/>
              </w:numPr>
              <w:spacing w:after="40" w:before="0"/>
              <w:jc w:val="left"/>
            </w:pPr>
            <w:r>
              <w:rPr>
                <w:rFonts w:ascii="Arial" w:cs="Arial" w:eastAsia="Arial" w:hAnsi="Arial"/>
                <w:b w:val="false"/>
                <w:bCs w:val="false"/>
                <w:sz w:val="19"/>
                <w:szCs w:val="19"/>
              </w:rPr>
              <w:t xml:space="preserve">Re-solve each QB numerical with changed values, since examiners reuse the template</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1–4 each (easy marks)</w:t>
            </w:r>
          </w:p>
        </w:tc>
      </w:tr>
    </w:tbl>
    <w:p>
      <w:pPr>
        <w:spacing w:after="120" w:before="60"/>
      </w:pPr>
      <w:r>
        <w:rPr>
          <w:rFonts w:ascii="Arial" w:cs="Arial" w:eastAsia="Arial" w:hAnsi="Arial"/>
          <w:b w:val="false"/>
          <w:bCs w:val="false"/>
          <w:i/>
          <w:iCs/>
          <w:color w:val="595959"/>
          <w:sz w:val="17"/>
          <w:szCs w:val="17"/>
        </w:rPr>
        <w:t xml:space="preserve">If time remains: (a) Switching — compare circuit, datagram and virtual-circuit (QB Q55–58); (b) transmission impairment — attenuation, distortion, noise (QB Q23, 3–6 marks).</w:t>
      </w:r>
    </w:p>
    <w:p>
      <w:pPr>
        <w:pStyle w:val="Heading1"/>
        <w:keepNext/>
        <w:spacing w:after="120" w:before="280"/>
      </w:pPr>
      <w:r>
        <w:rPr>
          <w:rFonts w:ascii="Arial" w:cs="Arial" w:eastAsia="Arial" w:hAnsi="Arial"/>
        </w:rPr>
        <w:t xml:space="preserve">3. Question Patterns</w:t>
      </w:r>
    </w:p>
    <w:p>
      <w:pPr>
        <w:pStyle w:val="Heading2"/>
        <w:keepNext/>
        <w:spacing w:after="80" w:before="200"/>
      </w:pPr>
      <w:r>
        <w:rPr>
          <w:rFonts w:ascii="Arial" w:cs="Arial" w:eastAsia="Arial" w:hAnsi="Arial"/>
        </w:rPr>
        <w:t xml:space="preserve">3.1 Recurring question formats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500"/>
        <w:gridCol w:w="1800"/>
        <w:gridCol w:w="3800"/>
      </w:tblGrid>
      <w:tr>
        <w:trPr>
          <w:cantSplit/>
          <w:tblHeader/>
        </w:trPr>
        <w:tc>
          <w:tcPr>
            <w:tcW w:type="dxa" w:w="2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Pattern</w:t>
            </w:r>
          </w:p>
        </w:tc>
        <w:tc>
          <w:tcPr>
            <w:tcW w:type="dxa" w:w="40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Typical wording</w:t>
            </w:r>
          </w:p>
        </w:tc>
        <w:tc>
          <w:tcPr>
            <w:tcW w:type="dxa" w:w="35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Seen in</w:t>
            </w:r>
          </w:p>
        </w:tc>
        <w:tc>
          <w:tcPr>
            <w:tcW w:type="dxa" w:w="18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Marks · CO · BL</w:t>
            </w:r>
          </w:p>
        </w:tc>
        <w:tc>
          <w:tcPr>
            <w:tcW w:type="dxa" w:w="38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How to answer</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Why is X better than Y? (justify)</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Why does Selective Repeat ARQ give better performance than Go-Back-N? Justify with a diagram and critical comments.</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 Q1B, Jan 2025 Q2c (near-verbatim); Jan 2022 Q4-OR (variant)</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6–8 · CO2 · BL3–BL5</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Draw both protocols side by side with the same loss scenario, tabulate differences, end with a reasoned verdict.</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Differentiate / compare</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Differentiate Star, Bus, Mesh and Ring with diagrams; distinguish unicast, multicast, broadcast; key characteristics of PAN, LAN, MAN, WAN.</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2025 Q1b; Jan 2023 Q2A; Jan 2022 Q1</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6–8 · CO1 · BL2–BL3</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Comparison table with 4–6 attributes plus a labelled diagram for each item.</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Illustrate with an example</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Illustrate bit stuffing with an example; illustrate SR ARQ by taking a suitable example.</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 Q3B; Jan 2022 Q4-OR</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6–8 · CO2 · BL3–BL4</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Two-line definition, then spend most of the space on a worked example or timeline.</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Why is X required? + enumerate</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Why is framing required at the data link layer? Give reasons and explain any three header fields.</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Dec 2025 Q2b</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6 · CO1 · BL2</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Give 2–3 reasons, then exactly three fields with a one-line purpose each.</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Numerical with assumed data</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Cables and ports for a 5-device mesh; draw the frequency domain of a composite signal.</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 Q3A; Jan 2022 Q8; QB Q19–22, Q38–39</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3–4 · CO1–2 · BL3</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Formula → substitution → answer → neat sketch. State assumptions (papers say “assume suitable data”).</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Define briefly</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Define network topology, broadcast, bandwidth, analog signal, etc.</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Q1(a–m)</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1–3 each</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2–3 lines each plus a one-word example.</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Explain in detail + advantages / disadvantages</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Explain mesh / star / bus / ring topology; explain circuit / message / packet switching.</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Q2–5, Q56–58</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5–8</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Principle, diagram, 3–4 advantages, 3–4 disadvantages.</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Same template, new numbers</w:t>
            </w:r>
          </w:p>
        </w:tc>
        <w:tc>
          <w:tcPr>
            <w:tcW w:type="dxa" w:w="4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 Q8 (100 kHz, 150 kHz, 10 V) is QB Q20 (200 kHz, 140 kHz, 20 V) with new values.</w:t>
            </w:r>
          </w:p>
        </w:tc>
        <w:tc>
          <w:tcPr>
            <w:tcW w:type="dxa" w:w="3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 Q8 vs QB Q20</w:t>
            </w:r>
          </w:p>
        </w:tc>
        <w:tc>
          <w:tcPr>
            <w:tcW w:type="dxa" w:w="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w:t>
            </w:r>
          </w:p>
        </w:tc>
        <w:tc>
          <w:tcPr>
            <w:tcW w:type="dxa" w:w="3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Solve every QB numerical, then re-solve with changed values. Across the finals, Hamming (4/4 papers), IP block (3/4), fragmentation (2/4) and routing table (2/4) were also reused with new numbers.</w:t>
            </w:r>
          </w:p>
        </w:tc>
      </w:tr>
    </w:tbl>
    <w:p>
      <w:pPr>
        <w:pStyle w:val="Heading2"/>
        <w:keepNext/>
        <w:spacing w:after="80" w:before="200"/>
      </w:pPr>
      <w:r>
        <w:rPr>
          <w:rFonts w:ascii="Arial" w:cs="Arial" w:eastAsia="Arial" w:hAnsi="Arial"/>
        </w:rPr>
        <w:t xml:space="preserve">3.2 Paper-structure observations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3600"/>
        <w:gridCol w:w="11800"/>
      </w:tblGrid>
      <w:tr>
        <w:trPr>
          <w:cantSplit/>
          <w:tblHeader/>
        </w:trPr>
        <w:tc>
          <w:tcPr>
            <w:tcW w:type="dxa" w:w="36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Observation</w:t>
            </w:r>
          </w:p>
        </w:tc>
        <w:tc>
          <w:tcPr>
            <w:tcW w:type="dxa" w:w="118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Detail</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Where sessional topics sit</w:t>
            </w:r>
          </w:p>
        </w:tc>
        <w:tc>
          <w:tcPr>
            <w:tcW w:type="dxa" w:w="1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all three 100-mark papers they fall in Section I (Q1–Q3); Section II (Q4–Q6) has none. In the 50-mark Jan 2022 paper they are Q1, Q4 (OR) and Q8.</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Choice</w:t>
            </w:r>
          </w:p>
        </w:tc>
        <w:tc>
          <w:tcPr>
            <w:tcW w:type="dxa" w:w="1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The 100-mark papers are fully compulsory (no optional questions). Only the 2-hour Jan 2022 paper offered OR options (Q4, Q5).</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Mark blocks</w:t>
            </w:r>
          </w:p>
        </w:tc>
        <w:tc>
          <w:tcPr>
            <w:tcW w:type="dxa" w:w="1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Sub-questions carry 3, 4, 6 or 8 marks. The opening Q1 is usually two 8-mark parts; Q2 is usually three 6-mark parts.</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Difficulty level</w:t>
            </w:r>
          </w:p>
        </w:tc>
        <w:tc>
          <w:tcPr>
            <w:tcW w:type="dxa" w:w="1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Mostly CO1–CO2 and BL2–BL3 (understand / apply). “Justify” questions rise to BL4–BL5 (Jan 2022 Q4 is BL4; Jan 2023 Q1B is BL5).</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bCs/>
                <w:sz w:val="19"/>
                <w:szCs w:val="19"/>
              </w:rPr>
              <w:t xml:space="preserve">Diagrams expected</w:t>
            </w:r>
          </w:p>
        </w:tc>
        <w:tc>
          <w:tcPr>
            <w:tcW w:type="dxa" w:w="118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Almost every in-scope question needs a diagram or worked example: topology sketches, ARQ timelines, stuffing example, signal spectrum.</w:t>
            </w:r>
          </w:p>
        </w:tc>
      </w:tr>
    </w:tbl>
    <w:p>
      <w:pPr>
        <w:pStyle w:val="Heading1"/>
        <w:keepNext/>
        <w:spacing w:after="120" w:before="280"/>
      </w:pPr>
      <w:r>
        <w:rPr>
          <w:rFonts w:ascii="Arial" w:cs="Arial" w:eastAsia="Arial" w:hAnsi="Arial"/>
        </w:rPr>
        <w:t xml:space="preserve">4. Quick-Answer Key for the Numericals (verify against your own working)</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3400"/>
        <w:gridCol w:w="9000"/>
        <w:gridCol w:w="3000"/>
      </w:tblGrid>
      <w:tr>
        <w:trPr>
          <w:cantSplit/>
          <w:tblHeader/>
        </w:trPr>
        <w:tc>
          <w:tcPr>
            <w:tcW w:type="dxa" w:w="34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Question</w:t>
            </w:r>
          </w:p>
        </w:tc>
        <w:tc>
          <w:tcPr>
            <w:tcW w:type="dxa" w:w="90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Working</w:t>
            </w:r>
          </w:p>
        </w:tc>
        <w:tc>
          <w:tcPr>
            <w:tcW w:type="dxa" w:w="30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Answer</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 Q3A — 5-device mesh: cables and ports</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Cables = n(n−1)/2 = 5×4/2. Each device needs n−1 = 4 ports; total ports = 5×4.</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10 cables; 4 ports per device (20 in total)</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 Q8 — bandwidth 100 kHz, middle 150 kHz, peak 10 V</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f_low = 150 − 50 = 100 kHz; f_high = 150 + 50 = 200 kHz. Non-periodic: continuous spectrum, amplitude 0 at both edges.</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Bandwidth 100 kHz; curve from 100 to 200 kHz peaking at 10 V at 150 kHz</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Q19 — five sine waves at 100, 300, 500, 700, 900 Hz</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Bandwidth = f_high − f_low = 900 − 100. Draw five vertical lines of height 10 V.</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800 Hz</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Q20 — bandwidth 200 kHz, middle 140 kHz, peak 20 V</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f_low = 140 − 100 = 40 kHz; f_high = 140 + 100 = 240 kHz; amplitude 0 at the two extremes.</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Spectrum 40–240 kHz, peak 20 V at 140 kHz</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Q21 — digital signal with 8 levels</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Bits per level = log2(8).</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3 bits per level</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Q22 — 100 pages per minute</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Assume 24 lines × 80 characters × 8 bits = 15,360 bits per page; ×100 pages = 1,536,000 bits per minute; ÷60 s.</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25,600 bps = 25.6 kbps (state the assumption)</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Q38 — Selective Repeat, maximum sequence number 15</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Sequence numbers 0–15 means 16 numbers, so m = 4. Window = 2^(m−1).</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Sender = receiver = 8</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QB Q39 — Go-Back-N, maximum sequence number 15</w:t>
            </w:r>
          </w:p>
        </w:tc>
        <w:tc>
          <w:tcPr>
            <w:tcW w:type="dxa" w:w="9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m = 4. Sender window = 2^m − 1; receiver window = 1.</w:t>
            </w:r>
          </w:p>
        </w:tc>
        <w:tc>
          <w:tcPr>
            <w:tcW w:type="dxa" w:w="3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Sender 15, receiver 1</w:t>
            </w:r>
          </w:p>
        </w:tc>
      </w:tr>
    </w:tbl>
    <w:p>
      <w:pPr>
        <w:pStyle w:val="Heading1"/>
        <w:keepNext/>
        <w:spacing w:after="120" w:before="280"/>
      </w:pPr>
      <w:r>
        <w:rPr>
          <w:rFonts w:ascii="Arial" w:cs="Arial" w:eastAsia="Arial" w:hAnsi="Arial"/>
        </w:rPr>
        <w:t xml:space="preserve">Appendix A — Past-paper questions mapped to your sessional scope</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000"/>
        <w:gridCol w:w="900"/>
        <w:gridCol w:w="3300"/>
        <w:gridCol w:w="2800"/>
      </w:tblGrid>
      <w:tr>
        <w:trPr>
          <w:cantSplit/>
          <w:tblHeader/>
        </w:trPr>
        <w:tc>
          <w:tcPr>
            <w:tcW w:type="dxa" w:w="15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Paper</w:t>
            </w:r>
          </w:p>
        </w:tc>
        <w:tc>
          <w:tcPr>
            <w:tcW w:type="dxa" w:w="9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Q</w:t>
            </w:r>
          </w:p>
        </w:tc>
        <w:tc>
          <w:tcPr>
            <w:tcW w:type="dxa" w:w="60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Question (condensed)</w:t>
            </w:r>
          </w:p>
        </w:tc>
        <w:tc>
          <w:tcPr>
            <w:tcW w:type="dxa" w:w="9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Marks</w:t>
            </w:r>
          </w:p>
        </w:tc>
        <w:tc>
          <w:tcPr>
            <w:tcW w:type="dxa" w:w="33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Topic</w:t>
            </w:r>
          </w:p>
        </w:tc>
        <w:tc>
          <w:tcPr>
            <w:tcW w:type="dxa" w:w="28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Scope status</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Key characteristics of PAN, LAN, MAN and WAN</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Network categories</w:t>
            </w:r>
          </w:p>
        </w:tc>
        <w:tc>
          <w:tcPr>
            <w:tcW w:type="dxa" w:w="2800"/>
            <w:tcBorders>
              <w:top w:val="single" w:color="8C8C8C" w:sz="4"/>
              <w:left w:val="single" w:color="8C8C8C" w:sz="4"/>
              <w:bottom w:val="single" w:color="8C8C8C" w:sz="4"/>
              <w:right w:val="single" w:color="8C8C8C" w:sz="4"/>
            </w:tcBorders>
            <w:shd w:fill="E2EFDA"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scope</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Q4 (OR)</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How Selective Repeat ARQ provides error and flow control; example</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SR ARQ</w:t>
            </w:r>
          </w:p>
        </w:tc>
        <w:tc>
          <w:tcPr>
            <w:tcW w:type="dxa" w:w="2800"/>
            <w:tcBorders>
              <w:top w:val="single" w:color="8C8C8C" w:sz="4"/>
              <w:left w:val="single" w:color="8C8C8C" w:sz="4"/>
              <w:bottom w:val="single" w:color="8C8C8C" w:sz="4"/>
              <w:right w:val="single" w:color="8C8C8C" w:sz="4"/>
            </w:tcBorders>
            <w:shd w:fill="FFF2CC"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Partial (SR briefly in slides)</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2022</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Q8</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Composite signal: bandwidth 100 kHz, middle frequency 150 kHz, peak 10 V; draw frequency domain</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3</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Bandwidth numerical</w:t>
            </w:r>
          </w:p>
        </w:tc>
        <w:tc>
          <w:tcPr>
            <w:tcW w:type="dxa" w:w="2800"/>
            <w:tcBorders>
              <w:top w:val="single" w:color="8C8C8C" w:sz="4"/>
              <w:left w:val="single" w:color="8C8C8C" w:sz="4"/>
              <w:bottom w:val="single" w:color="8C8C8C" w:sz="4"/>
              <w:right w:val="single" w:color="8C8C8C" w:sz="4"/>
            </w:tcBorders>
            <w:shd w:fill="E2EFDA"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scope</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Q1B</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Why SR ARQ performs better than Go-Back-N; diagram and critical comments</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SR vs GBN</w:t>
            </w:r>
          </w:p>
        </w:tc>
        <w:tc>
          <w:tcPr>
            <w:tcW w:type="dxa" w:w="2800"/>
            <w:tcBorders>
              <w:top w:val="single" w:color="8C8C8C" w:sz="4"/>
              <w:left w:val="single" w:color="8C8C8C" w:sz="4"/>
              <w:bottom w:val="single" w:color="8C8C8C" w:sz="4"/>
              <w:right w:val="single" w:color="8C8C8C" w:sz="4"/>
            </w:tcBorders>
            <w:shd w:fill="FFF2CC"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Partial (GBN in slides, SR briefly)</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Q2A</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Distinguish unicast, multicast and broadcast</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Core terminology</w:t>
            </w:r>
          </w:p>
        </w:tc>
        <w:tc>
          <w:tcPr>
            <w:tcW w:type="dxa" w:w="2800"/>
            <w:tcBorders>
              <w:top w:val="single" w:color="8C8C8C" w:sz="4"/>
              <w:left w:val="single" w:color="8C8C8C" w:sz="4"/>
              <w:bottom w:val="single" w:color="8C8C8C" w:sz="4"/>
              <w:right w:val="single" w:color="8C8C8C" w:sz="4"/>
            </w:tcBorders>
            <w:shd w:fill="FFF2CC"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Partial (only broadcast in slides)</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Q3A</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Cables and ports needed for 5 devices in mesh topology</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4</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Topology numerical</w:t>
            </w:r>
          </w:p>
        </w:tc>
        <w:tc>
          <w:tcPr>
            <w:tcW w:type="dxa" w:w="2800"/>
            <w:tcBorders>
              <w:top w:val="single" w:color="8C8C8C" w:sz="4"/>
              <w:left w:val="single" w:color="8C8C8C" w:sz="4"/>
              <w:bottom w:val="single" w:color="8C8C8C" w:sz="4"/>
              <w:right w:val="single" w:color="8C8C8C" w:sz="4"/>
            </w:tcBorders>
            <w:shd w:fill="E2EFDA"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scope</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2023</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Q3B</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Illustrate bit stuffing with an example</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Framing</w:t>
            </w:r>
          </w:p>
        </w:tc>
        <w:tc>
          <w:tcPr>
            <w:tcW w:type="dxa" w:w="2800"/>
            <w:tcBorders>
              <w:top w:val="single" w:color="8C8C8C" w:sz="4"/>
              <w:left w:val="single" w:color="8C8C8C" w:sz="4"/>
              <w:bottom w:val="single" w:color="8C8C8C" w:sz="4"/>
              <w:right w:val="single" w:color="8C8C8C" w:sz="4"/>
            </w:tcBorders>
            <w:shd w:fill="E2EFDA"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scope</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2025</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Q1b</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Differentiate Star, Bus, Mesh, Ring topologies with diagrams</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Topologies</w:t>
            </w:r>
          </w:p>
        </w:tc>
        <w:tc>
          <w:tcPr>
            <w:tcW w:type="dxa" w:w="2800"/>
            <w:tcBorders>
              <w:top w:val="single" w:color="8C8C8C" w:sz="4"/>
              <w:left w:val="single" w:color="8C8C8C" w:sz="4"/>
              <w:bottom w:val="single" w:color="8C8C8C" w:sz="4"/>
              <w:right w:val="single" w:color="8C8C8C" w:sz="4"/>
            </w:tcBorders>
            <w:shd w:fill="E2EFDA"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scope</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Jan 2025</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Q2c</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Why SR ARQ performs better than Go-Back-N; diagram and critical comments</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SR vs GBN</w:t>
            </w:r>
          </w:p>
        </w:tc>
        <w:tc>
          <w:tcPr>
            <w:tcW w:type="dxa" w:w="2800"/>
            <w:tcBorders>
              <w:top w:val="single" w:color="8C8C8C" w:sz="4"/>
              <w:left w:val="single" w:color="8C8C8C" w:sz="4"/>
              <w:bottom w:val="single" w:color="8C8C8C" w:sz="4"/>
              <w:right w:val="single" w:color="8C8C8C" w:sz="4"/>
            </w:tcBorders>
            <w:shd w:fill="FFF2CC"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Partial (GBN in slides, SR briefly)</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Dec 2025</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Q1a</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Key functions of Application layer and Data Link layer (OSI)</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8</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Layer functions</w:t>
            </w:r>
          </w:p>
        </w:tc>
        <w:tc>
          <w:tcPr>
            <w:tcW w:type="dxa" w:w="2800"/>
            <w:tcBorders>
              <w:top w:val="single" w:color="8C8C8C" w:sz="4"/>
              <w:left w:val="single" w:color="8C8C8C" w:sz="4"/>
              <w:bottom w:val="single" w:color="8C8C8C" w:sz="4"/>
              <w:right w:val="single" w:color="8C8C8C" w:sz="4"/>
            </w:tcBorders>
            <w:shd w:fill="FFF2CC"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Partial (data-link half only)</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Dec 2025</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Q2b</w:t>
            </w:r>
          </w:p>
        </w:tc>
        <w:tc>
          <w:tcPr>
            <w:tcW w:type="dxa" w:w="60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Why framing is required at the data link layer; any three header fields</w:t>
            </w:r>
          </w:p>
        </w:tc>
        <w:tc>
          <w:tcPr>
            <w:tcW w:type="dxa" w:w="9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center"/>
            </w:pPr>
            <w:r>
              <w:rPr>
                <w:rFonts w:ascii="Arial" w:cs="Arial" w:eastAsia="Arial" w:hAnsi="Arial"/>
                <w:b w:val="false"/>
                <w:bCs w:val="false"/>
                <w:sz w:val="19"/>
                <w:szCs w:val="19"/>
              </w:rPr>
              <w:t xml:space="preserve">6</w:t>
            </w:r>
          </w:p>
        </w:tc>
        <w:tc>
          <w:tcPr>
            <w:tcW w:type="dxa" w:w="33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Framing</w:t>
            </w:r>
          </w:p>
        </w:tc>
        <w:tc>
          <w:tcPr>
            <w:tcW w:type="dxa" w:w="2800"/>
            <w:tcBorders>
              <w:top w:val="single" w:color="8C8C8C" w:sz="4"/>
              <w:left w:val="single" w:color="8C8C8C" w:sz="4"/>
              <w:bottom w:val="single" w:color="8C8C8C" w:sz="4"/>
              <w:right w:val="single" w:color="8C8C8C" w:sz="4"/>
            </w:tcBorders>
            <w:shd w:fill="E2EFDA" w:color="auto" w:val="clear"/>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 scope</w:t>
            </w:r>
          </w:p>
        </w:tc>
      </w:tr>
    </w:tbl>
    <w:p>
      <w:pPr>
        <w:spacing w:after="120" w:before="60"/>
      </w:pPr>
      <w:r>
        <w:rPr>
          <w:rFonts w:ascii="Arial" w:cs="Arial" w:eastAsia="Arial" w:hAnsi="Arial"/>
          <w:b w:val="false"/>
          <w:bCs w:val="false"/>
          <w:i/>
          <w:iCs/>
          <w:color w:val="595959"/>
          <w:sz w:val="17"/>
          <w:szCs w:val="17"/>
        </w:rPr>
        <w:t xml:space="preserve">All other past-paper questions (OSI layers, MAC protocols, Hamming code, IP addressing and fragmentation, routing tables, TCP, DNS, VPN, ICMP, ARP/RARP, digital signature, fibre optic cable, bridge vs router) fall outside your sessional slides and are excluded from the analysis.</w:t>
      </w:r>
    </w:p>
    <w:p>
      <w:pPr>
        <w:pStyle w:val="Heading1"/>
        <w:keepNext/>
        <w:spacing w:after="120" w:before="280"/>
      </w:pPr>
      <w:r>
        <w:rPr>
          <w:rFonts w:ascii="Arial" w:cs="Arial" w:eastAsia="Arial" w:hAnsi="Arial"/>
        </w:rPr>
        <w:t xml:space="preserve">Appendix B — Question Bank items with no matching slides in your deck</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7600"/>
      </w:tblGrid>
      <w:tr>
        <w:trPr>
          <w:cantSplit/>
          <w:tblHeader/>
        </w:trPr>
        <w:tc>
          <w:tcPr>
            <w:tcW w:type="dxa" w:w="22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QB items</w:t>
            </w:r>
          </w:p>
        </w:tc>
        <w:tc>
          <w:tcPr>
            <w:tcW w:type="dxa" w:w="56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Topics</w:t>
            </w:r>
          </w:p>
        </w:tc>
        <w:tc>
          <w:tcPr>
            <w:tcW w:type="dxa" w:w="7600"/>
            <w:tcBorders>
              <w:top w:val="single" w:color="8C8C8C" w:sz="4"/>
              <w:left w:val="single" w:color="8C8C8C" w:sz="4"/>
              <w:bottom w:val="single" w:color="8C8C8C" w:sz="4"/>
              <w:right w:val="single" w:color="8C8C8C" w:sz="4"/>
            </w:tcBorders>
            <w:shd w:fill="1F3864" w:color="auto" w:val="clear"/>
            <w:tcMar>
              <w:top w:type="dxa" w:w="60"/>
              <w:left w:type="dxa" w:w="100"/>
              <w:bottom w:type="dxa" w:w="40"/>
              <w:right w:type="dxa" w:w="100"/>
            </w:tcMar>
            <w:vAlign w:val="top"/>
          </w:tcPr>
          <w:p>
            <w:pPr>
              <w:spacing w:after="40" w:before="0"/>
              <w:jc w:val="left"/>
            </w:pPr>
            <w:r>
              <w:rPr>
                <w:rFonts w:ascii="Arial" w:cs="Arial" w:eastAsia="Arial" w:hAnsi="Arial"/>
                <w:b/>
                <w:bCs/>
                <w:color w:val="FFFFFF"/>
                <w:sz w:val="19"/>
                <w:szCs w:val="19"/>
              </w:rPr>
              <w:t xml:space="preserve">Status</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Q10–Q18</w:t>
            </w:r>
          </w:p>
        </w:tc>
        <w:tc>
          <w:tcPr>
            <w:tcW w:type="dxa" w:w="5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Layers / protocols / interfaces, design issues, connection-oriented vs connectionless, reliable vs unreliable service, OSI and TCP/IP models, standardisation</w:t>
            </w:r>
          </w:p>
        </w:tc>
        <w:tc>
          <w:tcPr>
            <w:tcW w:type="dxa" w:w="7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 slides cover these. OSI appears in 3 of 4 past papers, so if your faculty included it in the sessional, add it to your plan.</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Q24–Q29</w:t>
            </w:r>
          </w:p>
        </w:tc>
        <w:tc>
          <w:tcPr>
            <w:tcW w:type="dxa" w:w="5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Internet checksum, CRC, Hamming code</w:t>
            </w:r>
          </w:p>
        </w:tc>
        <w:tc>
          <w:tcPr>
            <w:tcW w:type="dxa" w:w="7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Error detection and correction is not in the deck (Hamming appears in all 4 papers). Confirm with faculty.</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Q40–Q54</w:t>
            </w:r>
          </w:p>
        </w:tc>
        <w:tc>
          <w:tcPr>
            <w:tcW w:type="dxa" w:w="5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ALOHA, CSMA / CD / CA, controlled access, channelization (FDMA, TDMA, CDMA)</w:t>
            </w:r>
          </w:p>
        </w:tc>
        <w:tc>
          <w:tcPr>
            <w:tcW w:type="dxa" w:w="7600"/>
            <w:tcBorders>
              <w:top w:val="single" w:color="8C8C8C" w:sz="4"/>
              <w:left w:val="single" w:color="8C8C8C" w:sz="4"/>
              <w:bottom w:val="single" w:color="8C8C8C" w:sz="4"/>
              <w:right w:val="single" w:color="8C8C8C" w:sz="4"/>
            </w:tcBorders>
            <w:tcMar>
              <w:top w:type="dxa" w:w="60"/>
              <w:left w:type="dxa" w:w="100"/>
              <w:bottom w:type="dxa" w:w="40"/>
              <w:right w:type="dxa" w:w="100"/>
            </w:tcMar>
            <w:vAlign w:val="top"/>
          </w:tcPr>
          <w:p>
            <w:pPr>
              <w:spacing w:after="40" w:before="0"/>
              <w:jc w:val="left"/>
            </w:pPr>
            <w:r>
              <w:rPr>
                <w:rFonts w:ascii="Arial" w:cs="Arial" w:eastAsia="Arial" w:hAnsi="Arial"/>
                <w:b w:val="false"/>
                <w:bCs w:val="false"/>
                <w:sz w:val="19"/>
                <w:szCs w:val="19"/>
              </w:rPr>
              <w:t xml:space="preserve">Not in the deck (medium access control). FDM / TDM are only mentioned in the circuit-switching slide.</w:t>
            </w:r>
          </w:p>
        </w:tc>
      </w:tr>
    </w:tbl>
    <w:sectPr>
      <w:footerReference w:type="default" r:id="rId7"/>
      <w:pgSz w:w="16838" w:h="11906" w:orient="landscape"/>
      <w:pgMar w:top="720" w:right="719" w:bottom="720" w:left="71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Computer Networks · Sessional Exam Analysis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Sessional Exam Analysis</dc:title>
  <dc:creator>Claude</dc:creator>
  <cp:lastModifiedBy>Un-named</cp:lastModifiedBy>
  <cp:revision>1</cp:revision>
  <dcterms:created xsi:type="dcterms:W3CDTF">2026-10-03T07:19:04.901Z</dcterms:created>
  <dcterms:modified xsi:type="dcterms:W3CDTF">2026-10-03T07:19:04.901Z</dcterms:modified>
</cp:coreProperties>
</file>

<file path=docProps/custom.xml><?xml version="1.0" encoding="utf-8"?>
<Properties xmlns="http://schemas.openxmlformats.org/officeDocument/2006/custom-properties" xmlns:vt="http://schemas.openxmlformats.org/officeDocument/2006/docPropsVTypes"/>
</file>