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55A428">
      <w:pPr>
        <w:jc w:val="left"/>
        <w:rPr>
          <w:rFonts w:ascii="黑体" w:hAnsi="黑体" w:eastAsia="黑体"/>
          <w:sz w:val="32"/>
          <w:szCs w:val="32"/>
        </w:rPr>
      </w:pPr>
      <w:bookmarkStart w:id="0" w:name="_GoBack"/>
      <w:bookmarkEnd w:id="0"/>
      <w:r>
        <w:rPr>
          <w:rFonts w:hint="eastAsia" w:ascii="黑体" w:hAnsi="黑体" w:eastAsia="黑体"/>
          <w:sz w:val="32"/>
          <w:szCs w:val="32"/>
        </w:rPr>
        <w:t>附件1</w:t>
      </w:r>
    </w:p>
    <w:p w14:paraId="1995124E">
      <w:pPr>
        <w:jc w:val="center"/>
        <w:rPr>
          <w:rFonts w:ascii="方正小标宋简体" w:eastAsia="方正小标宋简体"/>
          <w:sz w:val="36"/>
          <w:szCs w:val="36"/>
        </w:rPr>
      </w:pPr>
      <w:r>
        <w:rPr>
          <w:rFonts w:hint="eastAsia" w:ascii="华文中宋" w:hAnsi="华文中宋" w:eastAsia="华文中宋" w:cs="华文中宋"/>
          <w:sz w:val="36"/>
          <w:szCs w:val="36"/>
        </w:rPr>
        <w:t>外</w:t>
      </w:r>
      <w:r>
        <w:rPr>
          <w:rFonts w:hint="eastAsia" w:ascii="华文中宋" w:hAnsi="华文中宋" w:eastAsia="华文中宋" w:cs="华文中宋"/>
          <w:sz w:val="36"/>
          <w:szCs w:val="36"/>
          <w:lang w:eastAsia="zh"/>
          <w:woUserID w:val="1"/>
        </w:rPr>
        <w:t>部系统接入</w:t>
      </w:r>
      <w:r>
        <w:rPr>
          <w:rFonts w:hint="eastAsia" w:ascii="华文中宋" w:hAnsi="华文中宋" w:eastAsia="华文中宋" w:cs="华文中宋"/>
          <w:sz w:val="36"/>
          <w:szCs w:val="36"/>
        </w:rPr>
        <w:t>承诺书</w:t>
      </w:r>
    </w:p>
    <w:p w14:paraId="02A7B1A5">
      <w:pPr>
        <w:spacing w:line="440" w:lineRule="exact"/>
        <w:ind w:firstLine="640" w:firstLineChars="200"/>
        <w:rPr>
          <w:rFonts w:ascii="仿宋" w:hAnsi="仿宋" w:eastAsia="仿宋"/>
          <w:sz w:val="32"/>
          <w:szCs w:val="32"/>
        </w:rPr>
      </w:pPr>
      <w:r>
        <w:rPr>
          <w:rFonts w:hint="eastAsia" w:ascii="仿宋" w:hAnsi="仿宋" w:eastAsia="仿宋"/>
          <w:sz w:val="32"/>
          <w:szCs w:val="32"/>
          <w:lang w:eastAsia="zh"/>
          <w:woUserID w:val="4"/>
        </w:rPr>
        <w:t>因交易需要，</w:t>
      </w:r>
      <w:r>
        <w:rPr>
          <w:rFonts w:hint="eastAsia" w:ascii="仿宋" w:hAnsi="仿宋" w:eastAsia="仿宋"/>
          <w:sz w:val="32"/>
          <w:szCs w:val="32"/>
        </w:rPr>
        <w:t xml:space="preserve">本人/本单位（客户名称：             </w:t>
      </w:r>
    </w:p>
    <w:p w14:paraId="071E9CE4">
      <w:pPr>
        <w:spacing w:line="440" w:lineRule="exact"/>
        <w:rPr>
          <w:rFonts w:ascii="仿宋" w:hAnsi="仿宋" w:eastAsia="仿宋"/>
          <w:sz w:val="32"/>
          <w:szCs w:val="32"/>
        </w:rPr>
      </w:pPr>
      <w:r>
        <w:rPr>
          <w:rFonts w:hint="eastAsia" w:ascii="仿宋" w:hAnsi="仿宋" w:eastAsia="仿宋"/>
          <w:sz w:val="32"/>
          <w:szCs w:val="32"/>
        </w:rPr>
        <w:t>客户号：         ）现申请将</w:t>
      </w:r>
      <w:r>
        <w:rPr>
          <w:rFonts w:ascii="仿宋" w:hAnsi="仿宋" w:eastAsia="仿宋"/>
          <w:sz w:val="32"/>
          <w:szCs w:val="32"/>
        </w:rPr>
        <w:t xml:space="preserve">___________________ </w:t>
      </w:r>
      <w:r>
        <w:rPr>
          <w:rFonts w:hint="eastAsia" w:ascii="仿宋" w:hAnsi="仿宋" w:eastAsia="仿宋"/>
          <w:sz w:val="32"/>
          <w:szCs w:val="32"/>
        </w:rPr>
        <w:t>软件(APPID：</w:t>
      </w:r>
      <w:r>
        <w:rPr>
          <w:rFonts w:ascii="仿宋" w:hAnsi="仿宋" w:eastAsia="仿宋"/>
          <w:sz w:val="32"/>
          <w:szCs w:val="32"/>
        </w:rPr>
        <w:t>________</w:t>
      </w:r>
      <w:r>
        <w:rPr>
          <w:rFonts w:hint="eastAsia" w:ascii="仿宋" w:hAnsi="仿宋" w:eastAsia="仿宋"/>
          <w:sz w:val="32"/>
          <w:szCs w:val="32"/>
        </w:rPr>
        <w:t>）接入</w:t>
      </w:r>
      <w:r>
        <w:rPr>
          <w:rFonts w:hint="eastAsia" w:ascii="仿宋" w:hAnsi="仿宋" w:eastAsia="仿宋"/>
          <w:sz w:val="32"/>
          <w:szCs w:val="32"/>
          <w:lang w:eastAsia="zh-CN"/>
        </w:rPr>
        <w:t>安粮期货</w:t>
      </w:r>
      <w:r>
        <w:rPr>
          <w:rFonts w:hint="eastAsia" w:ascii="仿宋" w:hAnsi="仿宋" w:eastAsia="仿宋"/>
          <w:sz w:val="32"/>
          <w:szCs w:val="32"/>
        </w:rPr>
        <w:t>股份有限公司（以下简称“</w:t>
      </w:r>
      <w:r>
        <w:rPr>
          <w:rFonts w:hint="eastAsia" w:ascii="仿宋" w:hAnsi="仿宋" w:eastAsia="仿宋"/>
          <w:sz w:val="32"/>
          <w:szCs w:val="32"/>
          <w:lang w:eastAsia="zh-CN"/>
        </w:rPr>
        <w:t>安粮期货</w:t>
      </w:r>
      <w:r>
        <w:rPr>
          <w:rFonts w:hint="eastAsia" w:ascii="仿宋" w:hAnsi="仿宋" w:eastAsia="仿宋"/>
          <w:sz w:val="32"/>
          <w:szCs w:val="32"/>
        </w:rPr>
        <w:t>”）交易系统，为保障业务合规开展，降低业务风险，作出以下承诺：</w:t>
      </w:r>
    </w:p>
    <w:p w14:paraId="1F4BACF9">
      <w:pPr>
        <w:spacing w:line="440" w:lineRule="exact"/>
        <w:ind w:firstLine="640" w:firstLineChars="200"/>
        <w:rPr>
          <w:rFonts w:ascii="仿宋" w:hAnsi="仿宋" w:eastAsia="仿宋"/>
          <w:sz w:val="32"/>
          <w:szCs w:val="32"/>
        </w:rPr>
      </w:pPr>
      <w:r>
        <w:rPr>
          <w:rFonts w:hint="eastAsia" w:ascii="仿宋" w:hAnsi="仿宋" w:eastAsia="仿宋"/>
          <w:sz w:val="32"/>
          <w:szCs w:val="32"/>
        </w:rPr>
        <w:t>一、知悉并遵守中国证监会、期货交易场所及中国期货业协会相关规定，并配合期货公司接受检查或者调查工作，对自身交易行为负有审慎管理义务；</w:t>
      </w:r>
    </w:p>
    <w:p w14:paraId="6841B15D">
      <w:pPr>
        <w:spacing w:line="440" w:lineRule="exact"/>
        <w:ind w:firstLine="640" w:firstLineChars="200"/>
        <w:rPr>
          <w:rFonts w:ascii="仿宋" w:hAnsi="仿宋" w:eastAsia="仿宋"/>
          <w:sz w:val="32"/>
          <w:szCs w:val="32"/>
        </w:rPr>
      </w:pPr>
      <w:r>
        <w:rPr>
          <w:rFonts w:hint="eastAsia" w:ascii="仿宋" w:hAnsi="仿宋" w:eastAsia="仿宋"/>
          <w:sz w:val="32"/>
          <w:szCs w:val="32"/>
        </w:rPr>
        <w:t>二、配合期货公司开展外部系统相关的尽职调查、系统测试、异常情况核查、客户回访等，确保提供的材料真实、准确、完整；如使用非自研系统，将要求第三方配合期货公司开展系统测试；</w:t>
      </w:r>
    </w:p>
    <w:p w14:paraId="21299211">
      <w:pPr>
        <w:spacing w:line="440" w:lineRule="exact"/>
        <w:ind w:firstLine="640" w:firstLineChars="200"/>
        <w:rPr>
          <w:rFonts w:ascii="仿宋" w:hAnsi="仿宋" w:eastAsia="仿宋"/>
          <w:sz w:val="32"/>
          <w:szCs w:val="32"/>
        </w:rPr>
      </w:pPr>
      <w:r>
        <w:rPr>
          <w:rFonts w:hint="eastAsia" w:ascii="仿宋" w:hAnsi="仿宋" w:eastAsia="仿宋"/>
          <w:sz w:val="32"/>
          <w:szCs w:val="32"/>
        </w:rPr>
        <w:t>三、实际使用的外部系统版本、功能、授权认证信息与经期货公司测试的系统一致；</w:t>
      </w:r>
    </w:p>
    <w:p w14:paraId="6197A381">
      <w:pPr>
        <w:spacing w:line="440" w:lineRule="exact"/>
        <w:ind w:firstLine="640" w:firstLineChars="200"/>
        <w:rPr>
          <w:rFonts w:ascii="仿宋" w:hAnsi="仿宋" w:eastAsia="仿宋"/>
          <w:sz w:val="32"/>
          <w:szCs w:val="32"/>
        </w:rPr>
      </w:pPr>
      <w:r>
        <w:rPr>
          <w:rFonts w:hint="eastAsia" w:ascii="仿宋" w:hAnsi="仿宋" w:eastAsia="仿宋"/>
          <w:sz w:val="32"/>
          <w:szCs w:val="32"/>
        </w:rPr>
        <w:t>四、拟启用分账户、子账户功能，或者更换外部系统，或者变更外部系统功能，至少提前五个交易日告知期货公司，并在期货公司重新审查同意后开始使用；</w:t>
      </w:r>
    </w:p>
    <w:p w14:paraId="52282C7C">
      <w:pPr>
        <w:spacing w:line="440" w:lineRule="exact"/>
        <w:ind w:firstLine="640" w:firstLineChars="200"/>
        <w:rPr>
          <w:rFonts w:ascii="仿宋" w:hAnsi="仿宋" w:eastAsia="仿宋"/>
          <w:sz w:val="32"/>
          <w:szCs w:val="32"/>
        </w:rPr>
      </w:pPr>
      <w:r>
        <w:rPr>
          <w:rFonts w:hint="eastAsia" w:ascii="仿宋" w:hAnsi="仿宋" w:eastAsia="仿宋"/>
          <w:sz w:val="32"/>
          <w:szCs w:val="32"/>
        </w:rPr>
        <w:t>五、真实、准确、完整记录外部系统使用情况，妥善保存交易日志；使用分账户、子账户功能期间，每季度向期货公司报告账户交易及管理情况；</w:t>
      </w:r>
    </w:p>
    <w:p w14:paraId="619B95A9">
      <w:pPr>
        <w:spacing w:line="440" w:lineRule="exact"/>
        <w:ind w:firstLine="640" w:firstLineChars="200"/>
        <w:rPr>
          <w:rFonts w:ascii="仿宋" w:hAnsi="仿宋" w:eastAsia="仿宋"/>
          <w:sz w:val="32"/>
          <w:szCs w:val="32"/>
        </w:rPr>
      </w:pPr>
      <w:r>
        <w:rPr>
          <w:rFonts w:hint="eastAsia" w:ascii="仿宋" w:hAnsi="仿宋" w:eastAsia="仿宋"/>
          <w:sz w:val="32"/>
          <w:szCs w:val="32"/>
        </w:rPr>
        <w:t>六、不转让、出借外部系统，或者擅自允许第三方系统接入；</w:t>
      </w:r>
    </w:p>
    <w:p w14:paraId="79DEE2EB">
      <w:pPr>
        <w:spacing w:line="440" w:lineRule="exact"/>
        <w:ind w:firstLine="640" w:firstLineChars="200"/>
        <w:rPr>
          <w:rFonts w:ascii="仿宋" w:hAnsi="仿宋" w:eastAsia="仿宋"/>
          <w:sz w:val="32"/>
          <w:szCs w:val="32"/>
        </w:rPr>
      </w:pPr>
      <w:r>
        <w:rPr>
          <w:rFonts w:hint="eastAsia" w:ascii="仿宋" w:hAnsi="仿宋" w:eastAsia="仿宋"/>
          <w:sz w:val="32"/>
          <w:szCs w:val="32"/>
        </w:rPr>
        <w:t>七、不利用外部系统从事操纵市场、场外配资、出借账户、规避账户实名制、变相居间、非法经营期货业务等违法违规行为；</w:t>
      </w:r>
    </w:p>
    <w:p w14:paraId="40D74D32">
      <w:pPr>
        <w:spacing w:line="440" w:lineRule="exact"/>
        <w:ind w:firstLine="640" w:firstLineChars="200"/>
        <w:rPr>
          <w:rFonts w:ascii="仿宋" w:hAnsi="仿宋" w:eastAsia="仿宋"/>
          <w:sz w:val="32"/>
          <w:szCs w:val="32"/>
        </w:rPr>
      </w:pPr>
      <w:r>
        <w:rPr>
          <w:rFonts w:hint="eastAsia" w:ascii="仿宋" w:hAnsi="仿宋" w:eastAsia="仿宋"/>
          <w:sz w:val="32"/>
          <w:szCs w:val="32"/>
        </w:rPr>
        <w:t>八、确保外部系统安全、合规、可控，不干扰期货市场交易秩序或者影响期货公司交易系统安全；发现系统存在安全漏洞或者被利用实施网络攻击时，及时向期货公司报告；</w:t>
      </w:r>
    </w:p>
    <w:p w14:paraId="7305D1C0">
      <w:pPr>
        <w:spacing w:line="440" w:lineRule="exact"/>
        <w:ind w:firstLine="640" w:firstLineChars="200"/>
        <w:rPr>
          <w:rFonts w:ascii="仿宋" w:hAnsi="仿宋" w:eastAsia="仿宋"/>
          <w:sz w:val="32"/>
          <w:szCs w:val="32"/>
        </w:rPr>
      </w:pPr>
      <w:r>
        <w:rPr>
          <w:rFonts w:hint="eastAsia" w:ascii="仿宋" w:hAnsi="仿宋" w:eastAsia="仿宋"/>
          <w:sz w:val="32"/>
          <w:szCs w:val="32"/>
        </w:rPr>
        <w:t>九、发生《期货公司接入外部信息系统管理规则》规定的异常情形时，协助期货公司核实异常情况，并做出详细说明；</w:t>
      </w:r>
    </w:p>
    <w:p w14:paraId="6258ECC6">
      <w:pPr>
        <w:spacing w:line="440" w:lineRule="exact"/>
        <w:ind w:firstLine="640" w:firstLineChars="200"/>
        <w:rPr>
          <w:rFonts w:ascii="仿宋" w:hAnsi="仿宋" w:eastAsia="仿宋"/>
          <w:sz w:val="32"/>
          <w:szCs w:val="32"/>
          <w:highlight w:val="yellow"/>
        </w:rPr>
      </w:pPr>
      <w:r>
        <w:rPr>
          <w:rFonts w:hint="eastAsia" w:ascii="仿宋" w:hAnsi="仿宋" w:eastAsia="仿宋"/>
          <w:sz w:val="32"/>
          <w:szCs w:val="32"/>
        </w:rPr>
        <w:t>十、经期货公司核实违反上述承诺事项，存在风险或合规隐患的，同意由期货公司采取限制交易、撤销订单、暂停接入、终止服务等措施进行处理。</w:t>
      </w:r>
    </w:p>
    <w:p w14:paraId="4057ADBF">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lang w:val="en-US" w:eastAsia="zh-CN"/>
        </w:rPr>
        <w:t>十一</w:t>
      </w:r>
      <w:r>
        <w:rPr>
          <w:rFonts w:hint="eastAsia" w:ascii="仿宋" w:hAnsi="仿宋" w:eastAsia="仿宋"/>
          <w:sz w:val="32"/>
          <w:szCs w:val="32"/>
          <w:highlight w:val="none"/>
        </w:rPr>
        <w:t>、本人/单位</w:t>
      </w:r>
      <w:r>
        <w:rPr>
          <w:rFonts w:ascii="仿宋" w:hAnsi="仿宋" w:eastAsia="仿宋"/>
          <w:sz w:val="32"/>
          <w:szCs w:val="32"/>
          <w:highlight w:val="none"/>
        </w:rPr>
        <w:t>保证</w:t>
      </w:r>
      <w:r>
        <w:rPr>
          <w:rFonts w:hint="eastAsia" w:ascii="仿宋" w:hAnsi="仿宋" w:eastAsia="仿宋"/>
          <w:sz w:val="32"/>
          <w:szCs w:val="32"/>
          <w:highlight w:val="none"/>
        </w:rPr>
        <w:t>申请的外部</w:t>
      </w:r>
      <w:r>
        <w:rPr>
          <w:rFonts w:hint="eastAsia" w:ascii="仿宋" w:hAnsi="仿宋" w:eastAsia="仿宋"/>
          <w:sz w:val="32"/>
          <w:szCs w:val="32"/>
          <w:highlight w:val="none"/>
          <w:lang w:eastAsia="zh"/>
          <w:woUserID w:val="1"/>
        </w:rPr>
        <w:t>系统</w:t>
      </w:r>
      <w:r>
        <w:rPr>
          <w:rFonts w:ascii="仿宋" w:hAnsi="仿宋" w:eastAsia="仿宋"/>
          <w:sz w:val="32"/>
          <w:szCs w:val="32"/>
          <w:highlight w:val="none"/>
        </w:rPr>
        <w:t>不存在</w:t>
      </w:r>
      <w:r>
        <w:rPr>
          <w:rFonts w:hint="eastAsia" w:ascii="仿宋" w:hAnsi="仿宋" w:eastAsia="仿宋"/>
          <w:sz w:val="32"/>
          <w:szCs w:val="32"/>
          <w:highlight w:val="none"/>
        </w:rPr>
        <w:t>任何</w:t>
      </w:r>
      <w:r>
        <w:rPr>
          <w:rFonts w:ascii="仿宋" w:hAnsi="仿宋" w:eastAsia="仿宋"/>
          <w:sz w:val="32"/>
          <w:szCs w:val="32"/>
          <w:highlight w:val="none"/>
        </w:rPr>
        <w:t>知识产权纠纷，也不存在任何</w:t>
      </w:r>
      <w:r>
        <w:rPr>
          <w:rFonts w:hint="eastAsia" w:ascii="仿宋" w:hAnsi="仿宋" w:eastAsia="仿宋"/>
          <w:sz w:val="32"/>
          <w:szCs w:val="32"/>
          <w:highlight w:val="none"/>
        </w:rPr>
        <w:t>关于</w:t>
      </w:r>
      <w:r>
        <w:rPr>
          <w:rFonts w:ascii="仿宋" w:hAnsi="仿宋" w:eastAsia="仿宋"/>
          <w:sz w:val="32"/>
          <w:szCs w:val="32"/>
          <w:highlight w:val="none"/>
        </w:rPr>
        <w:t>拥有</w:t>
      </w:r>
      <w:r>
        <w:rPr>
          <w:rFonts w:hint="eastAsia" w:ascii="仿宋" w:hAnsi="仿宋" w:eastAsia="仿宋"/>
          <w:sz w:val="32"/>
          <w:szCs w:val="32"/>
          <w:highlight w:val="none"/>
        </w:rPr>
        <w:t>此外部</w:t>
      </w:r>
      <w:r>
        <w:rPr>
          <w:rFonts w:hint="eastAsia" w:ascii="仿宋" w:hAnsi="仿宋" w:eastAsia="仿宋"/>
          <w:sz w:val="32"/>
          <w:szCs w:val="32"/>
          <w:highlight w:val="none"/>
          <w:lang w:eastAsia="zh"/>
          <w:woUserID w:val="1"/>
        </w:rPr>
        <w:t>系统</w:t>
      </w:r>
      <w:r>
        <w:rPr>
          <w:rFonts w:ascii="仿宋" w:hAnsi="仿宋" w:eastAsia="仿宋"/>
          <w:sz w:val="32"/>
          <w:szCs w:val="32"/>
          <w:highlight w:val="none"/>
        </w:rPr>
        <w:t>使用权的未决诉讼。</w:t>
      </w:r>
    </w:p>
    <w:p w14:paraId="09C9552C">
      <w:pPr>
        <w:pStyle w:val="13"/>
        <w:spacing w:line="440" w:lineRule="exact"/>
        <w:ind w:firstLine="640"/>
        <w:rPr>
          <w:rFonts w:ascii="仿宋" w:hAnsi="仿宋" w:eastAsia="仿宋"/>
          <w:sz w:val="32"/>
          <w:szCs w:val="32"/>
          <w:highlight w:val="none"/>
        </w:rPr>
      </w:pPr>
      <w:r>
        <w:rPr>
          <w:rFonts w:hint="eastAsia" w:ascii="仿宋" w:hAnsi="仿宋" w:eastAsia="仿宋"/>
          <w:sz w:val="32"/>
          <w:szCs w:val="32"/>
          <w:highlight w:val="none"/>
          <w:lang w:val="en-US" w:eastAsia="zh-CN"/>
        </w:rPr>
        <w:t>十二</w:t>
      </w:r>
      <w:r>
        <w:rPr>
          <w:rFonts w:hint="eastAsia" w:ascii="仿宋" w:hAnsi="仿宋" w:eastAsia="仿宋"/>
          <w:sz w:val="32"/>
          <w:szCs w:val="32"/>
          <w:highlight w:val="none"/>
        </w:rPr>
        <w:t>、若本人/单位的身份信息、策略类型、程序化交易技术配置参数、服务器所在地址以及联络人等信息将发生变化时，本人/单位将提前</w:t>
      </w:r>
      <w:r>
        <w:rPr>
          <w:rFonts w:ascii="仿宋" w:hAnsi="仿宋" w:eastAsia="仿宋"/>
          <w:sz w:val="32"/>
          <w:szCs w:val="32"/>
          <w:highlight w:val="none"/>
        </w:rPr>
        <w:t>5个工作日</w:t>
      </w:r>
      <w:r>
        <w:rPr>
          <w:rFonts w:hint="eastAsia" w:ascii="仿宋" w:hAnsi="仿宋" w:eastAsia="仿宋"/>
          <w:sz w:val="32"/>
          <w:szCs w:val="32"/>
          <w:highlight w:val="none"/>
        </w:rPr>
        <w:t>以书面形式向</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提供变化后的信息；若本人/单位对已通过测试的外部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进行重大变更或升级时</w:t>
      </w:r>
      <w:r>
        <w:rPr>
          <w:rFonts w:ascii="仿宋" w:hAnsi="仿宋" w:eastAsia="仿宋"/>
          <w:sz w:val="32"/>
          <w:szCs w:val="32"/>
          <w:highlight w:val="none"/>
        </w:rPr>
        <w:t>，</w:t>
      </w:r>
      <w:r>
        <w:rPr>
          <w:rFonts w:hint="eastAsia" w:ascii="仿宋" w:hAnsi="仿宋" w:eastAsia="仿宋"/>
          <w:sz w:val="32"/>
          <w:szCs w:val="32"/>
          <w:highlight w:val="none"/>
        </w:rPr>
        <w:t>本人/单位将</w:t>
      </w:r>
      <w:r>
        <w:rPr>
          <w:rFonts w:ascii="仿宋" w:hAnsi="仿宋" w:eastAsia="仿宋"/>
          <w:sz w:val="32"/>
          <w:szCs w:val="32"/>
          <w:highlight w:val="none"/>
        </w:rPr>
        <w:t>在</w:t>
      </w:r>
      <w:r>
        <w:rPr>
          <w:rFonts w:hint="eastAsia" w:ascii="仿宋" w:hAnsi="仿宋" w:eastAsia="仿宋"/>
          <w:sz w:val="32"/>
          <w:szCs w:val="32"/>
          <w:highlight w:val="none"/>
        </w:rPr>
        <w:t>外部</w:t>
      </w:r>
      <w:r>
        <w:rPr>
          <w:rFonts w:hint="eastAsia" w:ascii="仿宋" w:hAnsi="仿宋" w:eastAsia="仿宋"/>
          <w:sz w:val="32"/>
          <w:szCs w:val="32"/>
          <w:highlight w:val="none"/>
          <w:lang w:eastAsia="zh"/>
          <w:woUserID w:val="1"/>
        </w:rPr>
        <w:t>系统</w:t>
      </w:r>
      <w:r>
        <w:rPr>
          <w:rFonts w:ascii="仿宋" w:hAnsi="仿宋" w:eastAsia="仿宋"/>
          <w:sz w:val="32"/>
          <w:szCs w:val="32"/>
          <w:highlight w:val="none"/>
        </w:rPr>
        <w:t>变更或升级前至少5个工作日告知</w:t>
      </w:r>
      <w:r>
        <w:rPr>
          <w:rFonts w:hint="eastAsia" w:ascii="仿宋" w:hAnsi="仿宋" w:eastAsia="仿宋"/>
          <w:sz w:val="32"/>
          <w:szCs w:val="32"/>
          <w:highlight w:val="none"/>
          <w:lang w:eastAsia="zh-CN"/>
        </w:rPr>
        <w:t>安粮期货</w:t>
      </w:r>
      <w:r>
        <w:rPr>
          <w:rFonts w:ascii="仿宋" w:hAnsi="仿宋" w:eastAsia="仿宋"/>
          <w:sz w:val="32"/>
          <w:szCs w:val="32"/>
          <w:highlight w:val="none"/>
        </w:rPr>
        <w:t>，并提交升级后的名称、版本号、升级内容说明等资料。</w:t>
      </w:r>
      <w:r>
        <w:rPr>
          <w:rFonts w:hint="eastAsia" w:ascii="仿宋" w:hAnsi="仿宋" w:eastAsia="仿宋"/>
          <w:sz w:val="32"/>
          <w:szCs w:val="32"/>
          <w:highlight w:val="none"/>
        </w:rPr>
        <w:t>若</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认为需要重新进行测试或风险评估的，本人/单位予以配合。</w:t>
      </w:r>
    </w:p>
    <w:p w14:paraId="159C88A9">
      <w:pPr>
        <w:spacing w:line="440" w:lineRule="exact"/>
        <w:ind w:firstLine="640" w:firstLineChars="200"/>
        <w:rPr>
          <w:rFonts w:hint="eastAsia" w:ascii="仿宋" w:hAnsi="仿宋" w:eastAsia="仿宋"/>
          <w:sz w:val="32"/>
          <w:szCs w:val="32"/>
          <w:highlight w:val="none"/>
        </w:rPr>
      </w:pPr>
      <w:r>
        <w:rPr>
          <w:rFonts w:hint="eastAsia" w:ascii="仿宋" w:hAnsi="仿宋" w:eastAsia="仿宋"/>
          <w:sz w:val="32"/>
          <w:szCs w:val="32"/>
          <w:highlight w:val="none"/>
          <w:lang w:val="en-US" w:eastAsia="zh-CN"/>
        </w:rPr>
        <w:t>十三</w:t>
      </w:r>
      <w:r>
        <w:rPr>
          <w:rFonts w:hint="eastAsia" w:ascii="仿宋" w:hAnsi="仿宋" w:eastAsia="仿宋"/>
          <w:sz w:val="32"/>
          <w:szCs w:val="32"/>
          <w:highlight w:val="none"/>
        </w:rPr>
        <w:t>、若本人/单位暂停或终止使用外部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时，将提前</w:t>
      </w:r>
      <w:r>
        <w:rPr>
          <w:rFonts w:ascii="仿宋" w:hAnsi="仿宋" w:eastAsia="仿宋"/>
          <w:sz w:val="32"/>
          <w:szCs w:val="32"/>
          <w:highlight w:val="none"/>
        </w:rPr>
        <w:t>5个工作日</w:t>
      </w:r>
      <w:r>
        <w:rPr>
          <w:rFonts w:hint="eastAsia" w:ascii="仿宋" w:hAnsi="仿宋" w:eastAsia="仿宋"/>
          <w:sz w:val="32"/>
          <w:szCs w:val="32"/>
          <w:highlight w:val="none"/>
        </w:rPr>
        <w:t>以书面形式告知</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w:t>
      </w:r>
    </w:p>
    <w:p w14:paraId="7F0097A4">
      <w:pPr>
        <w:spacing w:line="440" w:lineRule="exact"/>
        <w:ind w:firstLine="640" w:firstLineChars="200"/>
        <w:rPr>
          <w:rFonts w:hint="default" w:ascii="仿宋" w:hAnsi="仿宋" w:eastAsia="仿宋"/>
          <w:sz w:val="32"/>
          <w:szCs w:val="32"/>
          <w:highlight w:val="none"/>
        </w:rPr>
      </w:pPr>
      <w:r>
        <w:rPr>
          <w:rFonts w:hint="eastAsia" w:ascii="仿宋" w:hAnsi="仿宋" w:eastAsia="仿宋"/>
          <w:sz w:val="32"/>
          <w:szCs w:val="32"/>
          <w:highlight w:val="none"/>
          <w:lang w:val="en-US" w:eastAsia="zh-CN"/>
        </w:rPr>
        <w:t>十四、本人/本单位承诺，外部系统符合账户实名制要求，不擅自使用分账户、子账户功能。如需启用，将提前至少五个交易日告知期货公司，并在期货公司重新组织测试、审查并同意后开始使用。</w:t>
      </w:r>
    </w:p>
    <w:p w14:paraId="44B247D5">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lang w:val="en-US" w:eastAsia="zh-CN"/>
        </w:rPr>
        <w:t>十五</w:t>
      </w:r>
      <w:r>
        <w:rPr>
          <w:rFonts w:hint="eastAsia" w:ascii="仿宋" w:hAnsi="仿宋" w:eastAsia="仿宋"/>
          <w:sz w:val="32"/>
          <w:szCs w:val="32"/>
          <w:highlight w:val="none"/>
        </w:rPr>
        <w:t>、本人/单位承诺</w:t>
      </w:r>
      <w:r>
        <w:rPr>
          <w:rFonts w:ascii="仿宋" w:hAnsi="仿宋" w:eastAsia="仿宋"/>
          <w:sz w:val="32"/>
          <w:szCs w:val="32"/>
          <w:highlight w:val="none"/>
        </w:rPr>
        <w:t>外</w:t>
      </w:r>
      <w:r>
        <w:rPr>
          <w:rFonts w:hint="eastAsia" w:ascii="仿宋" w:hAnsi="仿宋" w:eastAsia="仿宋"/>
          <w:sz w:val="32"/>
          <w:szCs w:val="32"/>
          <w:highlight w:val="none"/>
        </w:rPr>
        <w:t>部</w:t>
      </w:r>
      <w:r>
        <w:rPr>
          <w:rFonts w:hint="eastAsia" w:ascii="仿宋" w:hAnsi="仿宋" w:eastAsia="仿宋"/>
          <w:sz w:val="32"/>
          <w:szCs w:val="32"/>
          <w:highlight w:val="none"/>
          <w:lang w:eastAsia="zh"/>
          <w:woUserID w:val="1"/>
        </w:rPr>
        <w:t>系统</w:t>
      </w:r>
      <w:r>
        <w:rPr>
          <w:rFonts w:ascii="仿宋" w:hAnsi="仿宋" w:eastAsia="仿宋"/>
          <w:sz w:val="32"/>
          <w:szCs w:val="32"/>
          <w:highlight w:val="none"/>
        </w:rPr>
        <w:t>接受</w:t>
      </w:r>
      <w:r>
        <w:rPr>
          <w:rFonts w:hint="eastAsia" w:ascii="仿宋" w:hAnsi="仿宋" w:eastAsia="仿宋"/>
          <w:sz w:val="32"/>
          <w:szCs w:val="32"/>
          <w:highlight w:val="none"/>
          <w:lang w:eastAsia="zh-CN"/>
        </w:rPr>
        <w:t>安粮期货</w:t>
      </w:r>
      <w:r>
        <w:rPr>
          <w:rFonts w:ascii="仿宋" w:hAnsi="仿宋" w:eastAsia="仿宋"/>
          <w:sz w:val="32"/>
          <w:szCs w:val="32"/>
          <w:highlight w:val="none"/>
        </w:rPr>
        <w:t>业务审查和风控评估，接受并配合中国证监会及其派出机构等监管机构和自律机构的延伸检查。</w:t>
      </w:r>
    </w:p>
    <w:p w14:paraId="3DA25722">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lang w:val="en-US" w:eastAsia="zh-CN"/>
        </w:rPr>
        <w:t>十六</w:t>
      </w:r>
      <w:r>
        <w:rPr>
          <w:rFonts w:hint="eastAsia" w:ascii="仿宋" w:hAnsi="仿宋" w:eastAsia="仿宋"/>
          <w:sz w:val="32"/>
          <w:szCs w:val="32"/>
          <w:highlight w:val="none"/>
        </w:rPr>
        <w:t>、本人/单位承诺外部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发送的指令应当符合相关交易所的规定，并且指令的发送频率应控制在合理范围之内，不利用该外部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进行不合理的高频操作、重复操作。</w:t>
      </w:r>
    </w:p>
    <w:p w14:paraId="350A7307">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lang w:val="en-US" w:eastAsia="zh-CN"/>
        </w:rPr>
        <w:t>十七</w:t>
      </w:r>
      <w:r>
        <w:rPr>
          <w:rFonts w:hint="eastAsia" w:ascii="仿宋" w:hAnsi="仿宋" w:eastAsia="仿宋"/>
          <w:sz w:val="32"/>
          <w:szCs w:val="32"/>
          <w:highlight w:val="none"/>
        </w:rPr>
        <w:t>、本人/单位承诺</w:t>
      </w:r>
      <w:r>
        <w:rPr>
          <w:rFonts w:ascii="仿宋" w:hAnsi="仿宋" w:eastAsia="仿宋"/>
          <w:sz w:val="32"/>
          <w:szCs w:val="32"/>
          <w:highlight w:val="none"/>
        </w:rPr>
        <w:t>当</w:t>
      </w:r>
      <w:r>
        <w:rPr>
          <w:rFonts w:hint="eastAsia" w:ascii="仿宋" w:hAnsi="仿宋" w:eastAsia="仿宋"/>
          <w:sz w:val="32"/>
          <w:szCs w:val="32"/>
          <w:highlight w:val="none"/>
        </w:rPr>
        <w:t>外部</w:t>
      </w:r>
      <w:r>
        <w:rPr>
          <w:rFonts w:hint="eastAsia" w:ascii="仿宋" w:hAnsi="仿宋" w:eastAsia="仿宋"/>
          <w:sz w:val="32"/>
          <w:szCs w:val="32"/>
          <w:highlight w:val="none"/>
          <w:lang w:eastAsia="zh"/>
          <w:woUserID w:val="1"/>
        </w:rPr>
        <w:t>系统</w:t>
      </w:r>
      <w:r>
        <w:rPr>
          <w:rFonts w:ascii="仿宋" w:hAnsi="仿宋" w:eastAsia="仿宋"/>
          <w:sz w:val="32"/>
          <w:szCs w:val="32"/>
          <w:highlight w:val="none"/>
        </w:rPr>
        <w:t>出现异常时，及时通知</w:t>
      </w:r>
      <w:r>
        <w:rPr>
          <w:rFonts w:hint="eastAsia" w:ascii="仿宋" w:hAnsi="仿宋" w:eastAsia="仿宋"/>
          <w:sz w:val="32"/>
          <w:szCs w:val="32"/>
          <w:highlight w:val="none"/>
          <w:lang w:eastAsia="zh-CN"/>
        </w:rPr>
        <w:t>安粮期货</w:t>
      </w:r>
      <w:r>
        <w:rPr>
          <w:rFonts w:ascii="仿宋" w:hAnsi="仿宋" w:eastAsia="仿宋"/>
          <w:sz w:val="32"/>
          <w:szCs w:val="32"/>
          <w:highlight w:val="none"/>
        </w:rPr>
        <w:t>，双方协作对问题进行分析排查，如需要调取日志信息时均采用书面形式申请，并接受</w:t>
      </w:r>
      <w:r>
        <w:rPr>
          <w:rFonts w:hint="eastAsia" w:ascii="仿宋" w:hAnsi="仿宋" w:eastAsia="仿宋"/>
          <w:sz w:val="32"/>
          <w:szCs w:val="32"/>
          <w:highlight w:val="none"/>
          <w:lang w:eastAsia="zh-CN"/>
        </w:rPr>
        <w:t>安粮期货</w:t>
      </w:r>
      <w:r>
        <w:rPr>
          <w:rFonts w:ascii="仿宋" w:hAnsi="仿宋" w:eastAsia="仿宋"/>
          <w:sz w:val="32"/>
          <w:szCs w:val="32"/>
          <w:highlight w:val="none"/>
        </w:rPr>
        <w:t>采取的应急处理措施。</w:t>
      </w:r>
    </w:p>
    <w:p w14:paraId="11BE16F4">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rPr>
        <w:t>十</w:t>
      </w:r>
      <w:r>
        <w:rPr>
          <w:rFonts w:hint="eastAsia" w:ascii="仿宋" w:hAnsi="仿宋" w:eastAsia="仿宋"/>
          <w:sz w:val="32"/>
          <w:szCs w:val="32"/>
          <w:highlight w:val="none"/>
          <w:lang w:val="en-US" w:eastAsia="zh-CN"/>
        </w:rPr>
        <w:t>八</w:t>
      </w:r>
      <w:r>
        <w:rPr>
          <w:rFonts w:hint="eastAsia" w:ascii="仿宋" w:hAnsi="仿宋" w:eastAsia="仿宋"/>
          <w:sz w:val="32"/>
          <w:szCs w:val="32"/>
          <w:highlight w:val="none"/>
        </w:rPr>
        <w:t>、本人/单位承诺</w:t>
      </w:r>
      <w:r>
        <w:rPr>
          <w:rFonts w:hint="eastAsia" w:ascii="仿宋" w:hAnsi="仿宋" w:eastAsia="仿宋"/>
          <w:sz w:val="32"/>
          <w:szCs w:val="32"/>
          <w:highlight w:val="none"/>
          <w:lang w:eastAsia="zh"/>
          <w:woUserID w:val="1"/>
        </w:rPr>
        <w:t>外接客户</w:t>
      </w:r>
      <w:r>
        <w:rPr>
          <w:rFonts w:ascii="仿宋" w:hAnsi="仿宋" w:eastAsia="仿宋"/>
          <w:sz w:val="32"/>
          <w:szCs w:val="32"/>
          <w:highlight w:val="none"/>
        </w:rPr>
        <w:t>不对</w:t>
      </w:r>
      <w:r>
        <w:rPr>
          <w:rFonts w:hint="eastAsia" w:ascii="仿宋" w:hAnsi="仿宋" w:eastAsia="仿宋"/>
          <w:sz w:val="32"/>
          <w:szCs w:val="32"/>
          <w:highlight w:val="none"/>
        </w:rPr>
        <w:t>自身</w:t>
      </w:r>
      <w:r>
        <w:rPr>
          <w:rFonts w:ascii="仿宋" w:hAnsi="仿宋" w:eastAsia="仿宋"/>
          <w:sz w:val="32"/>
          <w:szCs w:val="32"/>
          <w:highlight w:val="none"/>
        </w:rPr>
        <w:t>账户之外的</w:t>
      </w:r>
      <w:r>
        <w:rPr>
          <w:rFonts w:hint="eastAsia" w:ascii="仿宋" w:hAnsi="仿宋" w:eastAsia="仿宋"/>
          <w:sz w:val="32"/>
          <w:szCs w:val="32"/>
          <w:highlight w:val="none"/>
        </w:rPr>
        <w:t>账</w:t>
      </w:r>
      <w:r>
        <w:rPr>
          <w:rFonts w:ascii="仿宋" w:hAnsi="仿宋" w:eastAsia="仿宋"/>
          <w:sz w:val="32"/>
          <w:szCs w:val="32"/>
          <w:highlight w:val="none"/>
        </w:rPr>
        <w:t>户进行信息查询、密码探测、暴力破解、恶意锁定、DDOS 攻击等非法活动。不利用技术或其</w:t>
      </w:r>
      <w:r>
        <w:rPr>
          <w:rFonts w:hint="eastAsia" w:ascii="仿宋" w:hAnsi="仿宋" w:eastAsia="仿宋"/>
          <w:sz w:val="32"/>
          <w:szCs w:val="32"/>
          <w:highlight w:val="none"/>
        </w:rPr>
        <w:t>它</w:t>
      </w:r>
      <w:r>
        <w:rPr>
          <w:rFonts w:ascii="仿宋" w:hAnsi="仿宋" w:eastAsia="仿宋"/>
          <w:sz w:val="32"/>
          <w:szCs w:val="32"/>
          <w:highlight w:val="none"/>
        </w:rPr>
        <w:t>手段，攻击</w:t>
      </w:r>
      <w:r>
        <w:rPr>
          <w:rFonts w:hint="eastAsia" w:ascii="仿宋" w:hAnsi="仿宋" w:eastAsia="仿宋"/>
          <w:sz w:val="32"/>
          <w:szCs w:val="32"/>
          <w:highlight w:val="none"/>
          <w:lang w:eastAsia="zh-CN"/>
        </w:rPr>
        <w:t>安粮期货</w:t>
      </w:r>
      <w:r>
        <w:rPr>
          <w:rFonts w:ascii="仿宋" w:hAnsi="仿宋" w:eastAsia="仿宋"/>
          <w:sz w:val="32"/>
          <w:szCs w:val="32"/>
          <w:highlight w:val="none"/>
        </w:rPr>
        <w:t>网站，破坏</w:t>
      </w:r>
      <w:r>
        <w:rPr>
          <w:rFonts w:hint="eastAsia" w:ascii="仿宋" w:hAnsi="仿宋" w:eastAsia="仿宋"/>
          <w:sz w:val="32"/>
          <w:szCs w:val="32"/>
          <w:highlight w:val="none"/>
          <w:lang w:eastAsia="zh-CN"/>
        </w:rPr>
        <w:t>安粮期货</w:t>
      </w:r>
      <w:r>
        <w:rPr>
          <w:rFonts w:ascii="仿宋" w:hAnsi="仿宋" w:eastAsia="仿宋"/>
          <w:sz w:val="32"/>
          <w:szCs w:val="32"/>
          <w:highlight w:val="none"/>
        </w:rPr>
        <w:t>交易系统。</w:t>
      </w:r>
    </w:p>
    <w:p w14:paraId="65663066">
      <w:pPr>
        <w:spacing w:line="440" w:lineRule="exact"/>
        <w:ind w:firstLine="640" w:firstLineChars="200"/>
        <w:rPr>
          <w:rFonts w:ascii="仿宋" w:hAnsi="仿宋" w:eastAsia="仿宋"/>
          <w:color w:val="auto"/>
          <w:sz w:val="32"/>
          <w:szCs w:val="32"/>
          <w:highlight w:val="none"/>
        </w:rPr>
      </w:pPr>
      <w:r>
        <w:rPr>
          <w:rFonts w:hint="eastAsia" w:ascii="仿宋" w:hAnsi="仿宋" w:eastAsia="仿宋"/>
          <w:sz w:val="32"/>
          <w:szCs w:val="32"/>
          <w:highlight w:val="none"/>
        </w:rPr>
        <w:t>十</w:t>
      </w:r>
      <w:r>
        <w:rPr>
          <w:rFonts w:hint="eastAsia" w:ascii="仿宋" w:hAnsi="仿宋" w:eastAsia="仿宋"/>
          <w:sz w:val="32"/>
          <w:szCs w:val="32"/>
          <w:highlight w:val="none"/>
          <w:lang w:val="en-US" w:eastAsia="zh-CN"/>
        </w:rPr>
        <w:t>九</w:t>
      </w:r>
      <w:r>
        <w:rPr>
          <w:rFonts w:hint="eastAsia" w:ascii="仿宋" w:hAnsi="仿宋" w:eastAsia="仿宋"/>
          <w:sz w:val="32"/>
          <w:szCs w:val="32"/>
          <w:highlight w:val="none"/>
        </w:rPr>
        <w:t>、本人/单位承诺对系统</w:t>
      </w:r>
      <w:r>
        <w:rPr>
          <w:rFonts w:hint="eastAsia" w:ascii="仿宋" w:hAnsi="仿宋" w:eastAsia="仿宋"/>
          <w:color w:val="auto"/>
          <w:sz w:val="32"/>
          <w:szCs w:val="32"/>
          <w:highlight w:val="none"/>
        </w:rPr>
        <w:t>开发及部署等阶段获知的</w:t>
      </w:r>
      <w:r>
        <w:rPr>
          <w:rFonts w:hint="eastAsia" w:ascii="仿宋" w:hAnsi="仿宋" w:eastAsia="仿宋"/>
          <w:color w:val="auto"/>
          <w:sz w:val="32"/>
          <w:szCs w:val="32"/>
          <w:highlight w:val="none"/>
          <w:lang w:eastAsia="zh-CN"/>
        </w:rPr>
        <w:t>安粮期货</w:t>
      </w:r>
      <w:r>
        <w:rPr>
          <w:rFonts w:hint="eastAsia" w:ascii="仿宋" w:hAnsi="仿宋" w:eastAsia="仿宋"/>
          <w:color w:val="auto"/>
          <w:sz w:val="32"/>
          <w:szCs w:val="32"/>
          <w:highlight w:val="none"/>
        </w:rPr>
        <w:t>系统接口信息严格保密，不将</w:t>
      </w:r>
      <w:r>
        <w:rPr>
          <w:rFonts w:hint="eastAsia" w:ascii="仿宋" w:hAnsi="仿宋" w:eastAsia="仿宋"/>
          <w:color w:val="auto"/>
          <w:sz w:val="32"/>
          <w:szCs w:val="32"/>
          <w:highlight w:val="none"/>
          <w:lang w:eastAsia="zh-CN"/>
        </w:rPr>
        <w:t>安粮期货</w:t>
      </w:r>
      <w:r>
        <w:rPr>
          <w:rFonts w:hint="eastAsia" w:ascii="仿宋" w:hAnsi="仿宋" w:eastAsia="仿宋"/>
          <w:color w:val="auto"/>
          <w:sz w:val="32"/>
          <w:szCs w:val="32"/>
          <w:highlight w:val="none"/>
        </w:rPr>
        <w:t>系统接口信息泄露给第三方单位或者个人。</w:t>
      </w:r>
    </w:p>
    <w:p w14:paraId="2B5E8503">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lang w:val="en-US" w:eastAsia="zh-CN"/>
        </w:rPr>
        <w:t>二十</w:t>
      </w:r>
      <w:r>
        <w:rPr>
          <w:rFonts w:hint="eastAsia" w:ascii="仿宋" w:hAnsi="仿宋" w:eastAsia="仿宋"/>
          <w:sz w:val="32"/>
          <w:szCs w:val="32"/>
          <w:highlight w:val="none"/>
        </w:rPr>
        <w:t>、本人/单位承诺</w:t>
      </w:r>
      <w:r>
        <w:rPr>
          <w:rFonts w:ascii="仿宋" w:hAnsi="仿宋" w:eastAsia="仿宋"/>
          <w:sz w:val="32"/>
          <w:szCs w:val="32"/>
          <w:highlight w:val="none"/>
        </w:rPr>
        <w:t>不将境内交易系统与境外计算机相连接，受境外计算机远程控制。</w:t>
      </w:r>
    </w:p>
    <w:p w14:paraId="3248072B">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lang w:val="en-US" w:eastAsia="zh-CN"/>
        </w:rPr>
        <w:t>二十一</w:t>
      </w:r>
      <w:r>
        <w:rPr>
          <w:rFonts w:hint="eastAsia" w:ascii="仿宋" w:hAnsi="仿宋" w:eastAsia="仿宋"/>
          <w:sz w:val="32"/>
          <w:szCs w:val="32"/>
          <w:highlight w:val="none"/>
        </w:rPr>
        <w:t>、本人/单位承诺</w:t>
      </w:r>
      <w:r>
        <w:rPr>
          <w:rFonts w:ascii="仿宋" w:hAnsi="仿宋" w:eastAsia="仿宋"/>
          <w:sz w:val="32"/>
          <w:szCs w:val="32"/>
          <w:highlight w:val="none"/>
        </w:rPr>
        <w:t>不违反我国期货交易管理制度、各期货交易所的交易规则、反洗钱制度以及</w:t>
      </w:r>
      <w:r>
        <w:rPr>
          <w:rFonts w:hint="eastAsia" w:ascii="仿宋" w:hAnsi="仿宋" w:eastAsia="仿宋"/>
          <w:sz w:val="32"/>
          <w:szCs w:val="32"/>
          <w:highlight w:val="none"/>
          <w:lang w:eastAsia="zh-CN"/>
        </w:rPr>
        <w:t>安粮期货</w:t>
      </w:r>
      <w:r>
        <w:rPr>
          <w:rFonts w:ascii="仿宋" w:hAnsi="仿宋" w:eastAsia="仿宋"/>
          <w:sz w:val="32"/>
          <w:szCs w:val="32"/>
          <w:highlight w:val="none"/>
        </w:rPr>
        <w:t>的相关业务规则。</w:t>
      </w:r>
      <w:r>
        <w:rPr>
          <w:rFonts w:hint="eastAsia" w:ascii="仿宋" w:hAnsi="仿宋" w:eastAsia="仿宋"/>
          <w:sz w:val="32"/>
          <w:szCs w:val="32"/>
          <w:highlight w:val="none"/>
        </w:rPr>
        <w:t>如有监管部门审查外部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存在的问题时，</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有权配合监管部门暂时对本人/单位停止外部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，直到监管部门出具最终裁定，</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可以根据结论继续提供或者永久停止本人/单位外部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w:t>
      </w:r>
    </w:p>
    <w:p w14:paraId="07A4AC98">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lang w:val="en-US" w:eastAsia="zh-CN"/>
        </w:rPr>
        <w:t>二十二</w:t>
      </w:r>
      <w:r>
        <w:rPr>
          <w:rFonts w:hint="eastAsia" w:ascii="仿宋" w:hAnsi="仿宋" w:eastAsia="仿宋"/>
          <w:sz w:val="32"/>
          <w:szCs w:val="32"/>
          <w:highlight w:val="none"/>
        </w:rPr>
        <w:t>、若本人/单位外部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发生重大异常，可能影响</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或市场秩序、损害其他投资者合法权益或对</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造成不良影响的，</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采取限制交易量、限制接入、暂停接入、终止接入等措施防范风险，由此造成的一切后果由本人/单位承担。</w:t>
      </w:r>
    </w:p>
    <w:p w14:paraId="1FD4F5F8">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lang w:val="en-US" w:eastAsia="zh-CN"/>
        </w:rPr>
        <w:t>二十三</w:t>
      </w:r>
      <w:r>
        <w:rPr>
          <w:rFonts w:hint="eastAsia" w:ascii="仿宋" w:hAnsi="仿宋" w:eastAsia="仿宋"/>
          <w:sz w:val="32"/>
          <w:szCs w:val="32"/>
          <w:highlight w:val="none"/>
        </w:rPr>
        <w:t>、本人/单位承诺使用或提供的外部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已经按照行业技术测试要求通过测试，如需协会或其他机构评估认证的，该外部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已通过评估认证。并承诺外部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不充当其他方交易接入系统的业务通道。</w:t>
      </w:r>
    </w:p>
    <w:p w14:paraId="655F5F2E">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lang w:val="en-US" w:eastAsia="zh-CN"/>
        </w:rPr>
        <w:t>二十四</w:t>
      </w:r>
      <w:r>
        <w:rPr>
          <w:rFonts w:hint="eastAsia" w:ascii="仿宋" w:hAnsi="仿宋" w:eastAsia="仿宋"/>
          <w:sz w:val="32"/>
          <w:szCs w:val="32"/>
          <w:highlight w:val="none"/>
        </w:rPr>
        <w:t>、本人/单位承诺，</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因监管部门、交易所或期货市场监控中心等要求对外接客户相关信息进行调查和采集的，本人/单位应当提供协助。</w:t>
      </w:r>
    </w:p>
    <w:p w14:paraId="68D1909C">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lang w:val="en-US" w:eastAsia="zh-CN"/>
        </w:rPr>
        <w:t>二十五</w:t>
      </w:r>
      <w:r>
        <w:rPr>
          <w:rFonts w:hint="eastAsia" w:ascii="仿宋" w:hAnsi="仿宋" w:eastAsia="仿宋"/>
          <w:sz w:val="32"/>
          <w:szCs w:val="32"/>
          <w:highlight w:val="none"/>
        </w:rPr>
        <w:t>、本人/单位承诺已知晓并完全理解使用外部</w:t>
      </w:r>
      <w:r>
        <w:rPr>
          <w:rFonts w:hint="eastAsia" w:ascii="仿宋" w:hAnsi="仿宋" w:eastAsia="仿宋"/>
          <w:sz w:val="32"/>
          <w:szCs w:val="32"/>
          <w:highlight w:val="none"/>
          <w:lang w:eastAsia="zh"/>
          <w:woUserID w:val="1"/>
        </w:rPr>
        <w:t>系统接入</w:t>
      </w:r>
      <w:r>
        <w:rPr>
          <w:rFonts w:hint="eastAsia" w:ascii="仿宋" w:hAnsi="仿宋" w:eastAsia="仿宋"/>
          <w:sz w:val="32"/>
          <w:szCs w:val="32"/>
          <w:highlight w:val="none"/>
        </w:rPr>
        <w:t>的各项风险，包括但不限于：</w:t>
      </w:r>
    </w:p>
    <w:p w14:paraId="48B81441">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rPr>
        <w:t>（一）使用外部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，可能会出现某些异常情境（如出现短暂的无法执行下单指令等），影响交易软件正常使用，由此产生的损失和风险，须由本人/单位自行承担。</w:t>
      </w:r>
    </w:p>
    <w:p w14:paraId="6BB38F0A">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rPr>
        <w:t>（二）由于各种非</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所能控制的原因（包括但不限于通讯、系统、网络故障、期货市场监控中心及交易所原因），</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不能完全保证数据的准确性、及时性和稳定性，由此可能影响投资的准确性、及时性和稳定性。</w:t>
      </w:r>
    </w:p>
    <w:p w14:paraId="1C361EBC">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rPr>
        <w:t>（三）</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可能根据本人/单位的外部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运行状况等原因，做出取消本人/单位使用外部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资格的决定；可能因公司自身信息技术系统资源或信息安全等原因，做出停止本人/单位使用外部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的决定。</w:t>
      </w:r>
    </w:p>
    <w:p w14:paraId="0ECDD0A9">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rPr>
        <w:t>（四）</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可能因期货监管部门、交易所或期货市场监控中心等其他监管机构的要求，禁止或限制为客户提供使用外部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服务。</w:t>
      </w:r>
    </w:p>
    <w:p w14:paraId="6A20D3BA">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rPr>
        <w:t>（五）</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可能对使用外部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的交易、审批流程做出必要的调整，流程调整可能对本人/单位带来的一定影响。</w:t>
      </w:r>
    </w:p>
    <w:p w14:paraId="726722E6">
      <w:pPr>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rPr>
        <w:t>（六）</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可能因本人/单位外部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运行异常等原因，限制本人/单位的外部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，以防止对其他客户交易产生影响。</w:t>
      </w:r>
    </w:p>
    <w:p w14:paraId="6AA14898">
      <w:pPr>
        <w:spacing w:line="440" w:lineRule="exact"/>
        <w:ind w:firstLine="640" w:firstLineChars="200"/>
        <w:rPr>
          <w:rFonts w:hint="eastAsia" w:ascii="仿宋" w:hAnsi="仿宋" w:eastAsia="仿宋"/>
          <w:sz w:val="32"/>
          <w:szCs w:val="32"/>
          <w:highlight w:val="none"/>
        </w:rPr>
      </w:pPr>
      <w:r>
        <w:rPr>
          <w:rFonts w:hint="eastAsia" w:ascii="仿宋" w:hAnsi="仿宋" w:eastAsia="仿宋"/>
          <w:sz w:val="32"/>
          <w:szCs w:val="32"/>
          <w:highlight w:val="none"/>
        </w:rPr>
        <w:t>（七）依据</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规定的准入条件，对外部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应当采集并保留客户</w:t>
      </w:r>
      <w:r>
        <w:rPr>
          <w:rFonts w:ascii="仿宋" w:hAnsi="仿宋" w:eastAsia="仿宋"/>
          <w:sz w:val="32"/>
          <w:szCs w:val="32"/>
          <w:highlight w:val="none"/>
        </w:rPr>
        <w:t>IP</w:t>
      </w:r>
      <w:r>
        <w:rPr>
          <w:rFonts w:hint="eastAsia" w:ascii="仿宋" w:hAnsi="仿宋" w:eastAsia="仿宋"/>
          <w:sz w:val="32"/>
          <w:szCs w:val="32"/>
          <w:highlight w:val="none"/>
        </w:rPr>
        <w:t>、</w:t>
      </w:r>
      <w:r>
        <w:rPr>
          <w:rFonts w:ascii="仿宋" w:hAnsi="仿宋" w:eastAsia="仿宋"/>
          <w:sz w:val="32"/>
          <w:szCs w:val="32"/>
          <w:highlight w:val="none"/>
        </w:rPr>
        <w:t>MAC</w:t>
      </w:r>
      <w:r>
        <w:rPr>
          <w:rFonts w:hint="eastAsia" w:ascii="仿宋" w:hAnsi="仿宋" w:eastAsia="仿宋"/>
          <w:sz w:val="32"/>
          <w:szCs w:val="32"/>
          <w:highlight w:val="none"/>
        </w:rPr>
        <w:t>地址等终端信息。</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未来也将可能设定其他必要的准入条件。本人/单位不再符合实施外部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的准入条件的，</w:t>
      </w:r>
      <w:r>
        <w:rPr>
          <w:rFonts w:hint="eastAsia" w:ascii="仿宋" w:hAnsi="仿宋" w:eastAsia="仿宋"/>
          <w:sz w:val="32"/>
          <w:szCs w:val="32"/>
          <w:highlight w:val="none"/>
          <w:lang w:eastAsia="zh-CN"/>
        </w:rPr>
        <w:t>安粮期货</w:t>
      </w:r>
      <w:r>
        <w:rPr>
          <w:rFonts w:hint="eastAsia" w:ascii="仿宋" w:hAnsi="仿宋" w:eastAsia="仿宋"/>
          <w:sz w:val="32"/>
          <w:szCs w:val="32"/>
          <w:highlight w:val="none"/>
        </w:rPr>
        <w:t>可以随时限制本人/单位的外部</w:t>
      </w:r>
      <w:r>
        <w:rPr>
          <w:rFonts w:hint="eastAsia" w:ascii="仿宋" w:hAnsi="仿宋" w:eastAsia="仿宋"/>
          <w:sz w:val="32"/>
          <w:szCs w:val="32"/>
          <w:highlight w:val="none"/>
          <w:lang w:eastAsia="zh"/>
          <w:woUserID w:val="1"/>
        </w:rPr>
        <w:t>系统</w:t>
      </w:r>
      <w:r>
        <w:rPr>
          <w:rFonts w:hint="eastAsia" w:ascii="仿宋" w:hAnsi="仿宋" w:eastAsia="仿宋"/>
          <w:sz w:val="32"/>
          <w:szCs w:val="32"/>
          <w:highlight w:val="none"/>
        </w:rPr>
        <w:t>。</w:t>
      </w:r>
    </w:p>
    <w:p w14:paraId="631DE2EE">
      <w:pPr>
        <w:adjustRightInd/>
        <w:snapToGrid/>
        <w:spacing w:line="440" w:lineRule="exact"/>
        <w:ind w:firstLine="640" w:firstLineChars="200"/>
        <w:rPr>
          <w:rFonts w:ascii="仿宋" w:hAnsi="仿宋" w:eastAsia="仿宋"/>
          <w:sz w:val="32"/>
          <w:szCs w:val="32"/>
          <w:highlight w:val="none"/>
        </w:rPr>
      </w:pPr>
      <w:r>
        <w:rPr>
          <w:rFonts w:hint="eastAsia" w:ascii="仿宋" w:hAnsi="仿宋" w:eastAsia="仿宋"/>
          <w:sz w:val="32"/>
          <w:szCs w:val="32"/>
          <w:highlight w:val="none"/>
          <w:lang w:val="en-US" w:eastAsia="zh-CN"/>
        </w:rPr>
        <w:t>二十六、本人/本单位已阅读并理解本承诺书全部内容，自愿遵守并承担相应法律责任。</w:t>
      </w:r>
    </w:p>
    <w:p w14:paraId="31C346D6">
      <w:pPr>
        <w:adjustRightInd w:val="0"/>
        <w:snapToGrid w:val="0"/>
        <w:spacing w:line="440" w:lineRule="exact"/>
        <w:ind w:firstLine="5120" w:firstLineChars="1600"/>
        <w:rPr>
          <w:rFonts w:ascii="仿宋" w:hAnsi="仿宋" w:eastAsia="仿宋"/>
          <w:sz w:val="32"/>
          <w:szCs w:val="32"/>
        </w:rPr>
      </w:pPr>
      <w:r>
        <w:rPr>
          <w:rFonts w:hint="eastAsia" w:ascii="仿宋" w:hAnsi="仿宋" w:eastAsia="仿宋"/>
          <w:sz w:val="32"/>
          <w:szCs w:val="32"/>
        </w:rPr>
        <w:t xml:space="preserve">客户号： </w:t>
      </w:r>
    </w:p>
    <w:p w14:paraId="22177217">
      <w:pPr>
        <w:pStyle w:val="3"/>
        <w:tabs>
          <w:tab w:val="left" w:pos="6576"/>
        </w:tabs>
        <w:spacing w:before="56" w:line="440" w:lineRule="exact"/>
        <w:ind w:firstLine="640" w:firstLineChars="200"/>
        <w:jc w:val="center"/>
        <w:rPr>
          <w:rFonts w:ascii="仿宋" w:hAnsi="仿宋" w:eastAsia="仿宋"/>
          <w:sz w:val="32"/>
          <w:szCs w:val="32"/>
        </w:rPr>
      </w:pPr>
      <w:r>
        <w:rPr>
          <w:rFonts w:ascii="仿宋" w:hAnsi="仿宋" w:eastAsia="仿宋"/>
          <w:sz w:val="32"/>
          <w:szCs w:val="32"/>
        </w:rPr>
        <w:t xml:space="preserve">                </w:t>
      </w:r>
      <w:r>
        <w:rPr>
          <w:rFonts w:hint="eastAsia" w:ascii="仿宋" w:hAnsi="仿宋" w:eastAsia="仿宋"/>
          <w:sz w:val="32"/>
          <w:szCs w:val="32"/>
        </w:rPr>
        <w:t>承诺人</w:t>
      </w:r>
      <w:r>
        <w:rPr>
          <w:rFonts w:ascii="仿宋" w:hAnsi="仿宋" w:eastAsia="仿宋"/>
          <w:sz w:val="32"/>
          <w:szCs w:val="32"/>
        </w:rPr>
        <w:t>：</w:t>
      </w:r>
    </w:p>
    <w:p w14:paraId="291071FB">
      <w:pPr>
        <w:pStyle w:val="3"/>
        <w:tabs>
          <w:tab w:val="left" w:pos="6576"/>
        </w:tabs>
        <w:spacing w:before="56" w:line="440" w:lineRule="exact"/>
        <w:ind w:firstLine="420" w:firstLineChars="200"/>
        <w:jc w:val="center"/>
        <w:rPr>
          <w:rFonts w:ascii="仿宋" w:hAnsi="仿宋" w:eastAsia="仿宋"/>
          <w:szCs w:val="21"/>
        </w:rPr>
      </w:pPr>
      <w:r>
        <w:rPr>
          <w:rFonts w:hint="eastAsia" w:ascii="黑体" w:eastAsia="黑体"/>
          <w:szCs w:val="21"/>
        </w:rPr>
        <w:t xml:space="preserve"> </w:t>
      </w:r>
      <w:r>
        <w:rPr>
          <w:rFonts w:ascii="黑体" w:eastAsia="黑体"/>
          <w:szCs w:val="21"/>
        </w:rPr>
        <w:t xml:space="preserve">                                </w:t>
      </w:r>
      <w:r>
        <w:rPr>
          <w:rFonts w:ascii="仿宋" w:hAnsi="仿宋" w:eastAsia="仿宋"/>
          <w:szCs w:val="21"/>
        </w:rPr>
        <w:t xml:space="preserve">   </w:t>
      </w:r>
      <w:r>
        <w:rPr>
          <w:rFonts w:hint="eastAsia" w:ascii="仿宋" w:hAnsi="仿宋" w:eastAsia="仿宋"/>
          <w:szCs w:val="21"/>
        </w:rPr>
        <w:t>（自然人签字/机构被授权人签字并盖公章）</w:t>
      </w:r>
    </w:p>
    <w:p w14:paraId="6B151653">
      <w:pPr>
        <w:pStyle w:val="3"/>
        <w:tabs>
          <w:tab w:val="left" w:pos="6576"/>
        </w:tabs>
        <w:spacing w:before="56" w:line="440" w:lineRule="exact"/>
        <w:ind w:firstLine="640" w:firstLineChars="200"/>
        <w:rPr>
          <w:rFonts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 xml:space="preserve">日期： </w:t>
      </w:r>
      <w:r>
        <w:rPr>
          <w:rFonts w:ascii="仿宋" w:hAnsi="仿宋" w:eastAsia="仿宋"/>
          <w:sz w:val="32"/>
          <w:szCs w:val="32"/>
        </w:rPr>
        <w:t xml:space="preserve">  </w:t>
      </w:r>
      <w:r>
        <w:rPr>
          <w:rFonts w:hint="eastAsia" w:ascii="仿宋" w:hAnsi="仿宋" w:eastAsia="仿宋"/>
          <w:sz w:val="32"/>
          <w:szCs w:val="32"/>
        </w:rPr>
        <w:t xml:space="preserve">年 </w:t>
      </w:r>
      <w:r>
        <w:rPr>
          <w:rFonts w:ascii="仿宋" w:hAnsi="仿宋" w:eastAsia="仿宋"/>
          <w:sz w:val="32"/>
          <w:szCs w:val="32"/>
        </w:rPr>
        <w:t xml:space="preserve"> </w:t>
      </w:r>
      <w:r>
        <w:rPr>
          <w:rFonts w:hint="eastAsia" w:ascii="仿宋" w:hAnsi="仿宋" w:eastAsia="仿宋"/>
          <w:sz w:val="32"/>
          <w:szCs w:val="32"/>
        </w:rPr>
        <w:t xml:space="preserve">月 </w:t>
      </w:r>
      <w:r>
        <w:rPr>
          <w:rFonts w:ascii="仿宋" w:hAnsi="仿宋" w:eastAsia="仿宋"/>
          <w:sz w:val="32"/>
          <w:szCs w:val="32"/>
        </w:rPr>
        <w:t xml:space="preserve"> </w:t>
      </w:r>
      <w:r>
        <w:rPr>
          <w:rFonts w:hint="eastAsia" w:ascii="仿宋" w:hAnsi="仿宋" w:eastAsia="仿宋"/>
          <w:sz w:val="32"/>
          <w:szCs w:val="32"/>
        </w:rPr>
        <w:t>日</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altName w:val="黑体"/>
    <w:panose1 w:val="02010601030101010101"/>
    <w:charset w:val="86"/>
    <w:family w:val="script"/>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E0574">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49F789">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749F789">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Y3YTIzY2U0ODkzNTlkZWUyN2ZmZWVjODY5MWViMWYifQ=="/>
  </w:docVars>
  <w:rsids>
    <w:rsidRoot w:val="000E1220"/>
    <w:rsid w:val="00092ABF"/>
    <w:rsid w:val="000E1220"/>
    <w:rsid w:val="000F748C"/>
    <w:rsid w:val="00102B0C"/>
    <w:rsid w:val="00135F1C"/>
    <w:rsid w:val="00267EDF"/>
    <w:rsid w:val="002A1C2E"/>
    <w:rsid w:val="00366A95"/>
    <w:rsid w:val="0037688A"/>
    <w:rsid w:val="003C444E"/>
    <w:rsid w:val="003D1FC7"/>
    <w:rsid w:val="003E07E2"/>
    <w:rsid w:val="003E4B3C"/>
    <w:rsid w:val="00454633"/>
    <w:rsid w:val="00457D7D"/>
    <w:rsid w:val="00491FCB"/>
    <w:rsid w:val="005C6F60"/>
    <w:rsid w:val="005F5C46"/>
    <w:rsid w:val="00625A81"/>
    <w:rsid w:val="006A4039"/>
    <w:rsid w:val="007B0922"/>
    <w:rsid w:val="007C0E12"/>
    <w:rsid w:val="00813AD7"/>
    <w:rsid w:val="008C5E1C"/>
    <w:rsid w:val="009E7FEE"/>
    <w:rsid w:val="009F64AE"/>
    <w:rsid w:val="00A96247"/>
    <w:rsid w:val="00AC549B"/>
    <w:rsid w:val="00B401A4"/>
    <w:rsid w:val="00B510D7"/>
    <w:rsid w:val="00B76684"/>
    <w:rsid w:val="00BB24E6"/>
    <w:rsid w:val="00BE30E5"/>
    <w:rsid w:val="00C14E27"/>
    <w:rsid w:val="00C32801"/>
    <w:rsid w:val="00C93015"/>
    <w:rsid w:val="00E0258C"/>
    <w:rsid w:val="00E75E36"/>
    <w:rsid w:val="00E97A7D"/>
    <w:rsid w:val="00EA1E8B"/>
    <w:rsid w:val="00EC47C3"/>
    <w:rsid w:val="00FB76B5"/>
    <w:rsid w:val="04904FA7"/>
    <w:rsid w:val="079A5E51"/>
    <w:rsid w:val="0A717628"/>
    <w:rsid w:val="0BCB2D68"/>
    <w:rsid w:val="0CAF51BE"/>
    <w:rsid w:val="15716956"/>
    <w:rsid w:val="15861163"/>
    <w:rsid w:val="17CD0B95"/>
    <w:rsid w:val="19B95E7C"/>
    <w:rsid w:val="1D1B536D"/>
    <w:rsid w:val="23B13FEC"/>
    <w:rsid w:val="245C4A4D"/>
    <w:rsid w:val="249E1470"/>
    <w:rsid w:val="27C2743D"/>
    <w:rsid w:val="2DED7D14"/>
    <w:rsid w:val="33022C64"/>
    <w:rsid w:val="3341553A"/>
    <w:rsid w:val="38562E4F"/>
    <w:rsid w:val="3875620A"/>
    <w:rsid w:val="3C5E5F8F"/>
    <w:rsid w:val="3F9D102A"/>
    <w:rsid w:val="41961147"/>
    <w:rsid w:val="46984793"/>
    <w:rsid w:val="4D6B16DA"/>
    <w:rsid w:val="55F12998"/>
    <w:rsid w:val="570326DF"/>
    <w:rsid w:val="5B2578D8"/>
    <w:rsid w:val="66636F9A"/>
    <w:rsid w:val="669B6734"/>
    <w:rsid w:val="67666ECF"/>
    <w:rsid w:val="680E57F2"/>
    <w:rsid w:val="69002279"/>
    <w:rsid w:val="6A2D2C68"/>
    <w:rsid w:val="6CFFB435"/>
    <w:rsid w:val="6F7F2D2E"/>
    <w:rsid w:val="70DF1913"/>
    <w:rsid w:val="71E52F59"/>
    <w:rsid w:val="73FFA4E8"/>
    <w:rsid w:val="798418F1"/>
    <w:rsid w:val="7C7546F0"/>
    <w:rsid w:val="7C8B4D0E"/>
    <w:rsid w:val="7CFE75C5"/>
    <w:rsid w:val="7EFA2231"/>
    <w:rsid w:val="7FDB1640"/>
    <w:rsid w:val="FDFFEDC2"/>
    <w:rsid w:val="FFD393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ody Text"/>
    <w:basedOn w:val="1"/>
    <w:link w:val="11"/>
    <w:unhideWhenUsed/>
    <w:qFormat/>
    <w:uiPriority w:val="99"/>
    <w:pPr>
      <w:spacing w:after="120"/>
    </w:pPr>
    <w:rPr>
      <w:rFonts w:ascii="Calibri" w:hAnsi="Calibri" w:eastAsia="宋体" w:cs="Times New Roman"/>
    </w:rPr>
  </w:style>
  <w:style w:type="paragraph" w:styleId="4">
    <w:name w:val="Balloon Text"/>
    <w:basedOn w:val="1"/>
    <w:link w:val="15"/>
    <w:semiHidden/>
    <w:unhideWhenUsed/>
    <w:qFormat/>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qFormat/>
    <w:uiPriority w:val="99"/>
    <w:rPr>
      <w:sz w:val="18"/>
      <w:szCs w:val="18"/>
    </w:rPr>
  </w:style>
  <w:style w:type="character" w:customStyle="1" w:styleId="11">
    <w:name w:val="正文文本 字符"/>
    <w:basedOn w:val="8"/>
    <w:link w:val="3"/>
    <w:qFormat/>
    <w:uiPriority w:val="99"/>
    <w:rPr>
      <w:rFonts w:ascii="Calibri" w:hAnsi="Calibri" w:eastAsia="宋体" w:cs="Times New Roman"/>
    </w:rPr>
  </w:style>
  <w:style w:type="paragraph" w:styleId="12">
    <w:name w:val="List Paragraph"/>
    <w:basedOn w:val="1"/>
    <w:qFormat/>
    <w:uiPriority w:val="34"/>
    <w:pPr>
      <w:ind w:firstLine="420" w:firstLineChars="200"/>
    </w:pPr>
    <w:rPr>
      <w:rFonts w:ascii="Calibri" w:hAnsi="Calibri" w:eastAsia="宋体" w:cs="Times New Roman"/>
    </w:rPr>
  </w:style>
  <w:style w:type="paragraph" w:customStyle="1" w:styleId="13">
    <w:name w:val="_Style 10"/>
    <w:basedOn w:val="1"/>
    <w:next w:val="12"/>
    <w:qFormat/>
    <w:uiPriority w:val="34"/>
    <w:pPr>
      <w:ind w:firstLine="420" w:firstLineChars="200"/>
    </w:pPr>
    <w:rPr>
      <w:rFonts w:ascii="等线" w:hAnsi="等线" w:eastAsia="等线" w:cs="Times New Roman"/>
    </w:rPr>
  </w:style>
  <w:style w:type="paragraph" w:customStyle="1" w:styleId="14">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5">
    <w:name w:val="批注框文本 字符"/>
    <w:basedOn w:val="8"/>
    <w:link w:val="4"/>
    <w:semiHidden/>
    <w:qFormat/>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247978-63C6-43A9-97DC-F98D369E4ACE}">
  <ds:schemaRefs/>
</ds:datastoreItem>
</file>

<file path=docProps/app.xml><?xml version="1.0" encoding="utf-8"?>
<Properties xmlns="http://schemas.openxmlformats.org/officeDocument/2006/extended-properties" xmlns:vt="http://schemas.openxmlformats.org/officeDocument/2006/docPropsVTypes">
  <Pages>4</Pages>
  <Words>2552</Words>
  <Characters>2588</Characters>
  <Lines>22</Lines>
  <Paragraphs>6</Paragraphs>
  <TotalTime>0</TotalTime>
  <ScaleCrop>false</ScaleCrop>
  <LinksUpToDate>false</LinksUpToDate>
  <CharactersWithSpaces>2700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2022-03-26T11:22:00Z</dcterms:created>
  <dc:creator>李 媛媛</dc:creator>
  <cp:lastModifiedBy>丁丁</cp:lastModifiedBy>
  <dcterms:modified xsi:type="dcterms:W3CDTF">2026-07-14T05:55:54Z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0EA6605645D74B79801C809656020053_13</vt:lpwstr>
  </property>
  <property fmtid="{D5CDD505-2E9C-101B-9397-08002B2CF9AE}" pid="4" name="KSOTemplateDocerSaveRecord">
    <vt:lpwstr>eyJoZGlkIjoiZTQ1Y2JjYTU3YzIzNGE3M2JlZmZjNGM2ZTBlMzdkMzYiLCJ1c2VySWQiOiIxNTMxOTMwMDcxIn0=</vt:lpwstr>
  </property>
</Properties>
</file>