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5C92F">
      <w:pPr>
        <w:jc w:val="center"/>
        <w:rPr>
          <w:rFonts w:hint="eastAsia" w:ascii="华文中宋" w:hAnsi="华文中宋" w:eastAsia="华文中宋" w:cs="华文中宋"/>
          <w:sz w:val="44"/>
          <w:szCs w:val="44"/>
        </w:rPr>
      </w:pPr>
      <w:bookmarkStart w:id="1" w:name="_GoBack"/>
      <w:bookmarkEnd w:id="1"/>
      <w:r>
        <w:rPr>
          <w:rFonts w:hint="eastAsia" w:ascii="华文中宋" w:hAnsi="华文中宋" w:eastAsia="华文中宋" w:cs="华文中宋"/>
          <w:sz w:val="44"/>
          <w:szCs w:val="44"/>
        </w:rPr>
        <w:t>外部</w:t>
      </w:r>
      <w:r>
        <w:rPr>
          <w:rFonts w:hint="eastAsia" w:ascii="华文中宋" w:hAnsi="华文中宋" w:eastAsia="华文中宋" w:cs="华文中宋"/>
          <w:sz w:val="44"/>
          <w:szCs w:val="44"/>
          <w:lang w:eastAsia="zh"/>
          <w:woUserID w:val="1"/>
        </w:rPr>
        <w:t>系统</w:t>
      </w:r>
      <w:r>
        <w:rPr>
          <w:rFonts w:hint="eastAsia" w:ascii="华文中宋" w:hAnsi="华文中宋" w:eastAsia="华文中宋" w:cs="华文中宋"/>
          <w:sz w:val="44"/>
          <w:szCs w:val="44"/>
        </w:rPr>
        <w:t>接入风险提示书</w:t>
      </w:r>
    </w:p>
    <w:p w14:paraId="060C00F2">
      <w:pPr>
        <w:spacing w:line="500" w:lineRule="exac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尊敬的客户：</w:t>
      </w:r>
    </w:p>
    <w:p w14:paraId="6DE8B6FC">
      <w:pPr>
        <w:spacing w:line="500" w:lineRule="exact"/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为保障您的合法权益，请认真阅读本提示书的以下内容：</w:t>
      </w:r>
    </w:p>
    <w:p w14:paraId="17571BEA">
      <w:pPr>
        <w:spacing w:line="500" w:lineRule="exact"/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一、客户接入外部系统并将分账户、子账户提供给不同主体使用的行为，涉嫌违反</w:t>
      </w:r>
      <w:bookmarkStart w:id="0" w:name="_Hlk212115260"/>
      <w:r>
        <w:rPr>
          <w:rFonts w:hint="eastAsia" w:ascii="仿宋" w:hAnsi="仿宋" w:eastAsia="仿宋" w:cs="仿宋"/>
          <w:sz w:val="30"/>
          <w:szCs w:val="30"/>
        </w:rPr>
        <w:t>《中华人民共和国期货和衍生品法》第十八条</w:t>
      </w:r>
      <w:bookmarkEnd w:id="0"/>
      <w:r>
        <w:rPr>
          <w:rFonts w:hint="eastAsia" w:ascii="仿宋" w:hAnsi="仿宋" w:eastAsia="仿宋" w:cs="仿宋"/>
          <w:sz w:val="30"/>
          <w:szCs w:val="30"/>
        </w:rPr>
        <w:t>规定，还可能构成刑事犯罪，通过分账户、子账户发生的全部交易金额可能被认定为非法金融活动金额，相关收入可能将被认定为非法所得予以没收。</w:t>
      </w:r>
    </w:p>
    <w:p w14:paraId="23CDAB6D">
      <w:pPr>
        <w:spacing w:line="500" w:lineRule="exact"/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根据《中华人民共和国刑法》第二百二十五条规定，有上述行为的，可能会被判处五年以下有期徒刑或者拘役，并处或单处违法所得一倍以上五倍以下罚金；情节特别严重的，处五年以上有期徒刑，并处违法所得一倍以上五倍以下罚金或者没收财产。</w:t>
      </w:r>
    </w:p>
    <w:p w14:paraId="10F3E081">
      <w:pPr>
        <w:spacing w:line="500" w:lineRule="exact"/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二、《中华人民共和国期货和衍生品法》第十八条规定，期货交易实行账户实名制。交易者进行期货交易的，应当持有证明身份的合法证件，以本人名义申请开立账户。任何单位和个人不得违反规定，出借自己的期货账户或者借用他人的期货账户从事期货交易。</w:t>
      </w:r>
    </w:p>
    <w:p w14:paraId="5794DFBF">
      <w:pPr>
        <w:spacing w:line="500" w:lineRule="exact"/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三、客户期货账户被认定为休眠账户的，安粮期货股份有限公司将有权单方面中止客户的外接系统使用，期货公司无需告知客户。</w:t>
      </w:r>
    </w:p>
    <w:p w14:paraId="2F5D6656">
      <w:pPr>
        <w:spacing w:line="500" w:lineRule="exact"/>
        <w:ind w:firstLine="600" w:firstLineChars="200"/>
        <w:rPr>
          <w:rFonts w:hint="eastAsia" w:ascii="仿宋" w:hAnsi="仿宋" w:eastAsia="仿宋" w:cs="仿宋"/>
          <w:sz w:val="30"/>
          <w:szCs w:val="30"/>
          <w:u w:val="single"/>
        </w:rPr>
      </w:pPr>
      <w:r>
        <w:rPr>
          <w:rFonts w:hint="eastAsia" w:ascii="仿宋" w:hAnsi="仿宋" w:eastAsia="仿宋" w:cs="仿宋"/>
          <w:sz w:val="30"/>
          <w:szCs w:val="30"/>
          <w:u w:val="single"/>
        </w:rPr>
        <w:t>以上《提示书》的各项内容，本人/单位已阅读并完全理解。</w:t>
      </w:r>
    </w:p>
    <w:p w14:paraId="54E123D1">
      <w:pPr>
        <w:spacing w:line="500" w:lineRule="exact"/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（请抄写以上划线部分）</w:t>
      </w:r>
    </w:p>
    <w:p w14:paraId="01B1C530">
      <w:pPr>
        <w:pBdr>
          <w:bottom w:val="single" w:color="auto" w:sz="12" w:space="1"/>
        </w:pBdr>
        <w:spacing w:line="500" w:lineRule="exact"/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</w:p>
    <w:p w14:paraId="09956B14">
      <w:pPr>
        <w:spacing w:line="500" w:lineRule="exact"/>
        <w:ind w:firstLine="1200" w:firstLineChars="40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期货账号：</w:t>
      </w:r>
    </w:p>
    <w:p w14:paraId="2FD74C07">
      <w:pPr>
        <w:spacing w:line="500" w:lineRule="exact"/>
        <w:ind w:firstLine="1200" w:firstLineChars="40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客户签字：                    日期：</w:t>
      </w:r>
    </w:p>
    <w:p w14:paraId="70BE8DF6">
      <w:pPr>
        <w:spacing w:line="500" w:lineRule="exac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（自然人签字/机构被授权人签字并盖公章）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766B6D34-3DDC-4A05-B054-D0F81E60C230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87F0A58F-6043-4943-A8D6-F96850313C36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8D489C0-CCA4-41E4-8F1A-2E817B8A7851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49635B1D-DE93-48E2-83A4-97E2BE70EC72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5724A43-3C4A-406C-BB37-BE5A7ABDE0B9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6" w:fontKey="{A24D896E-9139-40E2-8D5A-14B96D7525F6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7" w:fontKey="{BFF8FFCF-A777-4792-982E-080488091BA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387"/>
    <w:rsid w:val="00036CCF"/>
    <w:rsid w:val="001665DB"/>
    <w:rsid w:val="00204249"/>
    <w:rsid w:val="002D3A2A"/>
    <w:rsid w:val="00300064"/>
    <w:rsid w:val="00333D11"/>
    <w:rsid w:val="003B4FAA"/>
    <w:rsid w:val="003F3F55"/>
    <w:rsid w:val="00471C19"/>
    <w:rsid w:val="00511B16"/>
    <w:rsid w:val="00621EC8"/>
    <w:rsid w:val="0065597F"/>
    <w:rsid w:val="006B43EC"/>
    <w:rsid w:val="006C2940"/>
    <w:rsid w:val="007A6211"/>
    <w:rsid w:val="007B2A1A"/>
    <w:rsid w:val="007B2B1F"/>
    <w:rsid w:val="00835D6E"/>
    <w:rsid w:val="008B0EAE"/>
    <w:rsid w:val="009D25A6"/>
    <w:rsid w:val="00A37F44"/>
    <w:rsid w:val="00AC4DF1"/>
    <w:rsid w:val="00AE678D"/>
    <w:rsid w:val="00B21496"/>
    <w:rsid w:val="00BB058F"/>
    <w:rsid w:val="00BF0AC7"/>
    <w:rsid w:val="00C345DC"/>
    <w:rsid w:val="00C64CB9"/>
    <w:rsid w:val="00C76C14"/>
    <w:rsid w:val="00D33387"/>
    <w:rsid w:val="00D4050A"/>
    <w:rsid w:val="00DB25C1"/>
    <w:rsid w:val="00DE4588"/>
    <w:rsid w:val="00E768F7"/>
    <w:rsid w:val="00E9597B"/>
    <w:rsid w:val="00EC1ED1"/>
    <w:rsid w:val="00F979D9"/>
    <w:rsid w:val="00FC0BD6"/>
    <w:rsid w:val="2B4752AD"/>
    <w:rsid w:val="2BEE49B1"/>
    <w:rsid w:val="353D2E47"/>
    <w:rsid w:val="47E22109"/>
    <w:rsid w:val="532E575F"/>
    <w:rsid w:val="7B836B64"/>
    <w:rsid w:val="7BF0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明显强调1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明显参考1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  <w:style w:type="paragraph" w:customStyle="1" w:styleId="37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24134-7BB7-409B-9F46-27640D83A2F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517</Words>
  <Characters>517</Characters>
  <Lines>4</Lines>
  <Paragraphs>1</Paragraphs>
  <TotalTime>41</TotalTime>
  <ScaleCrop>false</ScaleCrop>
  <LinksUpToDate>false</LinksUpToDate>
  <CharactersWithSpaces>537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2025-10-23T12:24:00Z</dcterms:created>
  <dc:creator>刘 慧</dc:creator>
  <cp:lastModifiedBy>丁丁</cp:lastModifiedBy>
  <dcterms:modified xsi:type="dcterms:W3CDTF">2026-07-14T05:56:18Z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eyJoZGlkIjoiZTQ1Y2JjYTU3YzIzNGE3M2JlZmZjNGM2ZTBlMzdkMzYiLCJ1c2VySWQiOiIxNTMxOTMwMDcxIn0=</vt:lpwstr>
  </property>
  <property fmtid="{D5CDD505-2E9C-101B-9397-08002B2CF9AE}" pid="3" name="KSOProductBuildVer">
    <vt:lpwstr>2052-12.1.0.26895</vt:lpwstr>
  </property>
  <property fmtid="{D5CDD505-2E9C-101B-9397-08002B2CF9AE}" pid="4" name="ICV">
    <vt:lpwstr>8AAA73B58682420F8B982D26FBD95482_13</vt:lpwstr>
  </property>
</Properties>
</file>