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28.png" ContentType="image/png"/>
  <Override PartName="/word/media/rId29.png" ContentType="image/png"/>
  <Override PartName="/word/media/rId31.png" ContentType="image/png"/>
  <Override PartName="/word/media/rId32.jp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trade</w:t>
      </w:r>
      <w:r>
        <w:t xml:space="preserve"> </w:t>
      </w:r>
      <w:r>
        <w:t xml:space="preserve">diversion</w:t>
      </w:r>
    </w:p>
    <w:p>
      <w:pPr>
        <w:pStyle w:val="Author"/>
      </w:pPr>
      <w:r>
        <w:t xml:space="preserve">xsl</w:t>
      </w:r>
    </w:p>
    <w:p>
      <w:pPr>
        <w:pStyle w:val="a7"/>
      </w:pPr>
      <w:r>
        <w:t xml:space="preserve">2020/11/25</w:t>
      </w:r>
    </w:p>
    <w:p>
      <w:pPr>
        <w:pStyle w:val="SourceCode"/>
      </w:pPr>
      <w:r>
        <w:rPr>
          <w:rStyle w:val="KeywordTok"/>
        </w:rPr>
        <w:t xml:space="preserve">library</w:t>
      </w:r>
      <w:r>
        <w:rPr>
          <w:rStyle w:val="NormalTok"/>
        </w:rPr>
        <w:t xml:space="preserve">(</w:t>
      </w:r>
      <w:r>
        <w:rPr>
          <w:rStyle w:val="StringTok"/>
        </w:rPr>
        <w:t xml:space="preserve">"knitr"</w:t>
      </w:r>
      <w:r>
        <w:rPr>
          <w:rStyle w:val="NormalTok"/>
        </w:rPr>
        <w:t xml:space="preserve">)</w:t>
      </w:r>
      <w:r>
        <w:br/>
      </w:r>
      <w:r>
        <w:rPr>
          <w:rStyle w:val="KeywordTok"/>
        </w:rPr>
        <w:t xml:space="preserve">library</w:t>
      </w:r>
      <w:r>
        <w:rPr>
          <w:rStyle w:val="NormalTok"/>
        </w:rPr>
        <w:t xml:space="preserve">(</w:t>
      </w:r>
      <w:r>
        <w:rPr>
          <w:rStyle w:val="StringTok"/>
        </w:rPr>
        <w:t xml:space="preserve">"rmarkdown"</w:t>
      </w:r>
      <w:r>
        <w:rPr>
          <w:rStyle w:val="NormalTok"/>
        </w:rPr>
        <w:t xml:space="preserve">)</w:t>
      </w:r>
    </w:p>
    <w:p>
      <w:pPr>
        <w:pStyle w:val="1"/>
      </w:pPr>
      <w:bookmarkStart w:id="20" w:name="研究目标"/>
      <w:r>
        <w:t xml:space="preserve">1. 研究目标</w:t>
      </w:r>
      <w:bookmarkEnd w:id="20"/>
    </w:p>
    <w:p>
      <w:pPr>
        <w:pStyle w:val="FirstParagraph"/>
      </w:pPr>
      <w:r>
        <w:t xml:space="preserve">1.1 我国在美洲国家的粮食中心能否转移到</w:t>
      </w:r>
      <w:r>
        <w:t xml:space="preserve">“</w:t>
      </w:r>
      <w:r>
        <w:t xml:space="preserve">一带一路</w:t>
      </w:r>
      <w:r>
        <w:t xml:space="preserve">”</w:t>
      </w:r>
      <w:r>
        <w:t xml:space="preserve">国家上</w:t>
      </w:r>
    </w:p>
    <w:p>
      <w:pPr>
        <w:numPr>
          <w:numId w:val="1001"/>
          <w:ilvl w:val="0"/>
        </w:numPr>
      </w:pPr>
      <w:r>
        <w:t xml:space="preserve">我国主要农产品进/出口国家和地区的趋势和关系</w:t>
      </w:r>
    </w:p>
    <w:p>
      <w:pPr>
        <w:numPr>
          <w:numId w:val="1001"/>
          <w:ilvl w:val="0"/>
        </w:numPr>
      </w:pPr>
      <w:r>
        <w:t xml:space="preserve">能否转移（贸易流）</w:t>
      </w:r>
    </w:p>
    <w:p>
      <w:pPr>
        <w:pStyle w:val="FirstParagraph"/>
      </w:pPr>
      <w:r>
        <w:t xml:space="preserve">1.2 如何转移，需要什么条件</w:t>
      </w:r>
    </w:p>
    <w:p>
      <w:pPr>
        <w:pStyle w:val="1"/>
      </w:pPr>
      <w:bookmarkStart w:id="21" w:name="数据来源"/>
      <w:r>
        <w:t xml:space="preserve">2. 数据来源</w:t>
      </w:r>
      <w:bookmarkEnd w:id="21"/>
    </w:p>
    <w:p>
      <w:pPr>
        <w:pStyle w:val="FirstParagraph"/>
      </w:pPr>
      <w:r>
        <w:t xml:space="preserve">2.1 现有数据</w:t>
      </w:r>
    </w:p>
    <w:p>
      <w:pPr>
        <w:pStyle w:val="a0"/>
      </w:pPr>
      <w:r>
        <w:t xml:space="preserve">-中国商务部：农产品月度统计报告2002年1月-2020年3月(pdf)(具体农产品前三贸易伙伴)</w:t>
      </w:r>
    </w:p>
    <w:p>
      <w:pPr>
        <w:pStyle w:val="a0"/>
      </w:pPr>
      <w:r>
        <w:t xml:space="preserve">-中国海关(搜数网)：2000年1月-2020年5月中国与44个国家粮食产品进、出口数据</w:t>
      </w:r>
    </w:p>
    <w:p>
      <w:pPr>
        <w:pStyle w:val="a0"/>
      </w:pPr>
      <w:r>
        <w:t xml:space="preserve">-FAO</w:t>
      </w:r>
    </w:p>
    <w:p>
      <w:pPr>
        <w:pStyle w:val="a0"/>
      </w:pPr>
      <w:r>
        <w:t xml:space="preserve">-美国农业部</w:t>
      </w:r>
    </w:p>
    <w:p>
      <w:pPr>
        <w:pStyle w:val="a0"/>
      </w:pPr>
      <w:r>
        <w:t xml:space="preserve">2.2 需要数据</w:t>
      </w:r>
    </w:p>
    <w:p>
      <w:pPr>
        <w:pStyle w:val="a0"/>
      </w:pPr>
      <w:r>
        <w:t xml:space="preserve">-中国与贸易伙伴国农产品贸易月度数据</w:t>
      </w:r>
    </w:p>
    <w:p>
      <w:pPr>
        <w:pStyle w:val="1"/>
      </w:pPr>
      <w:bookmarkStart w:id="22" w:name="文献分析"/>
      <w:r>
        <w:t xml:space="preserve">3. 文献分析</w:t>
      </w:r>
      <w:bookmarkEnd w:id="22"/>
    </w:p>
    <w:p>
      <w:pPr>
        <w:pStyle w:val="FirstParagraph"/>
      </w:pPr>
      <w:r>
        <w:t xml:space="preserve">3.1 主要文献</w:t>
      </w:r>
    </w:p>
    <w:p>
      <w:pPr>
        <w:numPr>
          <w:numId w:val="1002"/>
          <w:ilvl w:val="0"/>
        </w:numPr>
      </w:pPr>
      <w:r>
        <w:t xml:space="preserve">A. B. Bernard, J. B. Jensen, S. J. Redding和P. K. Schott, 《The Margins of US Trade》, American Economic Review, 卷 99, 期 2, 页 487–493, 4月 2009, doi: 10.1257/aer.99.2.487.</w:t>
      </w:r>
    </w:p>
    <w:p>
      <w:pPr>
        <w:numPr>
          <w:numId w:val="1002"/>
          <w:ilvl w:val="0"/>
        </w:numPr>
      </w:pPr>
      <w:r>
        <w:t xml:space="preserve">C. Xie, J. Gao, J. H. Grant和S. Anders, 《Examining the Canada-China agri-food trade relationship: Firms, trading partners, and trading volumes》, Canadian Journal of Agricultural Economics/Revue canadienne d’agroeconomie, 卷 66, 期 4, 页 539–555, 12月 2018, doi: 10.1111/cjag.12172.</w:t>
      </w:r>
    </w:p>
    <w:p>
      <w:pPr>
        <w:pStyle w:val="FirstParagraph"/>
      </w:pPr>
      <w:r>
        <w:t xml:space="preserve">3.2 文献综述</w:t>
      </w:r>
    </w:p>
    <w:p>
      <w:pPr>
        <w:pStyle w:val="1"/>
      </w:pPr>
      <w:bookmarkStart w:id="23" w:name="理论研究"/>
      <w:r>
        <w:t xml:space="preserve">4. 理论研究</w:t>
      </w:r>
      <w:bookmarkEnd w:id="23"/>
    </w:p>
    <w:p>
      <w:pPr>
        <w:pStyle w:val="2"/>
      </w:pPr>
      <w:bookmarkStart w:id="24" w:name="截面分解模型"/>
      <w:r>
        <w:t xml:space="preserve">4.1 截面分解模型</w:t>
      </w:r>
      <w:bookmarkEnd w:id="24"/>
    </w:p>
    <w:p>
      <w:pPr>
        <w:pStyle w:val="3"/>
      </w:pPr>
      <w:bookmarkStart w:id="25" w:name="论文中的模型分析"/>
      <w:r>
        <w:t xml:space="preserve">论文中的模型分析</w:t>
      </w:r>
      <w:bookmarkEnd w:id="25"/>
    </w:p>
    <w:p>
      <w:pPr>
        <w:pStyle w:val="FirstParagraph"/>
      </w:pPr>
      <w:r>
        <w:t xml:space="preserve">国际贸易中往往会存在较大的截面数据差异，例如中国从美洲国家如美国、加拿大、阿根廷等国家进口的粮食总量和总额远远大于中国从一些依赖农业贸易的小国家进口的总量和总额。</w:t>
      </w:r>
    </w:p>
    <w:p>
      <w:pPr>
        <w:pStyle w:val="a0"/>
      </w:pPr>
      <w:r>
        <w:t xml:space="preserve">因此，对于中国与其他国家的粮食贸易总额，可以在横截面上分解为国家层面、产品层面、国家-产品密度、国家-产品强度。</w:t>
      </w:r>
    </w:p>
    <w:p>
      <w:pPr>
        <w:pStyle w:val="a0"/>
      </w:pPr>
      <w:r>
        <w:t xml:space="preserve">随着公司和产品的数量在不同国家之间增长，可能的公司-产品观察(firm-product)的数量会成倍增加。如果企业在不同国家的产品中都是相对恒定的子集，那么观察到的具有正贸易的企业产品的实际数量将不成比例地增加，从而导致密度下降。在这种情况下,公司和产品数量越大的国家，其贸易密度就越小，这意味着密度与贸易公司数量和贸易产品数量呈负相关关系。</w:t>
      </w:r>
    </w:p>
    <w:p>
      <w:pPr>
        <w:pStyle w:val="a0"/>
      </w:pPr>
      <w:r>
        <w:t xml:space="preserve">密度系数和产品数量的回归系数的总和产生了每个公司的产品数量的百分比贡献，即以正的数量进行产品交易。</w:t>
      </w:r>
    </w:p>
    <w:p>
      <w:pPr>
        <w:pStyle w:val="SourceCode"/>
      </w:pPr>
      <w:r>
        <w:rPr>
          <w:rStyle w:val="KeywordTok"/>
        </w:rPr>
        <w:t xml:space="preserve">include_graphics</w:t>
      </w:r>
      <w:r>
        <w:rPr>
          <w:rStyle w:val="NormalTok"/>
        </w:rPr>
        <w:t xml:space="preserve">(</w:t>
      </w:r>
      <w:r>
        <w:rPr>
          <w:rStyle w:val="StringTok"/>
        </w:rPr>
        <w:t xml:space="preserve">"pic/fig1.regression outcome.png"</w:t>
      </w:r>
      <w:r>
        <w:rPr>
          <w:rStyle w:val="NormalTok"/>
        </w:rPr>
        <w:t xml:space="preserve">)</w:t>
      </w:r>
    </w:p>
    <w:p>
      <w:pPr>
        <w:pStyle w:val="FirstParagraph"/>
      </w:pPr>
      <w:r>
        <w:drawing>
          <wp:inline>
            <wp:extent cx="5486400" cy="2488758"/>
            <wp:effectExtent b="0" l="0" r="0" t="0"/>
            <wp:docPr descr="" title="" id="1" name="Picture"/>
            <a:graphic>
              <a:graphicData uri="http://schemas.openxmlformats.org/drawingml/2006/picture">
                <pic:pic>
                  <pic:nvPicPr>
                    <pic:cNvPr descr="pic/fig1.regression%20outcome.png" id="0" name="Picture"/>
                    <pic:cNvPicPr>
                      <a:picLocks noChangeArrowheads="1" noChangeAspect="1"/>
                    </pic:cNvPicPr>
                  </pic:nvPicPr>
                  <pic:blipFill>
                    <a:blip r:embed="rId26"/>
                    <a:stretch>
                      <a:fillRect/>
                    </a:stretch>
                  </pic:blipFill>
                  <pic:spPr bwMode="auto">
                    <a:xfrm>
                      <a:off x="0" y="0"/>
                      <a:ext cx="5486400" cy="2488758"/>
                    </a:xfrm>
                    <a:prstGeom prst="rect">
                      <a:avLst/>
                    </a:prstGeom>
                    <a:noFill/>
                    <a:ln w="9525">
                      <a:noFill/>
                      <a:headEnd/>
                      <a:tailEnd/>
                    </a:ln>
                  </pic:spPr>
                </pic:pic>
              </a:graphicData>
            </a:graphic>
          </wp:inline>
        </w:drawing>
      </w:r>
    </w:p>
    <w:p>
      <w:pPr>
        <w:pStyle w:val="a0"/>
      </w:pPr>
      <w:r>
        <w:t xml:space="preserve">上表报告了第t年回归截面分解的结果。对每个变量进行独立回归，结果为每个变量的系数之和为1。仅分析出口情况：第一列为对全样本的回归，第二列为交叉出口，第三列为独立出口。第一行系数为公司数量对两国贸易总量的影响程度，第二行系数为产品数量对两国贸易总量的影响程度，第三行为公司-产品密度对两国贸易总量的影响程度，第四行为公司-产品强度</w:t>
      </w:r>
    </w:p>
    <w:p>
      <w:pPr>
        <w:pStyle w:val="a0"/>
      </w:pPr>
      <w:r>
        <w:t xml:space="preserve">体系数解释为</w:t>
      </w:r>
    </w:p>
    <w:p>
      <w:pPr>
        <w:pStyle w:val="a0"/>
      </w:pPr>
      <w:r>
        <w:t xml:space="preserve">如第一列的最后一行所示，整体利润率解释了美国出口目的地之间22.6%的平均差异。另一方面，出口企业数量(第一行)和出口产品数量(第2行)的变化分别占变化的69.4和58.8%。如上所述，密度的负系数为-0.508(第3行)，反映了密度与美国贸易产品数量、贸易公司数量和贸易总额呈负相关。尽管如此，这三个广泛的利润条件的总和仍然占总体出口变化的绝大多数(77.4%)。</w:t>
      </w:r>
    </w:p>
    <w:p>
      <w:pPr>
        <w:pStyle w:val="2"/>
      </w:pPr>
      <w:bookmarkStart w:id="27" w:name="时序分解模型"/>
      <w:r>
        <w:t xml:space="preserve">4.2 时序分解模型</w:t>
      </w:r>
      <w:bookmarkEnd w:id="27"/>
    </w:p>
    <w:p>
      <w:pPr>
        <w:pStyle w:val="SourceCode"/>
      </w:pPr>
      <w:r>
        <w:rPr>
          <w:rStyle w:val="KeywordTok"/>
        </w:rPr>
        <w:t xml:space="preserve">include_graphics</w:t>
      </w:r>
      <w:r>
        <w:rPr>
          <w:rStyle w:val="NormalTok"/>
        </w:rPr>
        <w:t xml:space="preserve">(</w:t>
      </w:r>
      <w:r>
        <w:rPr>
          <w:rStyle w:val="StringTok"/>
        </w:rPr>
        <w:t xml:space="preserve">"pic/fig2.regression outcome.png"</w:t>
      </w:r>
      <w:r>
        <w:rPr>
          <w:rStyle w:val="NormalTok"/>
        </w:rPr>
        <w:t xml:space="preserve">)</w:t>
      </w:r>
    </w:p>
    <w:p>
      <w:pPr>
        <w:pStyle w:val="FirstParagraph"/>
      </w:pPr>
      <w:r>
        <w:drawing>
          <wp:inline>
            <wp:extent cx="5486400" cy="3732027"/>
            <wp:effectExtent b="0" l="0" r="0" t="0"/>
            <wp:docPr descr="" title="" id="1" name="Picture"/>
            <a:graphic>
              <a:graphicData uri="http://schemas.openxmlformats.org/drawingml/2006/picture">
                <pic:pic>
                  <pic:nvPicPr>
                    <pic:cNvPr descr="pic/fig2.regression%20outcome.png" id="0" name="Picture"/>
                    <pic:cNvPicPr>
                      <a:picLocks noChangeArrowheads="1" noChangeAspect="1"/>
                    </pic:cNvPicPr>
                  </pic:nvPicPr>
                  <pic:blipFill>
                    <a:blip r:embed="rId28"/>
                    <a:stretch>
                      <a:fillRect/>
                    </a:stretch>
                  </pic:blipFill>
                  <pic:spPr bwMode="auto">
                    <a:xfrm>
                      <a:off x="0" y="0"/>
                      <a:ext cx="5486400" cy="3732027"/>
                    </a:xfrm>
                    <a:prstGeom prst="rect">
                      <a:avLst/>
                    </a:prstGeom>
                    <a:noFill/>
                    <a:ln w="9525">
                      <a:noFill/>
                      <a:headEnd/>
                      <a:tailEnd/>
                    </a:ln>
                  </pic:spPr>
                </pic:pic>
              </a:graphicData>
            </a:graphic>
          </wp:inline>
        </w:drawing>
      </w:r>
    </w:p>
    <w:p>
      <w:pPr>
        <w:pStyle w:val="SourceCode"/>
      </w:pPr>
      <w:r>
        <w:rPr>
          <w:rStyle w:val="KeywordTok"/>
        </w:rPr>
        <w:t xml:space="preserve">include_graphics</w:t>
      </w:r>
      <w:r>
        <w:rPr>
          <w:rStyle w:val="NormalTok"/>
        </w:rPr>
        <w:t xml:space="preserve">(</w:t>
      </w:r>
      <w:r>
        <w:rPr>
          <w:rStyle w:val="StringTok"/>
        </w:rPr>
        <w:t xml:space="preserve">"pic/fig3.percentage.png"</w:t>
      </w:r>
      <w:r>
        <w:rPr>
          <w:rStyle w:val="NormalTok"/>
        </w:rPr>
        <w:t xml:space="preserve">)</w:t>
      </w:r>
    </w:p>
    <w:p>
      <w:pPr>
        <w:pStyle w:val="FirstParagraph"/>
      </w:pPr>
      <w:r>
        <w:drawing>
          <wp:inline>
            <wp:extent cx="5486400" cy="2450989"/>
            <wp:effectExtent b="0" l="0" r="0" t="0"/>
            <wp:docPr descr="" title="" id="1" name="Picture"/>
            <a:graphic>
              <a:graphicData uri="http://schemas.openxmlformats.org/drawingml/2006/picture">
                <pic:pic>
                  <pic:nvPicPr>
                    <pic:cNvPr descr="pic/fig3.percentage.png" id="0" name="Picture"/>
                    <pic:cNvPicPr>
                      <a:picLocks noChangeArrowheads="1" noChangeAspect="1"/>
                    </pic:cNvPicPr>
                  </pic:nvPicPr>
                  <pic:blipFill>
                    <a:blip r:embed="rId29"/>
                    <a:stretch>
                      <a:fillRect/>
                    </a:stretch>
                  </pic:blipFill>
                  <pic:spPr bwMode="auto">
                    <a:xfrm>
                      <a:off x="0" y="0"/>
                      <a:ext cx="5486400" cy="2450989"/>
                    </a:xfrm>
                    <a:prstGeom prst="rect">
                      <a:avLst/>
                    </a:prstGeom>
                    <a:noFill/>
                    <a:ln w="9525">
                      <a:noFill/>
                      <a:headEnd/>
                      <a:tailEnd/>
                    </a:ln>
                  </pic:spPr>
                </pic:pic>
              </a:graphicData>
            </a:graphic>
          </wp:inline>
        </w:drawing>
      </w:r>
    </w:p>
    <w:p>
      <w:pPr>
        <w:pStyle w:val="2"/>
      </w:pPr>
      <w:bookmarkStart w:id="30" w:name="模型修改"/>
      <w:r>
        <w:t xml:space="preserve">模型修改</w:t>
      </w:r>
      <w:bookmarkEnd w:id="30"/>
    </w:p>
    <w:p>
      <w:pPr>
        <w:pStyle w:val="FirstParagraph"/>
      </w:pPr>
      <w:r>
        <w:t xml:space="preserve">已知：</w:t>
      </w:r>
      <w:r>
        <w:t xml:space="preserve"> </w:t>
      </w:r>
      <w:r>
        <w:t xml:space="preserve">- t-1到t年的贸易额</w:t>
      </w:r>
      <w:r>
        <w:t xml:space="preserve"> </w:t>
      </w:r>
      <w:r>
        <w:t xml:space="preserve">- t-1到t年的国家数</w:t>
      </w:r>
      <w:r>
        <w:t xml:space="preserve"> </w:t>
      </w:r>
      <w:r>
        <w:t xml:space="preserve">- t-1到t年的产品数</w:t>
      </w:r>
      <w:r>
        <w:t xml:space="preserve"> </w:t>
      </w:r>
      <w:r>
        <w:t xml:space="preserve">- 面板数据：t年贸易伙伴国固定产品的贸易额</w:t>
      </w:r>
    </w:p>
    <w:p>
      <w:pPr>
        <w:pStyle w:val="SourceCode"/>
      </w:pPr>
      <w:r>
        <w:rPr>
          <w:rStyle w:val="KeywordTok"/>
        </w:rPr>
        <w:t xml:space="preserve">include_graphics</w:t>
      </w:r>
      <w:r>
        <w:rPr>
          <w:rStyle w:val="NormalTok"/>
        </w:rPr>
        <w:t xml:space="preserve">(</w:t>
      </w:r>
      <w:r>
        <w:rPr>
          <w:rStyle w:val="StringTok"/>
        </w:rPr>
        <w:t xml:space="preserve">"pic/fig4.png"</w:t>
      </w:r>
      <w:r>
        <w:rPr>
          <w:rStyle w:val="NormalTok"/>
        </w:rPr>
        <w:t xml:space="preserve">)</w:t>
      </w:r>
    </w:p>
    <w:p>
      <w:pPr>
        <w:pStyle w:val="FirstParagraph"/>
      </w:pPr>
      <w:r>
        <w:drawing>
          <wp:inline>
            <wp:extent cx="1713296" cy="1001027"/>
            <wp:effectExtent b="0" l="0" r="0" t="0"/>
            <wp:docPr descr="" title="" id="1" name="Picture"/>
            <a:graphic>
              <a:graphicData uri="http://schemas.openxmlformats.org/drawingml/2006/picture">
                <pic:pic>
                  <pic:nvPicPr>
                    <pic:cNvPr descr="pic/fig4.png" id="0" name="Picture"/>
                    <pic:cNvPicPr>
                      <a:picLocks noChangeArrowheads="1" noChangeAspect="1"/>
                    </pic:cNvPicPr>
                  </pic:nvPicPr>
                  <pic:blipFill>
                    <a:blip r:embed="rId31"/>
                    <a:stretch>
                      <a:fillRect/>
                    </a:stretch>
                  </pic:blipFill>
                  <pic:spPr bwMode="auto">
                    <a:xfrm>
                      <a:off x="0" y="0"/>
                      <a:ext cx="1713296" cy="1001027"/>
                    </a:xfrm>
                    <a:prstGeom prst="rect">
                      <a:avLst/>
                    </a:prstGeom>
                    <a:noFill/>
                    <a:ln w="9525">
                      <a:noFill/>
                      <a:headEnd/>
                      <a:tailEnd/>
                    </a:ln>
                  </pic:spPr>
                </pic:pic>
              </a:graphicData>
            </a:graphic>
          </wp:inline>
        </w:drawing>
      </w:r>
    </w:p>
    <w:p>
      <w:pPr>
        <w:pStyle w:val="SourceCode"/>
      </w:pPr>
      <w:r>
        <w:rPr>
          <w:rStyle w:val="KeywordTok"/>
        </w:rPr>
        <w:t xml:space="preserve">include_graphics</w:t>
      </w:r>
      <w:r>
        <w:rPr>
          <w:rStyle w:val="NormalTok"/>
        </w:rPr>
        <w:t xml:space="preserve">(</w:t>
      </w:r>
      <w:r>
        <w:rPr>
          <w:rStyle w:val="StringTok"/>
        </w:rPr>
        <w:t xml:space="preserve">"pic/fig5.jpg"</w:t>
      </w:r>
      <w:r>
        <w:rPr>
          <w:rStyle w:val="NormalTok"/>
        </w:rPr>
        <w:t xml:space="preserve">)</w:t>
      </w:r>
    </w:p>
    <w:p>
      <w:pPr>
        <w:pStyle w:val="FirstParagraph"/>
      </w:pPr>
      <w:r>
        <w:drawing>
          <wp:inline>
            <wp:extent cx="5486400" cy="4114800"/>
            <wp:effectExtent b="0" l="0" r="0" t="0"/>
            <wp:docPr descr="" title="" id="1" name="Picture"/>
            <a:graphic>
              <a:graphicData uri="http://schemas.openxmlformats.org/drawingml/2006/picture">
                <pic:pic>
                  <pic:nvPicPr>
                    <pic:cNvPr descr="pic/fig5.jpg" id="0" name="Picture"/>
                    <pic:cNvPicPr>
                      <a:picLocks noChangeArrowheads="1" noChangeAspect="1"/>
                    </pic:cNvPicPr>
                  </pic:nvPicPr>
                  <pic:blipFill>
                    <a:blip r:embed="rId32"/>
                    <a:stretch>
                      <a:fillRect/>
                    </a:stretch>
                  </pic:blipFill>
                  <pic:spPr bwMode="auto">
                    <a:xfrm>
                      <a:off x="0" y="0"/>
                      <a:ext cx="5486400" cy="4114800"/>
                    </a:xfrm>
                    <a:prstGeom prst="rect">
                      <a:avLst/>
                    </a:prstGeom>
                    <a:noFill/>
                    <a:ln w="9525">
                      <a:noFill/>
                      <a:headEnd/>
                      <a:tailEnd/>
                    </a:ln>
                  </pic:spPr>
                </pic:pic>
              </a:graphicData>
            </a:graphic>
          </wp:inline>
        </w:drawing>
      </w:r>
    </w:p>
    <w:sectPr w:rsidR="00450422">
      <w:headerReference w:type="even" r:id="rId9"/>
      <w:headerReference w:type="default" r:id="rId11"/>
      <w:footerReference w:type="even" r:id="rId14"/>
      <w:footerReference w:type="default" r:id="rId13"/>
      <w:headerReference w:type="first" r:id="rId10"/>
      <w:footerReference w:type="first" r:id="rId12"/>
      <w:pgSz w:w="12240" w:h="15840"/>
      <w:pgMar w:top="1440" w:right="1800" w:bottom="1440" w:left="180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AF9C3" w14:textId="77777777" w:rsidR="002130AE" w:rsidRDefault="002130AE">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825888"/>
      <w:docPartObj>
        <w:docPartGallery w:val="Page Numbers (Bottom of Page)"/>
        <w:docPartUnique/>
      </w:docPartObj>
    </w:sdtPr>
    <w:sdtContent>
      <w:sdt>
        <w:sdtPr>
          <w:id w:val="1728636285"/>
          <w:docPartObj>
            <w:docPartGallery w:val="Page Numbers (Top of Page)"/>
            <w:docPartUnique/>
          </w:docPartObj>
        </w:sdtPr>
        <w:sdtContent>
          <w:p w14:paraId="3D8403F0" w14:textId="38FB19BE" w:rsidR="002130AE" w:rsidRDefault="002130AE">
            <w:pPr>
              <w:pStyle w:val="af1"/>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522F8620" w14:textId="77777777" w:rsidR="002130AE" w:rsidRDefault="002130AE">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10597" w14:textId="77777777" w:rsidR="002130AE" w:rsidRDefault="002130AE">
    <w:pPr>
      <w:pStyle w:val="af1"/>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C604F" w14:textId="77777777" w:rsidR="002130AE" w:rsidRDefault="002130AE">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53B85" w14:textId="77777777" w:rsidR="002130AE" w:rsidRDefault="002130AE">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5AEDE" w14:textId="77777777" w:rsidR="002130AE" w:rsidRDefault="002130AE">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54E1ED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25C629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82E84D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92247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182CEC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F7A53B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88581E7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D34CB0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784745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58EC8B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2C1AE401"/>
    <w:multiLevelType w:val="multilevel"/>
    <w:tmpl w:val="759A13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916081"/>
    <w:pPr>
      <w:keepNext/>
      <w:keepLines/>
      <w:spacing w:before="480" w:after="0"/>
      <w:outlineLvl w:val="0"/>
    </w:pPr>
    <w:rPr>
      <w:rFonts w:asciiTheme="majorHAnsi" w:eastAsia="黑体" w:hAnsiTheme="majorHAnsi" w:cstheme="majorBidi"/>
      <w:bCs/>
      <w:color w:val="000000" w:themeColor="text1"/>
      <w:sz w:val="32"/>
      <w:szCs w:val="32"/>
    </w:rPr>
  </w:style>
  <w:style w:type="paragraph" w:styleId="2">
    <w:name w:val="heading 2"/>
    <w:basedOn w:val="a"/>
    <w:next w:val="a0"/>
    <w:uiPriority w:val="9"/>
    <w:unhideWhenUsed/>
    <w:qFormat/>
    <w:rsid w:val="00916081"/>
    <w:pPr>
      <w:keepNext/>
      <w:keepLines/>
      <w:spacing w:before="200" w:after="0"/>
      <w:outlineLvl w:val="1"/>
    </w:pPr>
    <w:rPr>
      <w:rFonts w:asciiTheme="majorHAnsi" w:eastAsia="黑体" w:hAnsiTheme="majorHAnsi" w:cstheme="majorBidi"/>
      <w:bCs/>
      <w:color w:val="000000" w:themeColor="text1"/>
      <w:sz w:val="30"/>
      <w:szCs w:val="32"/>
    </w:rPr>
  </w:style>
  <w:style w:type="paragraph" w:styleId="3">
    <w:name w:val="heading 3"/>
    <w:basedOn w:val="a"/>
    <w:next w:val="a0"/>
    <w:uiPriority w:val="9"/>
    <w:unhideWhenUsed/>
    <w:qFormat/>
    <w:rsid w:val="00916081"/>
    <w:pPr>
      <w:keepNext/>
      <w:keepLines/>
      <w:spacing w:before="200" w:after="0"/>
      <w:outlineLvl w:val="2"/>
    </w:pPr>
    <w:rPr>
      <w:rFonts w:asciiTheme="majorHAnsi" w:eastAsia="黑体" w:hAnsiTheme="majorHAnsi" w:cstheme="majorBidi"/>
      <w:bCs/>
      <w:color w:val="000000" w:themeColor="tex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916081"/>
    <w:pPr>
      <w:spacing w:beforeLines="50" w:before="50" w:after="0" w:line="360" w:lineRule="auto"/>
      <w:ind w:firstLineChars="200" w:firstLine="200"/>
    </w:pPr>
  </w:style>
  <w:style w:type="paragraph" w:customStyle="1" w:styleId="FirstParagraph">
    <w:name w:val="First Paragraph"/>
    <w:basedOn w:val="a0"/>
    <w:next w:val="a0"/>
    <w:qFormat/>
    <w:rsid w:val="00916081"/>
  </w:style>
  <w:style w:type="paragraph" w:customStyle="1" w:styleId="Compact">
    <w:name w:val="Compact"/>
    <w:basedOn w:val="a0"/>
    <w:autoRedefine/>
    <w:qFormat/>
    <w:rsid w:val="0041261A"/>
    <w:pPr>
      <w:spacing w:line="240" w:lineRule="auto"/>
      <w:ind w:firstLineChars="0" w:firstLine="0"/>
    </w:pPr>
    <w:rPr>
      <w:sz w:val="21"/>
    </w:rPr>
  </w:style>
  <w:style w:type="paragraph" w:styleId="a5">
    <w:name w:val="Title"/>
    <w:basedOn w:val="a"/>
    <w:next w:val="a0"/>
    <w:qFormat/>
    <w:rsid w:val="0065570A"/>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rsid w:val="0041261A"/>
    <w:pPr>
      <w:jc w:val="center"/>
    </w:pPr>
    <w:tblPr>
      <w:tblStyleRowBandSize w:val="1"/>
      <w:jc w:val="cente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rPr>
      <w:jc w:val="center"/>
    </w:trPr>
    <w:tcPr>
      <w:vAlign w:val="center"/>
    </w:tcPr>
    <w:tblStylePr w:type="band1Horz">
      <w:tblPr/>
      <w:tcPr>
        <w:shd w:val="clear" w:color="auto" w:fill="EAF1DD" w:themeFill="accent3" w:themeFillTint="33"/>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rsid w:val="00916081"/>
    <w:pPr>
      <w:keepNext/>
      <w:spacing w:beforeLines="50" w:before="50"/>
      <w:jc w:val="center"/>
    </w:pPr>
    <w:rPr>
      <w:rFonts w:eastAsia="仿宋"/>
      <w:b/>
      <w:i w:val="0"/>
      <w:sz w:val="21"/>
    </w:rPr>
  </w:style>
  <w:style w:type="paragraph" w:customStyle="1" w:styleId="ImageCaption">
    <w:name w:val="Image Caption"/>
    <w:basedOn w:val="ab"/>
    <w:rsid w:val="00916081"/>
    <w:pPr>
      <w:jc w:val="center"/>
    </w:pPr>
    <w:rPr>
      <w:rFonts w:eastAsia="仿宋"/>
      <w:b/>
      <w:i w:val="0"/>
      <w:sz w:val="21"/>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rsid w:val="0065570A"/>
    <w:pPr>
      <w:spacing w:before="240" w:line="259" w:lineRule="auto"/>
      <w:jc w:val="center"/>
      <w:outlineLvl w:val="9"/>
    </w:pPr>
    <w:rPr>
      <w:b/>
      <w:bCs w:val="0"/>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a"/>
    <w:next w:val="a"/>
    <w:autoRedefine/>
    <w:uiPriority w:val="39"/>
    <w:unhideWhenUsed/>
    <w:rsid w:val="00740315"/>
    <w:pPr>
      <w:ind w:leftChars="200" w:left="420"/>
    </w:pPr>
  </w:style>
  <w:style w:type="paragraph" w:styleId="TOC1">
    <w:name w:val="toc 1"/>
    <w:basedOn w:val="a"/>
    <w:next w:val="a"/>
    <w:autoRedefine/>
    <w:uiPriority w:val="39"/>
    <w:unhideWhenUsed/>
    <w:rsid w:val="00740315"/>
  </w:style>
  <w:style w:type="paragraph" w:styleId="TOC3">
    <w:name w:val="toc 3"/>
    <w:basedOn w:val="a"/>
    <w:next w:val="a"/>
    <w:autoRedefine/>
    <w:uiPriority w:val="39"/>
    <w:unhideWhenUsed/>
    <w:rsid w:val="00740315"/>
    <w:pPr>
      <w:ind w:leftChars="400" w:left="840"/>
    </w:pPr>
  </w:style>
  <w:style w:type="paragraph" w:styleId="af">
    <w:name w:val="header"/>
    <w:basedOn w:val="a"/>
    <w:link w:val="af0"/>
    <w:unhideWhenUsed/>
    <w:rsid w:val="00740315"/>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740315"/>
    <w:rPr>
      <w:sz w:val="18"/>
      <w:szCs w:val="18"/>
    </w:rPr>
  </w:style>
  <w:style w:type="paragraph" w:styleId="af1">
    <w:name w:val="footer"/>
    <w:basedOn w:val="a"/>
    <w:link w:val="af2"/>
    <w:uiPriority w:val="99"/>
    <w:unhideWhenUsed/>
    <w:rsid w:val="00740315"/>
    <w:pPr>
      <w:tabs>
        <w:tab w:val="center" w:pos="4153"/>
        <w:tab w:val="right" w:pos="8306"/>
      </w:tabs>
      <w:snapToGrid w:val="0"/>
    </w:pPr>
    <w:rPr>
      <w:sz w:val="18"/>
      <w:szCs w:val="18"/>
    </w:rPr>
  </w:style>
  <w:style w:type="character" w:customStyle="1" w:styleId="af2">
    <w:name w:val="页脚 字符"/>
    <w:basedOn w:val="a1"/>
    <w:link w:val="af1"/>
    <w:uiPriority w:val="99"/>
    <w:rsid w:val="00740315"/>
    <w:rPr>
      <w:sz w:val="18"/>
      <w:szCs w:val="18"/>
    </w:rPr>
  </w:style>
  <w:style w:type="table" w:customStyle="1" w:styleId="TableNormal">
    <w:name w:val="TableNormal"/>
    <w:basedOn w:val="a2"/>
    <w:uiPriority w:val="99"/>
    <w:rsid w:val="00740315"/>
    <w:pPr>
      <w:spacing w:after="0"/>
    </w:pPr>
    <w:tblPr>
      <w:tblStyleRowBandSize w:val="1"/>
      <w:tblBorders>
        <w:top w:val="single" w:sz="4" w:space="0" w:color="auto"/>
        <w:bottom w:val="single" w:sz="4" w:space="0" w:color="auto"/>
        <w:insideH w:val="single" w:sz="4" w:space="0" w:color="auto"/>
      </w:tblBorders>
    </w:tblPr>
    <w:tblStylePr w:type="band1Horz">
      <w:tblPr/>
      <w:tcPr>
        <w:shd w:val="clear" w:color="auto" w:fill="D6E3BC" w:themeFill="accent3" w:themeFillTint="66"/>
      </w:tcPr>
    </w:tblStylePr>
  </w:style>
  <w:style w:type="character" w:customStyle="1" w:styleId="a4">
    <w:name w:val="正文文本 字符"/>
    <w:basedOn w:val="a1"/>
    <w:link w:val="a0"/>
    <w:rsid w:val="00916081"/>
  </w:style>
  <w:style w:type="table" w:styleId="af3">
    <w:name w:val="Table Grid"/>
    <w:basedOn w:val="a2"/>
    <w:rsid w:val="0074031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1267</Words>
  <Characters>7223</Characters>
  <Application>Microsoft Office Word</Application>
  <DocSecurity>0</DocSecurity>
  <Lines>60</Lines>
  <Paragraphs>16</Paragraphs>
  <ScaleCrop>false</ScaleCrop>
  <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trade diversion</dc:title>
  <dc:creator>xsl</dc:creator>
  <cp:keywords/>
  <dcterms:created xsi:type="dcterms:W3CDTF">2020-11-26T11:16:10Z</dcterms:created>
  <dcterms:modified xsi:type="dcterms:W3CDTF">2020-11-26T11:16:10Z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style">
    <vt:lpwstr>apalike</vt:lpwstr>
  </property>
  <property fmtid="{D5CDD505-2E9C-101B-9397-08002B2CF9AE}" pid="4" name="bibliography">
    <vt:lpwstr>bib-paper.bib</vt:lpwstr>
  </property>
  <property fmtid="{D5CDD505-2E9C-101B-9397-08002B2CF9AE}" pid="5" name="classoption">
    <vt:lpwstr/>
  </property>
  <property fmtid="{D5CDD505-2E9C-101B-9397-08002B2CF9AE}" pid="6" name="date">
    <vt:lpwstr>2020/11/25</vt:lpwstr>
  </property>
  <property fmtid="{D5CDD505-2E9C-101B-9397-08002B2CF9AE}" pid="7" name="documentclass">
    <vt:lpwstr>article</vt:lpwstr>
  </property>
  <property fmtid="{D5CDD505-2E9C-101B-9397-08002B2CF9AE}" pid="8" name="fontsize">
    <vt:lpwstr>12pt</vt:lpwstr>
  </property>
  <property fmtid="{D5CDD505-2E9C-101B-9397-08002B2CF9AE}" pid="9" name="link-citations">
    <vt:lpwstr>True</vt:lpwstr>
  </property>
  <property fmtid="{D5CDD505-2E9C-101B-9397-08002B2CF9AE}" pid="10" name="output">
    <vt:lpwstr/>
  </property>
  <property fmtid="{D5CDD505-2E9C-101B-9397-08002B2CF9AE}" pid="11" name="pagestyle">
    <vt:lpwstr>headings</vt:lpwstr>
  </property>
  <property fmtid="{D5CDD505-2E9C-101B-9397-08002B2CF9AE}" pid="12" name="thanks">
    <vt:lpwstr>感谢经济管理学院数量经济学教研室同仁的大力支持！</vt:lpwstr>
  </property>
</Properties>
</file>