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Kicker"/>
      </w:pPr>
      <w:r>
        <w:t>模型效能評估報告</w:t>
      </w:r>
    </w:p>
    <w:p>
      <w:pPr>
        <w:pStyle w:val="ReportTitle"/>
      </w:pPr>
      <w:r>
        <w:t>1 至 14 日 Alpha 預測驗證</w:t>
      </w:r>
    </w:p>
    <w:p>
      <w:pPr>
        <w:pStyle w:val="1"/>
      </w:pPr>
      <w:r>
        <w:t>Stage 2｜run-20260923T095302Z-311336160</w:t>
      </w:r>
    </w:p>
    <w:p>
      <w:pPr>
        <w:pStyle w:val="Metadata"/>
      </w:pPr>
      <w:r>
        <w:t>報告日期：2026-10-06</w:t>
      </w:r>
    </w:p>
    <w:p>
      <w:pPr>
        <w:pStyle w:val="Metadata"/>
      </w:pPr>
      <w:r>
        <w:t>最佳 checkpoint：checkpoint-023613（global step 23,613）</w:t>
      </w:r>
    </w:p>
    <w:p>
      <w:pPr>
        <w:pStyle w:val="Metadata"/>
      </w:pPr>
      <w:r>
        <w:t>評估資料：test；checkpoint 由 validation 選出；test 已解鎖</w:t>
      </w:r>
    </w:p>
    <w:p>
      <w:pPr>
        <w:pStyle w:val="Lead"/>
      </w:pPr>
      <w:r>
        <w:t>結論：本輪最佳 checkpoint 在完整 test split 的 1,264,861 筆資料上得到 1 至 14 日 score 0.333552，於 13 個模型中排名第 3；在 9 個完整輸出模型中，normalized pinball 有 14/14、RankIC 有 14/14、成本後 Sharpe 有 11/14 排名第 1。q50 correlation 為 0.0653 至 0.0794，方向一致率為 51.98% 至 56.38%；q10 至 q90 coverage 為 68.63% 至 76.25%，14 個 horizon 全低於 80%。最大回撤為 -46.89% 至 -3.84%，最差在 14d。這支持候選模型的分布與排序證據，不支持直接部署或獲利宣稱。</w:t>
      </w:r>
    </w:p>
    <w:p>
      <w:pPr>
        <w:pStyle w:val="11"/>
      </w:pPr>
      <w:r>
        <w:t>1. 執行摘要</w:t>
      </w:r>
    </w:p>
    <w:p>
      <w:pPr>
        <w:pStyle w:val="21"/>
      </w:pPr>
      <w:r>
        <w:t>1.1 評估單位是全部 14 個 horizon</w:t>
      </w:r>
    </w:p>
    <w:p>
      <w:pPr>
        <w:pStyle w:val="a"/>
      </w:pPr>
      <w:r>
        <w:t>每筆樣本包含 14 組獨立 q10、q50、q90；selection score 是 14 個 horizon normalized pinball 等權平均。本輪直接評估完整 test split，不是抽樣子集。</w:t>
      </w:r>
    </w:p>
    <w:p>
      <w:pPr>
        <w:pStyle w:val="Decision"/>
        <w:keepNext/>
        <w:spacing w:after="80"/>
      </w:pPr>
      <w:r>
        <w:t>表 1｜跨 1 至 14 日的核心結論</w:t>
      </w:r>
    </w:p>
    <w:tbl>
      <w:tblPr>
        <w:tblStyle w:val="BenchmarkTable"/>
        <w:tblW w:w="9360" w:type="dxa"/>
        <w:tblLayout w:type="fixed"/>
      </w:tblPr>
      <w:tblGrid>
        <w:gridCol w:w="2650"/>
        <w:gridCol w:w="2800"/>
        <w:gridCol w:w="3910"/>
      </w:tblGrid>
      <w:tr>
        <w:trPr>
          <w:tblHeader/>
        </w:trPr>
        <w:tc>
          <w:tcPr>
            <w:tcW w:w="2650" w:type="dxa"/>
            <w:shd w:val="clear" w:fill="DCE6F1"/>
            <w:vAlign w:val="center"/>
          </w:tcPr>
          <w:p>
            <w:pPr>
              <w:pStyle w:val="TableHeader"/>
            </w:pPr>
            <w:r>
              <w:t>評估面向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本次結果</w:t>
            </w:r>
          </w:p>
        </w:tc>
        <w:tc>
          <w:tcPr>
            <w:tcW w:w="3910" w:type="dxa"/>
            <w:shd w:val="clear" w:fill="DCE6F1"/>
            <w:vAlign w:val="center"/>
          </w:tcPr>
          <w:p>
            <w:pPr>
              <w:pStyle w:val="TableHeader"/>
            </w:pPr>
            <w:r>
              <w:t>正確解讀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全 horizon test score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0.333552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13 個模型排名第 3；完整 test split；14 個 horizon 等權平均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逐 horizon normalized pinball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14/14 第 1（9 個完整輸出模型）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這是分布誤差排名；不是獲利或勝率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q50 Pearson correlation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0.0653 至 0.0794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整體偏弱；不能單獨視為可靠方向訊號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方向一致率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51.98% 至 56.38%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接近 50% 的 horizon 不代表報酬幅度可預測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q10 至 q90 coverage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68.63% 至 76.25%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14／14 低於名目 80%；需做分 horizon 校準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RankIC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0.0824 至 0.1209；14/14 第 1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排序相關性診斷；不等同可實現報酬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成本後 Sharpe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2.61 至 9.34；11/14 第 1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研究用簡化回測，不等同可實現績效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最大回撤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-46.89% 至 -3.84%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最差為 14d；長 horizon 資金路徑風險較高</w:t>
            </w:r>
          </w:p>
        </w:tc>
      </w:tr>
    </w:tbl>
    <w:p>
      <w:pPr>
        <w:pStyle w:val="21"/>
      </w:pPr>
      <w:r>
        <w:t>1.2 決策與證據強度</w:t>
      </w:r>
    </w:p>
    <w:p>
      <w:pPr>
        <w:pStyle w:val="a"/>
      </w:pPr>
      <w:r>
        <w:t>Kronos 的 test score 0.333552 在 13 個模型中排名第 3；第 1 名為 Quantile GBDT（0.333099），Kronos 比它高 0.14%；相較 zero-return baseline（0.358960）低 7.08%。本輪與前一輪的 test membership 不同，不能把分數變化直接解讀為同條件進步。</w:t>
      </w:r>
    </w:p>
    <w:p>
      <w:pPr>
        <w:pStyle w:val="Decision"/>
      </w:pPr>
      <w:r>
        <w:t>決策：保留本輪最佳 checkpoint 與完整 test 結果作候選證據；test 已完成一次性評分。在多 seed、區間校準、provider 異質性與長 horizon 回撤等風險完成驗證前，不批准部署或實盤使用。</w:t>
      </w:r>
    </w:p>
    <w:p>
      <w:pPr>
        <w:pStyle w:val="Note"/>
      </w:pPr>
      <w:r>
        <w:t>selection score 衡量 14 個 horizon 的分布誤差。它不是報酬率、勝率或可交易性分數。</w:t>
      </w:r>
    </w:p>
    <w:p>
      <w:pPr>
        <w:pStyle w:val="11"/>
      </w:pPr>
      <w:r>
        <w:t>2. 驗證設計與證據邊界</w:t>
      </w:r>
    </w:p>
    <w:p>
      <w:pPr>
        <w:pStyle w:val="21"/>
      </w:pPr>
      <w:r>
        <w:t>2.1 資料與切分</w:t>
      </w:r>
    </w:p>
    <w:p>
      <w:pPr>
        <w:pStyle w:val="a"/>
      </w:pPr>
      <w:r>
        <w:t>資料 profile 為 us_tw_eodhd，來源包含 EODHD 美國資料、TPEx 官方資料與 TWSE 官方資料。所有模型使用同一 chronological split、benchmark mapping、cutoff-inclusive input context 與 entry／exit timestamps；本輪 test 直接使用完整 test split。</w:t>
      </w:r>
    </w:p>
    <w:p>
      <w:pPr>
        <w:pStyle w:val="Decision"/>
        <w:keepNext/>
        <w:spacing w:after="80"/>
      </w:pPr>
      <w:r>
        <w:t>表 2｜樣本與切分</w:t>
      </w:r>
    </w:p>
    <w:tbl>
      <w:tblPr>
        <w:tblStyle w:val="BenchmarkTable"/>
        <w:tblW w:w="9360" w:type="dxa"/>
        <w:tblLayout w:type="fixed"/>
      </w:tblPr>
      <w:tblGrid>
        <w:gridCol w:w="2800"/>
        <w:gridCol w:w="2050"/>
        <w:gridCol w:w="4510"/>
      </w:tblGrid>
      <w:tr>
        <w:trPr>
          <w:tblHeader/>
        </w:trPr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項目</w:t>
            </w:r>
          </w:p>
        </w:tc>
        <w:tc>
          <w:tcPr>
            <w:tcW w:w="2050" w:type="dxa"/>
            <w:shd w:val="clear" w:fill="DCE6F1"/>
            <w:vAlign w:val="center"/>
          </w:tcPr>
          <w:p>
            <w:pPr>
              <w:pStyle w:val="TableHeader"/>
            </w:pPr>
            <w:r>
              <w:t>數量或狀態</w:t>
            </w:r>
          </w:p>
        </w:tc>
        <w:tc>
          <w:tcPr>
            <w:tcW w:w="4510" w:type="dxa"/>
            <w:shd w:val="clear" w:fill="DCE6F1"/>
            <w:vAlign w:val="center"/>
          </w:tcPr>
          <w:p>
            <w:pPr>
              <w:pStyle w:val="TableHeader"/>
            </w:pPr>
            <w:r>
              <w:t>報告意義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完整 train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30,224,227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完整訓練切分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實際處理訓練樣本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42,314,112／151,121,135（28.00%）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early stopping；未完成所有計畫樣本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完整 validation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1,232,972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用於 checkpoint 選擇與 early stopping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完整 test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1,264,861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本輪直接評估完整 test split；不是抽樣子集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test 日期與日期數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2025-12-01 至 2026-05-11；112 個日期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14 個 horizon 共用完整 symbol-date membership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seed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42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單一 seed；未估計重訓波動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test membership SHA-256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67adda03221adf6c6929e84b7043ce55f62ede5f871dc23fcd8c391d6ebb529a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固定本輪完整 test 成員的可重現識別</w:t>
            </w:r>
          </w:p>
        </w:tc>
      </w:tr>
    </w:tbl>
    <w:p>
      <w:pPr>
        <w:pStyle w:val="a"/>
      </w:pPr>
      <w:r>
        <w:t>訊號在交易日 t 收盤後形成；下一個商品與 benchmark 的共同交易日 raw regular-session open 進場，該日算持有第 1 日，並在第 h 個共同持有交易日 raw close 出場。輸入只到 cutoff_at，未來價格與 label 不得進入模型。</w:t>
      </w:r>
    </w:p>
    <w:p>
      <w:pPr>
        <w:pStyle w:val="21"/>
      </w:pPr>
      <w:r>
        <w:t>2.2 預測的數字是什麼</w:t>
      </w:r>
    </w:p>
    <w:p>
      <w:pPr>
        <w:pStyle w:val="a"/>
      </w:pPr>
      <w:r>
        <w:t>每個 horizon 的真值是 alpha_h = log(asset adjusted gross return) - log(benchmark adjusted gross return)。它回答的是「這檔股票在同一段持有期間，相對 benchmark 多賺或少賺多少」，不是估值、目標價或單獨股價報酬。若 alpha=0.05，精確相對 gross ratio 是 exp(0.05)-1=5.13%。</w:t>
      </w:r>
    </w:p>
    <w:p>
      <w:pPr>
        <w:pStyle w:val="11"/>
      </w:pPr>
      <w:r>
        <w:t>3. 模型輸出與直觀讀法</w:t>
      </w:r>
    </w:p>
    <w:p>
      <w:pPr>
        <w:pStyle w:val="21"/>
      </w:pPr>
      <w:r>
        <w:t>3.1 每個 horizon 都有自己的三種情境</w:t>
      </w:r>
    </w:p>
    <w:p>
      <w:pPr>
        <w:pStyle w:val="a"/>
      </w:pPr>
      <w:r>
        <w:t>schema 5.0 的 alpha_quantiles shape 是 [batch, 14, 3]。14 代表 1 至 14 日；3 代表 q10、q50、q90；三個數字都是該 horizon 的 benchmark-relative adjusted execution log return。</w:t>
      </w:r>
    </w:p>
    <w:p>
      <w:pPr>
        <w:pStyle w:val="Decision"/>
        <w:keepNext/>
        <w:spacing w:after="80"/>
      </w:pPr>
      <w:r>
        <w:t>表 3｜q10 q50 q90 的白話讀法</w:t>
      </w:r>
    </w:p>
    <w:tbl>
      <w:tblPr>
        <w:tblStyle w:val="BenchmarkTable"/>
        <w:tblW w:w="9360" w:type="dxa"/>
        <w:tblLayout w:type="fixed"/>
      </w:tblPr>
      <w:tblGrid>
        <w:gridCol w:w="1300"/>
        <w:gridCol w:w="2400"/>
        <w:gridCol w:w="5660"/>
      </w:tblGrid>
      <w:tr>
        <w:trPr>
          <w:tblHeader/>
        </w:trPr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輸出</w:t>
            </w:r>
          </w:p>
        </w:tc>
        <w:tc>
          <w:tcPr>
            <w:tcW w:w="2400" w:type="dxa"/>
            <w:shd w:val="clear" w:fill="DCE6F1"/>
            <w:vAlign w:val="center"/>
          </w:tcPr>
          <w:p>
            <w:pPr>
              <w:pStyle w:val="TableHeader"/>
            </w:pPr>
            <w:r>
              <w:t>白話名稱</w:t>
            </w:r>
          </w:p>
        </w:tc>
        <w:tc>
          <w:tcPr>
            <w:tcW w:w="5660" w:type="dxa"/>
            <w:shd w:val="clear" w:fill="DCE6F1"/>
            <w:vAlign w:val="center"/>
          </w:tcPr>
          <w:p>
            <w:pPr>
              <w:pStyle w:val="TableHeader"/>
            </w:pPr>
            <w:r>
              <w:t>這個數字在預測什麼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q10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偏悲觀情境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約 10% 的實際結果會低於它；不是下跌機率 10%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q50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中間情境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實際結果約一半較低、一半較高；常作點預測與排序訊號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q90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偏樂觀情境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約 90% 的實際結果會低於它；不是保證上限</w:t>
            </w:r>
          </w:p>
        </w:tc>
      </w:tr>
    </w:tbl>
    <w:p>
      <w:pPr>
        <w:pStyle w:val="21"/>
      </w:pPr>
      <w:r>
        <w:t>3.2 三種股票情境</w:t>
      </w:r>
    </w:p>
    <w:p>
      <w:pPr>
        <w:pStyle w:val="Decision"/>
        <w:keepNext/>
        <w:spacing w:after="80"/>
      </w:pPr>
      <w:r>
        <w:t>表 4｜看到三個數字時應如何判斷</w:t>
      </w:r>
    </w:p>
    <w:tbl>
      <w:tblPr>
        <w:tblStyle w:val="BenchmarkTable"/>
        <w:tblW w:w="9360" w:type="dxa"/>
        <w:tblLayout w:type="fixed"/>
      </w:tblPr>
      <w:tblGrid>
        <w:gridCol w:w="2200"/>
        <w:gridCol w:w="2250"/>
        <w:gridCol w:w="4910"/>
      </w:tblGrid>
      <w:tr>
        <w:trPr>
          <w:tblHeader/>
        </w:trPr>
        <w:tc>
          <w:tcPr>
            <w:tcW w:w="2200" w:type="dxa"/>
            <w:shd w:val="clear" w:fill="DCE6F1"/>
            <w:vAlign w:val="center"/>
          </w:tcPr>
          <w:p>
            <w:pPr>
              <w:pStyle w:val="TableHeader"/>
            </w:pPr>
            <w:r>
              <w:t>股票型態</w:t>
            </w:r>
          </w:p>
        </w:tc>
        <w:tc>
          <w:tcPr>
            <w:tcW w:w="2250" w:type="dxa"/>
            <w:shd w:val="clear" w:fill="DCE6F1"/>
            <w:vAlign w:val="center"/>
          </w:tcPr>
          <w:p>
            <w:pPr>
              <w:pStyle w:val="TableHeader"/>
            </w:pPr>
            <w:r>
              <w:t>q10／q50／q90</w:t>
            </w:r>
          </w:p>
        </w:tc>
        <w:tc>
          <w:tcPr>
            <w:tcW w:w="4910" w:type="dxa"/>
            <w:shd w:val="clear" w:fill="DCE6F1"/>
            <w:vAlign w:val="center"/>
          </w:tcPr>
          <w:p>
            <w:pPr>
              <w:pStyle w:val="TableHeader"/>
            </w:pPr>
            <w:r>
              <w:t>實際解讀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相對強勢股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+0.02／+0.05／+0.09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連偏悲觀 q10 都大於 0；三個情境都預測優於 benchmark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弱勢股或雞蛋水餃股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-0.12／-0.06／-0.01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連偏樂觀 q90 都小於 0；三個情境都預測落後 benchmark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妖股型高波動股票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-0.08／-0.01／+0.25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中間接近持平但樂觀尾端很大；不代表有 25% 機率上漲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方向偏多但有下行風險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-0.04／+0.03／+0.10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q50 高於 0 但 q10 低於 0；悲觀情境仍可能落後</w:t>
            </w:r>
          </w:p>
        </w:tc>
      </w:tr>
    </w:tbl>
    <w:p>
      <w:pPr>
        <w:pStyle w:val="Note"/>
      </w:pPr>
      <w:r>
        <w:t>三個數字的正負決定相對 benchmark 的方向；三者之間的距離表示模型認為可能結果有多分散。它們不是股價、估值或三種互斥事件的機率。</w:t>
      </w:r>
    </w:p>
    <w:p>
      <w:pPr>
        <w:pStyle w:val="21"/>
      </w:pPr>
      <w:r>
        <w:t>3.3 輸出約束與相容欄位</w:t>
      </w:r>
    </w:p>
    <w:p>
      <w:pPr>
        <w:pStyle w:val="Lead"/>
      </w:pPr>
      <w:r>
        <w:t>alpha head 先產生 q50，再以正值距離形成 q10=q50-lower_gap 與 q90=q50+upper_gap，維持 q10≤q50≤q90。bullish、bearish、strong signal 是後處理標籤，不是分類器輸出。設定中的 forecast_horizon=5 與 primary_5d 是舊相容欄位；實際輸出為 [batch,14,3]，checkpoint monitor 彙總 1 至 14 日 normalized pinball，本報告完整評估 1 至 14 日。</w:t>
      </w:r>
    </w:p>
    <w:p>
      <w:pPr>
        <w:pStyle w:val="11"/>
      </w:pPr>
      <w:r>
        <w:t>4. 訓練完成度 早停與 checkpoint</w:t>
      </w:r>
    </w:p>
    <w:p>
      <w:pPr>
        <w:pStyle w:val="21"/>
      </w:pPr>
      <w:r>
        <w:t>4.1 執行狀態</w:t>
      </w:r>
    </w:p>
    <w:p>
      <w:pPr>
        <w:pStyle w:val="Decision"/>
        <w:keepNext/>
        <w:spacing w:after="80"/>
      </w:pPr>
      <w:r>
        <w:t>表 5｜訓練摘要</w:t>
      </w:r>
    </w:p>
    <w:tbl>
      <w:tblPr>
        <w:tblStyle w:val="BenchmarkTable"/>
        <w:tblW w:w="9360" w:type="dxa"/>
        <w:tblLayout w:type="fixed"/>
      </w:tblPr>
      <w:tblGrid>
        <w:gridCol w:w="3100"/>
        <w:gridCol w:w="6260"/>
      </w:tblGrid>
      <w:tr>
        <w:trPr>
          <w:tblHeader/>
        </w:trPr>
        <w:tc>
          <w:tcPr>
            <w:tcW w:w="3100" w:type="dxa"/>
            <w:shd w:val="clear" w:fill="DCE6F1"/>
            <w:vAlign w:val="center"/>
          </w:tcPr>
          <w:p>
            <w:pPr>
              <w:pStyle w:val="TableHeader"/>
            </w:pPr>
            <w:r>
              <w:t>項目</w:t>
            </w:r>
          </w:p>
        </w:tc>
        <w:tc>
          <w:tcPr>
            <w:tcW w:w="6260" w:type="dxa"/>
            <w:shd w:val="clear" w:fill="DCE6F1"/>
            <w:vAlign w:val="center"/>
          </w:tcPr>
          <w:p>
            <w:pPr>
              <w:pStyle w:val="TableHeader"/>
            </w:pPr>
            <w:r>
              <w:t>結果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完成證據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training_completed=true；training/validation lifecycle 均 ready；completion result 已產生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Lifecycle 狀態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training exit code 0；validation exit code 0；未逾時；兩階段完成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epoch 與 global step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1 個 completed epoch；停止於 step 165,290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處理訓練樣本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42,314,112／151,121,135（28.00%）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validation 次數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7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停止原因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early_stopping；early-stopping patience 5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最佳與末次 validation monitor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0.297426／0.303861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模型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Kronos-base + LoRA；market-aware alpha head；ranking loss weight 0.05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訓練硬體與精度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NVIDIA RTX PRO 6000 Blackwell Workstation Edition；bfloat16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推論執行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1,264,861 samples；384.0 samples/s；5 workers</w:t>
            </w:r>
          </w:p>
        </w:tc>
      </w:tr>
    </w:tbl>
    <w:p>
      <w:pPr>
        <w:pStyle w:val="21"/>
      </w:pPr>
      <w:r>
        <w:t>4.2 Checkpoint 排名</w:t>
      </w:r>
    </w:p>
    <w:tbl>
      <w:tblPr>
        <w:tblStyle w:val="BenchmarkTable"/>
        <w:tblW w:w="9360" w:type="dxa"/>
        <w:tblLayout w:type="fixed"/>
      </w:tblPr>
      <w:tblGrid>
        <w:gridCol w:w="900"/>
        <w:gridCol w:w="3100"/>
        <w:gridCol w:w="1800"/>
        <w:gridCol w:w="3560"/>
      </w:tblGrid>
      <w:tr>
        <w:trPr>
          <w:tblHeader/>
        </w:trPr>
        <w:tc>
          <w:tcPr>
            <w:tcW w:w="900" w:type="dxa"/>
            <w:shd w:val="clear" w:fill="DCE6F1"/>
            <w:vAlign w:val="center"/>
          </w:tcPr>
          <w:p>
            <w:pPr>
              <w:pStyle w:val="TableHeader"/>
            </w:pPr>
            <w:r>
              <w:t>排名</w:t>
            </w:r>
          </w:p>
        </w:tc>
        <w:tc>
          <w:tcPr>
            <w:tcW w:w="3100" w:type="dxa"/>
            <w:shd w:val="clear" w:fill="DCE6F1"/>
            <w:vAlign w:val="center"/>
          </w:tcPr>
          <w:p>
            <w:pPr>
              <w:pStyle w:val="TableHeader"/>
            </w:pPr>
            <w:r>
              <w:t>Checkpoint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Step</w:t>
            </w:r>
          </w:p>
        </w:tc>
        <w:tc>
          <w:tcPr>
            <w:tcW w:w="3560" w:type="dxa"/>
            <w:shd w:val="clear" w:fill="DCE6F1"/>
            <w:vAlign w:val="center"/>
          </w:tcPr>
          <w:p>
            <w:pPr>
              <w:pStyle w:val="TableHeader"/>
            </w:pPr>
            <w:r>
              <w:t>14 horizon score</w:t>
            </w:r>
          </w:p>
        </w:tc>
      </w:tr>
      <w:tr>
        <w:trPr>
          <w:cantSplit/>
        </w:trPr>
        <w:tc>
          <w:tcPr>
            <w:tcW w:w="90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3100" w:type="dxa"/>
            <w:shd w:val="clear" w:fill="EDF5FC"/>
            <w:vAlign w:val="center"/>
          </w:tcPr>
          <w:p>
            <w:pPr>
              <w:pStyle w:val="TableText"/>
            </w:pPr>
            <w:r>
              <w:t>checkpoint-023613</w:t>
            </w:r>
          </w:p>
        </w:tc>
        <w:tc>
          <w:tcPr>
            <w:tcW w:w="1800" w:type="dxa"/>
            <w:shd w:val="clear" w:fill="EDF5FC"/>
            <w:vAlign w:val="center"/>
          </w:tcPr>
          <w:p>
            <w:pPr>
              <w:pStyle w:val="TableNumber"/>
            </w:pPr>
            <w:r>
              <w:t>23,613</w:t>
            </w:r>
          </w:p>
        </w:tc>
        <w:tc>
          <w:tcPr>
            <w:tcW w:w="3560" w:type="dxa"/>
            <w:shd w:val="clear" w:fill="EDF5FC"/>
            <w:vAlign w:val="center"/>
          </w:tcPr>
          <w:p>
            <w:pPr>
              <w:pStyle w:val="TableNumber"/>
            </w:pPr>
            <w:r>
              <w:t>0.297426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checkpoint-070839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70,839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0.299942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checkpoint-047226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47,226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0.301515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checkpoint-118064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118,064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0.302508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checkpoint-165290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165,290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0.303861</w:t>
            </w:r>
          </w:p>
        </w:tc>
      </w:tr>
    </w:tbl>
    <w:p>
      <w:pPr>
        <w:pStyle w:val="a"/>
      </w:pPr>
      <w:r>
        <w:t>最佳 checkpoint checkpoint-023613 的 validation monitor 為 0.297426，test score 為 0.333552；末次 monitor 0.303861。本輪 7 次 validation evaluation 後 early stopping。正式推論必須使用 best-checkpoint.json 指向的 checkpoint。</w:t>
      </w:r>
    </w:p>
    <w:p>
      <w:pPr>
        <w:pStyle w:val="11"/>
      </w:pPr>
      <w:r>
        <w:t>5. 十三個模型的全 horizon 比較</w:t>
      </w:r>
    </w:p>
    <w:p>
      <w:pPr>
        <w:pStyle w:val="Decision"/>
        <w:keepNext/>
        <w:spacing w:after="80"/>
      </w:pPr>
      <w:r>
        <w:t>表 6｜前六名分布預測比較</w:t>
      </w:r>
    </w:p>
    <w:tbl>
      <w:tblPr>
        <w:tblStyle w:val="BenchmarkTable"/>
        <w:tblW w:w="9360" w:type="dxa"/>
        <w:tblLayout w:type="fixed"/>
      </w:tblPr>
      <w:tblGrid>
        <w:gridCol w:w="650"/>
        <w:gridCol w:w="2800"/>
        <w:gridCol w:w="1900"/>
        <w:gridCol w:w="1330"/>
        <w:gridCol w:w="1330"/>
        <w:gridCol w:w="135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名次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模型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1 至 14 日 score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pStyle w:val="TableHeader"/>
            </w:pPr>
            <w:r>
              <w:t>Net Sharpe</w:t>
            </w:r>
          </w:p>
        </w:tc>
      </w:tr>
      <w:tr>
        <w:trPr>
          <w:cantSplit/>
        </w:trPr>
        <w:tc>
          <w:tcPr>
            <w:tcW w:w="65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2800" w:type="dxa"/>
            <w:shd w:val="clear" w:fill="EDF5FC"/>
            <w:vAlign w:val="center"/>
          </w:tcPr>
          <w:p>
            <w:pPr>
              <w:pStyle w:val="TableText"/>
            </w:pPr>
            <w:r>
              <w:t>Compact PatchTST</w:t>
            </w:r>
          </w:p>
        </w:tc>
        <w:tc>
          <w:tcPr>
            <w:tcW w:w="1900" w:type="dxa"/>
            <w:shd w:val="clear" w:fill="EDF5FC"/>
            <w:vAlign w:val="center"/>
          </w:tcPr>
          <w:p>
            <w:pPr>
              <w:pStyle w:val="TableNumber"/>
            </w:pPr>
            <w:r>
              <w:t>0.333073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75.98%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0.0731</w:t>
            </w:r>
          </w:p>
        </w:tc>
        <w:tc>
          <w:tcPr>
            <w:tcW w:w="1350" w:type="dxa"/>
            <w:shd w:val="clear" w:fill="EDF5FC"/>
            <w:vAlign w:val="center"/>
          </w:tcPr>
          <w:p>
            <w:pPr>
              <w:pStyle w:val="TableNumber"/>
            </w:pPr>
            <w:r>
              <w:t>2.907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Quantile GBDT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0.333099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77.15%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0.0202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0.797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Kronos-base + LoRA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0.333552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72.70%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0.0682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4.114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成對 GRU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0.334072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73.46%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0.1040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3.708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固定偏多分布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0.358960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77.09%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6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零報酬分布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0.358960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77.09%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</w:t>
            </w:r>
          </w:p>
        </w:tc>
      </w:tr>
    </w:tbl>
    <w:p>
      <w:pPr>
        <w:pStyle w:val="a"/>
      </w:pPr>
      <w:r>
        <w:t>Kronos 的全 horizon test score 在 13 個模型中排名第 3；在 9 個完整輸出模型中，normalized pinball 有 14/14、RankIC 有 14/14、成本後 Sharpe 有 11/14 排名第 1。這是完整 test holdout 的描述性比較，不是部署績效證明。</w:t>
      </w:r>
    </w:p>
    <w:p>
      <w:pPr>
        <w:pStyle w:val="11"/>
      </w:pPr>
      <w:r>
        <w:t>6. 一至十四日完整結果</w:t>
      </w:r>
    </w:p>
    <w:p>
      <w:pPr>
        <w:pStyle w:val="21"/>
      </w:pPr>
      <w:r>
        <w:t>6.1 誤差與不同 horizon 的可比性</w:t>
      </w:r>
    </w:p>
    <w:p>
      <w:pPr>
        <w:pStyle w:val="Decision"/>
        <w:keepNext/>
        <w:spacing w:after="80"/>
      </w:pPr>
      <w:r>
        <w:t>表 7｜每個 horizon 的預測誤差</w:t>
      </w:r>
    </w:p>
    <w:tbl>
      <w:tblPr>
        <w:tblStyle w:val="BenchmarkTable"/>
        <w:tblW w:w="9360" w:type="dxa"/>
        <w:tblLayout w:type="fixed"/>
      </w:tblPr>
      <w:tblGrid>
        <w:gridCol w:w="650"/>
        <w:gridCol w:w="1400"/>
        <w:gridCol w:w="1550"/>
        <w:gridCol w:w="1550"/>
        <w:gridCol w:w="1050"/>
        <w:gridCol w:w="1550"/>
        <w:gridCol w:w="161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Train robust scale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Raw pinball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N-pinball</w:t>
            </w:r>
          </w:p>
        </w:tc>
        <w:tc>
          <w:tcPr>
            <w:tcW w:w="1050" w:type="dxa"/>
            <w:shd w:val="clear" w:fill="DCE6F1"/>
            <w:vAlign w:val="center"/>
          </w:tcPr>
          <w:p>
            <w:pPr>
              <w:pStyle w:val="TableHeader"/>
            </w:pPr>
            <w:r>
              <w:t>排名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q50 MAE</w:t>
            </w:r>
          </w:p>
        </w:tc>
        <w:tc>
          <w:tcPr>
            <w:tcW w:w="1610" w:type="dxa"/>
            <w:shd w:val="clear" w:fill="DCE6F1"/>
            <w:vAlign w:val="center"/>
          </w:tcPr>
          <w:p>
            <w:pPr>
              <w:pStyle w:val="TableHeader"/>
            </w:pPr>
            <w:r>
              <w:t>N-MAE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0.01711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0.00694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0.40575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0.02038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1.1911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0.02958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0.01041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0.35194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0.03094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1.0459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0.03812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0.01289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0.33802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0.03838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1.0066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0.04485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0.01494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0.33300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0.04453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0.9927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0.05100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0.01681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0.32956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0.05017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0.9837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0.05656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0.01858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0.32844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0.05543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0.9800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0.06162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0.02023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0.32834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0.06030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0.9785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0.06659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0.02170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0.32587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0.06467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0.9712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0.07116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0.02316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0.32543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0.06896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0.9690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0.07547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0.02452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0.32492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0.07299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0.9672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0.08001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0.02580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0.32243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0.07690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0.9611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0.08466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0.02706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0.31966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0.08070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0.9532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0.08906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0.02827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0.31744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0.08431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0.9466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0.09233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0.02945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0.31893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0.08794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0.9525</w:t>
            </w:r>
          </w:p>
        </w:tc>
      </w:tr>
    </w:tbl>
    <w:p>
      <w:pPr>
        <w:pStyle w:val="a"/>
      </w:pPr>
      <w:r>
        <w:t>raw pinball 與 q50 MAE 隨 horizon 變長而增加；以 train-only robust scale 正規化後，normalized pinball 從 1 日 0.4057 到 14 日 0.3189，代表相對各 horizon 尺度的分布誤差，不代表長期 raw return error 較小。</w:t>
      </w:r>
    </w:p>
    <w:p>
      <w:pPr>
        <w:pStyle w:val="21"/>
      </w:pPr>
      <w:r>
        <w:t>6.2 q50 與區間校準</w:t>
      </w:r>
    </w:p>
    <w:p>
      <w:pPr>
        <w:pStyle w:val="Decision"/>
        <w:keepNext/>
        <w:spacing w:after="80"/>
      </w:pPr>
      <w:r>
        <w:t>表 8｜每個 horizon 的點預測與區間</w:t>
      </w:r>
    </w:p>
    <w:tbl>
      <w:tblPr>
        <w:tblStyle w:val="BenchmarkTable"/>
        <w:tblW w:w="9360" w:type="dxa"/>
        <w:tblLayout w:type="fixed"/>
      </w:tblPr>
      <w:tblGrid>
        <w:gridCol w:w="700"/>
        <w:gridCol w:w="1600"/>
        <w:gridCol w:w="1650"/>
        <w:gridCol w:w="1650"/>
        <w:gridCol w:w="1800"/>
        <w:gridCol w:w="1960"/>
      </w:tblGrid>
      <w:tr>
        <w:trPr>
          <w:tblHeader/>
        </w:trPr>
        <w:tc>
          <w:tcPr>
            <w:tcW w:w="70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方向一致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低於80% (pp)</w:t>
            </w:r>
          </w:p>
        </w:tc>
        <w:tc>
          <w:tcPr>
            <w:tcW w:w="1960" w:type="dxa"/>
            <w:shd w:val="clear" w:fill="DCE6F1"/>
            <w:vAlign w:val="center"/>
          </w:tcPr>
          <w:p>
            <w:pPr>
              <w:pStyle w:val="TableHeader"/>
            </w:pPr>
            <w:r>
              <w:t>區間寬度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0.0670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51.98%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76.25%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3.75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0.06046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0.0681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53.81%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76.22%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3.78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0.09065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0.0653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54.94%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75.42%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4.58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0.10987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0.0666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54.77%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73.56%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6.44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0.12510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0.0682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54.80%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72.70%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7.30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0.14000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0.0694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54.50%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71.80%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8.20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0.15340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0.0744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54.71%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70.56%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9.44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0.16394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0.0792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54.85%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70.17%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9.83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0.17523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0.0794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54.98%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69.23%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10.77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0.18455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0.0772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54.99%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68.95%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11.05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0.19408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0.0781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55.58%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69.19%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10.81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0.20648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0.0768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55.55%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68.93%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11.07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0.21616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0.0747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56.31%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68.68%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11.32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0.22421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0.0739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56.38%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68.63%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11.37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0.23479</w:t>
            </w:r>
          </w:p>
        </w:tc>
      </w:tr>
    </w:tbl>
    <w:p>
      <w:pPr>
        <w:pStyle w:val="a"/>
      </w:pPr>
      <w:r>
        <w:t>q50 correlation 從 1 日 0.0670 到 14 日 0.0739，整體偏弱；方向一致率為 51.98% 至 56.38%。coverage 為 68.63% 至 76.25%，14 個 horizon 全低於 80%；區間寬度從 0.0605 增至 0.2348。</w:t>
      </w:r>
    </w:p>
    <w:p>
      <w:pPr>
        <w:pStyle w:val="21"/>
      </w:pPr>
      <w:r>
        <w:t>6.3 橫斷面排序與資金路徑</w:t>
      </w:r>
    </w:p>
    <w:p>
      <w:pPr>
        <w:pStyle w:val="Decision"/>
        <w:keepNext/>
        <w:spacing w:after="80"/>
      </w:pPr>
      <w:r>
        <w:t>表 9｜每個 horizon 的經濟診斷</w:t>
      </w:r>
    </w:p>
    <w:tbl>
      <w:tblPr>
        <w:tblStyle w:val="BenchmarkTable"/>
        <w:tblW w:w="9360" w:type="dxa"/>
        <w:tblLayout w:type="fixed"/>
      </w:tblPr>
      <w:tblGrid>
        <w:gridCol w:w="650"/>
        <w:gridCol w:w="1900"/>
        <w:gridCol w:w="1100"/>
        <w:gridCol w:w="1500"/>
        <w:gridCol w:w="1650"/>
        <w:gridCol w:w="1600"/>
        <w:gridCol w:w="96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RankIC (排名)</w:t>
            </w:r>
          </w:p>
        </w:tc>
        <w:tc>
          <w:tcPr>
            <w:tcW w:w="1100" w:type="dxa"/>
            <w:shd w:val="clear" w:fill="DCE6F1"/>
            <w:vAlign w:val="center"/>
          </w:tcPr>
          <w:p>
            <w:pPr>
              <w:pStyle w:val="TableHeader"/>
            </w:pPr>
            <w:r>
              <w:t>ICIR</w:t>
            </w:r>
          </w:p>
        </w:tc>
        <w:tc>
          <w:tcPr>
            <w:tcW w:w="1500" w:type="dxa"/>
            <w:shd w:val="clear" w:fill="DCE6F1"/>
            <w:vAlign w:val="center"/>
          </w:tcPr>
          <w:p>
            <w:pPr>
              <w:pStyle w:val="TableHeader"/>
            </w:pPr>
            <w:r>
              <w:t>淨 log 報酬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Sharpe (排名)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pStyle w:val="TableHeader"/>
            </w:pPr>
            <w:r>
              <w:t>MDD (排名)</w:t>
            </w:r>
          </w:p>
        </w:tc>
        <w:tc>
          <w:tcPr>
            <w:tcW w:w="960" w:type="dxa"/>
            <w:shd w:val="clear" w:fill="DCE6F1"/>
            <w:vAlign w:val="center"/>
          </w:tcPr>
          <w:p>
            <w:pPr>
              <w:pStyle w:val="TableHeader"/>
            </w:pPr>
            <w:r>
              <w:t>Turnover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0.0824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0.619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0.60%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9.340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-3.84% (3/9)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0.462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0.0922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0.749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0.92%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6.790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-6.37% (3/9)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0.480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0.0928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0.772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1.08%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5.169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-11.88% (3/9)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0.473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0.0970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0.813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1.29%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4.689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-15.83% (4/9)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0.487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0.1015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0.817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1.47%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4.114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-19.68%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0.492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0.1071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0.830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1.72%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3.938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-23.53%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0.488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0.1145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0.865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2.04%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3.868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-27.60%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0.490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0.1197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0.886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2.33%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3.808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-29.38%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0.491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0.1195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0.853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2.51%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3.512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-32.32%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0.488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0.1206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0.827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2.68%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3.266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-36.96%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0.492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0.1203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0.827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2.84%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3.086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-40.36%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0.482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0.1209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0.821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2.98%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2.925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-42.93%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0.475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0.1199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0.803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3.05%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2.735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-44.89%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0.474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0.1197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0.797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3.16%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2.609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-46.89%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0.469</w:t>
            </w:r>
          </w:p>
        </w:tc>
      </w:tr>
    </w:tbl>
    <w:p>
      <w:pPr>
        <w:pStyle w:val="a"/>
      </w:pPr>
      <w:r>
        <w:t>RankIC 與成本後 Sharpe 在 14 個 horizon 全為正；其中 RankIC 有 14/14、成本後 Sharpe 有 11/14 在 9 個完整輸出模型中排名第 1。最大回撤介於 -46.89% 至 -3.84%，最差為 14d；這些經濟診斷仍受重疊報酬與簡化交易成本限制。</w:t>
      </w:r>
    </w:p>
    <w:p>
      <w:pPr>
        <w:pStyle w:val="Note"/>
      </w:pPr>
      <w:r>
        <w:t>回測以每單位 turnover 固定扣 10 bps，Sharpe 使用 sqrt(252/h) 年化；沒有校正 overlapping forward returns 的自相關，也未完整模擬市場衝擊、借券、容量、滑價與稅費。</w:t>
      </w:r>
    </w:p>
    <w:p>
      <w:pPr>
        <w:pStyle w:val="11"/>
      </w:pPr>
      <w:r>
        <w:t>7. 一至十四日衍生訊號分布</w:t>
      </w:r>
    </w:p>
    <w:p>
      <w:pPr>
        <w:pStyle w:val="Decision"/>
        <w:keepNext/>
        <w:spacing w:after="80"/>
      </w:pPr>
      <w:r>
        <w:t>表 10｜threshold 等於 0 的後處理標籤</w:t>
      </w:r>
    </w:p>
    <w:tbl>
      <w:tblPr>
        <w:tblStyle w:val="BenchmarkTable"/>
        <w:tblW w:w="9360" w:type="dxa"/>
        <w:tblLayout w:type="fixed"/>
      </w:tblPr>
      <w:tblGrid>
        <w:gridCol w:w="900"/>
        <w:gridCol w:w="1800"/>
        <w:gridCol w:w="1800"/>
        <w:gridCol w:w="1800"/>
        <w:gridCol w:w="3060"/>
      </w:tblGrid>
      <w:tr>
        <w:trPr>
          <w:tblHeader/>
        </w:trPr>
        <w:tc>
          <w:tcPr>
            <w:tcW w:w="90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Bearish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Neutral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Bullish</w:t>
            </w:r>
          </w:p>
        </w:tc>
        <w:tc>
          <w:tcPr>
            <w:tcW w:w="3060" w:type="dxa"/>
            <w:shd w:val="clear" w:fill="DCE6F1"/>
            <w:vAlign w:val="center"/>
          </w:tcPr>
          <w:p>
            <w:pPr>
              <w:pStyle w:val="TableHeader"/>
            </w:pPr>
            <w:r>
              <w:t>強空／強多（筆）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84.58%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15.42%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0／0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86.71%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13.29%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0／0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90.55%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9.45%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0／0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89.88%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10.12%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17／0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89.71%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10.05%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2,970／2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89.52%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9.64%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10,637／2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88.79%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9.36%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23,396／32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86.80%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10.37%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35,779／48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86.43%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9.62%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49,910／53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85.78%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10.08%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52,175／84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86.58%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8.61%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60,751／94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87.16%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8.58%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53,801／90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86.94%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8.54%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57,094／70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88.72%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8.10%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40,163／68</w:t>
            </w:r>
          </w:p>
        </w:tc>
      </w:tr>
    </w:tbl>
    <w:p>
      <w:pPr>
        <w:pStyle w:val="a"/>
      </w:pPr>
      <w:r>
        <w:t>所有 horizon 都沒有 neutral；bearish 佔比 84.58% 至 90.55%。strong_bearish／strong_bullish 合計為 386,693／543。這些規則標籤描述 q10、q50、q90 相對 0 的位置，不是上漲或下跌機率。</w:t>
      </w:r>
    </w:p>
    <w:p>
      <w:pPr>
        <w:pStyle w:val="11"/>
      </w:pPr>
      <w:r>
        <w:t>8. Provider 與年度穩定性</w:t>
      </w:r>
    </w:p>
    <w:p>
      <w:pPr>
        <w:pStyle w:val="21"/>
      </w:pPr>
      <w:r>
        <w:t>8.1 Provider 切片</w:t>
      </w:r>
    </w:p>
    <w:tbl>
      <w:tblPr>
        <w:tblStyle w:val="BenchmarkTable"/>
        <w:tblW w:w="9360" w:type="dxa"/>
        <w:tblLayout w:type="fixed"/>
      </w:tblPr>
      <w:tblGrid>
        <w:gridCol w:w="1500"/>
        <w:gridCol w:w="1100"/>
        <w:gridCol w:w="1300"/>
        <w:gridCol w:w="1400"/>
        <w:gridCol w:w="1800"/>
        <w:gridCol w:w="1250"/>
        <w:gridCol w:w="1010"/>
      </w:tblGrid>
      <w:tr>
        <w:trPr>
          <w:tblHeader/>
        </w:trPr>
        <w:tc>
          <w:tcPr>
            <w:tcW w:w="1500" w:type="dxa"/>
            <w:shd w:val="clear" w:fill="DCE6F1"/>
            <w:vAlign w:val="center"/>
          </w:tcPr>
          <w:p>
            <w:pPr>
              <w:pStyle w:val="TableHeader"/>
            </w:pPr>
            <w:r>
              <w:t>Provider</w:t>
            </w:r>
          </w:p>
        </w:tc>
        <w:tc>
          <w:tcPr>
            <w:tcW w:w="1100" w:type="dxa"/>
            <w:shd w:val="clear" w:fill="DCE6F1"/>
            <w:vAlign w:val="center"/>
          </w:tcPr>
          <w:p>
            <w:pPr>
              <w:pStyle w:val="TableHeader"/>
            </w:pPr>
            <w:r>
              <w:t>n</w:t>
            </w:r>
          </w:p>
        </w:tc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14H score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平均 q50 Corr.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Corr. 範圍</w:t>
            </w:r>
          </w:p>
        </w:tc>
        <w:tc>
          <w:tcPr>
            <w:tcW w:w="1250" w:type="dxa"/>
            <w:shd w:val="clear" w:fill="DCE6F1"/>
            <w:vAlign w:val="center"/>
          </w:tcPr>
          <w:p>
            <w:pPr>
              <w:pStyle w:val="TableHeader"/>
            </w:pPr>
            <w:r>
              <w:t>平均方向</w:t>
            </w:r>
          </w:p>
        </w:tc>
        <w:tc>
          <w:tcPr>
            <w:tcW w:w="1010" w:type="dxa"/>
            <w:shd w:val="clear" w:fill="DCE6F1"/>
            <w:vAlign w:val="center"/>
          </w:tcPr>
          <w:p>
            <w:pPr>
              <w:pStyle w:val="TableHeader"/>
            </w:pPr>
            <w:r>
              <w:t>平均 Coverage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EODHD / US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1,070,763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0.337084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0.0716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0.0553 至 0.0808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52.12%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72.63%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TPEx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85,346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0.325100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-0.0159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-0.0658 至 0.0610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71.50%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64.86%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TWSE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108,752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0.305410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-0.0359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-0.0904 至 0.0529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68.83%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64.97%</w:t>
            </w:r>
          </w:p>
        </w:tc>
      </w:tr>
    </w:tbl>
    <w:p>
      <w:pPr>
        <w:pStyle w:val="a"/>
      </w:pPr>
      <w:r>
        <w:t>Provider 切片的樣本數、交易所、期間與標的組成都不同；TPEx/TWSE coverage 明顯低於 US。平均 correlation 與方向一致率可能不同，因前者看連續值共變動，後者只比較正負號；分組只能作穩定性診斷。</w:t>
      </w:r>
    </w:p>
    <w:p>
      <w:pPr>
        <w:pStyle w:val="21"/>
      </w:pPr>
      <w:r>
        <w:t>8.2 年度切片</w:t>
      </w:r>
    </w:p>
    <w:tbl>
      <w:tblPr>
        <w:tblStyle w:val="BenchmarkTable"/>
        <w:tblW w:w="9360" w:type="dxa"/>
        <w:tblLayout w:type="fixed"/>
      </w:tblPr>
      <w:tblGrid>
        <w:gridCol w:w="1300"/>
        <w:gridCol w:w="1200"/>
        <w:gridCol w:w="1400"/>
        <w:gridCol w:w="1400"/>
        <w:gridCol w:w="1800"/>
        <w:gridCol w:w="1200"/>
        <w:gridCol w:w="1060"/>
      </w:tblGrid>
      <w:tr>
        <w:trPr>
          <w:tblHeader/>
        </w:trPr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年度</w:t>
            </w:r>
          </w:p>
        </w:tc>
        <w:tc>
          <w:tcPr>
            <w:tcW w:w="1200" w:type="dxa"/>
            <w:shd w:val="clear" w:fill="DCE6F1"/>
            <w:vAlign w:val="center"/>
          </w:tcPr>
          <w:p>
            <w:pPr>
              <w:pStyle w:val="TableHeader"/>
            </w:pPr>
            <w:r>
              <w:t>n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14H score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平均 q50 Corr.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Corr. 範圍</w:t>
            </w:r>
          </w:p>
        </w:tc>
        <w:tc>
          <w:tcPr>
            <w:tcW w:w="1200" w:type="dxa"/>
            <w:shd w:val="clear" w:fill="DCE6F1"/>
            <w:vAlign w:val="center"/>
          </w:tcPr>
          <w:p>
            <w:pPr>
              <w:pStyle w:val="TableHeader"/>
            </w:pPr>
            <w:r>
              <w:t>平均方向</w:t>
            </w:r>
          </w:p>
        </w:tc>
        <w:tc>
          <w:tcPr>
            <w:tcW w:w="1060" w:type="dxa"/>
            <w:shd w:val="clear" w:fill="DCE6F1"/>
            <w:vAlign w:val="center"/>
          </w:tcPr>
          <w:p>
            <w:pPr>
              <w:pStyle w:val="TableHeader"/>
            </w:pPr>
            <w:r>
              <w:t>平均 Coverage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2025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249,382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0.304486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0.0423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0.0105 至 0.0649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54.09%</w:t>
            </w:r>
          </w:p>
        </w:tc>
        <w:tc>
          <w:tcPr>
            <w:tcW w:w="1060" w:type="dxa"/>
            <w:vAlign w:val="center"/>
          </w:tcPr>
          <w:p>
            <w:pPr>
              <w:pStyle w:val="TableNumber"/>
            </w:pPr>
            <w:r>
              <w:t>76.36%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2026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1,015,479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0.340690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0.0879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0.0695 至 0.1026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55.06%</w:t>
            </w:r>
          </w:p>
        </w:tc>
        <w:tc>
          <w:tcPr>
            <w:tcW w:w="1060" w:type="dxa"/>
            <w:vAlign w:val="center"/>
          </w:tcPr>
          <w:p>
            <w:pPr>
              <w:pStyle w:val="TableNumber"/>
            </w:pPr>
            <w:r>
              <w:t>70.25%</w:t>
            </w:r>
          </w:p>
        </w:tc>
      </w:tr>
    </w:tbl>
    <w:p>
      <w:pPr>
        <w:pStyle w:val="Lead"/>
      </w:pPr>
      <w:r>
        <w:t>年度切片為 2025、2026；2025=249,382；2026=1,015,479。樣本數不均，年度 score、coverage 與 correlation 不能單獨證明時間外推能力。</w:t>
      </w:r>
    </w:p>
    <w:p>
      <w:pPr>
        <w:pStyle w:val="11"/>
      </w:pPr>
      <w:r>
        <w:t>9. 風險與下一階段</w:t>
      </w:r>
    </w:p>
    <w:p>
      <w:pPr>
        <w:pStyle w:val="Decision"/>
        <w:keepNext/>
        <w:spacing w:after="80"/>
      </w:pPr>
      <w:r>
        <w:t>表 11｜主要限制與必要驗證</w:t>
      </w:r>
    </w:p>
    <w:tbl>
      <w:tblPr>
        <w:tblStyle w:val="BenchmarkTable"/>
        <w:tblW w:w="9360" w:type="dxa"/>
        <w:tblLayout w:type="fixed"/>
      </w:tblPr>
      <w:tblGrid>
        <w:gridCol w:w="2500"/>
        <w:gridCol w:w="2900"/>
        <w:gridCol w:w="3960"/>
      </w:tblGrid>
      <w:tr>
        <w:trPr>
          <w:tblHeader/>
        </w:trPr>
        <w:tc>
          <w:tcPr>
            <w:tcW w:w="2500" w:type="dxa"/>
            <w:shd w:val="clear" w:fill="DCE6F1"/>
            <w:vAlign w:val="center"/>
          </w:tcPr>
          <w:p>
            <w:pPr>
              <w:pStyle w:val="TableHeader"/>
            </w:pPr>
            <w:r>
              <w:t>風險</w:t>
            </w:r>
          </w:p>
        </w:tc>
        <w:tc>
          <w:tcPr>
            <w:tcW w:w="2900" w:type="dxa"/>
            <w:shd w:val="clear" w:fill="DCE6F1"/>
            <w:vAlign w:val="center"/>
          </w:tcPr>
          <w:p>
            <w:pPr>
              <w:pStyle w:val="TableHeader"/>
            </w:pPr>
            <w:r>
              <w:t>目前證據</w:t>
            </w:r>
          </w:p>
        </w:tc>
        <w:tc>
          <w:tcPr>
            <w:tcW w:w="3960" w:type="dxa"/>
            <w:shd w:val="clear" w:fill="DCE6F1"/>
            <w:vAlign w:val="center"/>
          </w:tcPr>
          <w:p>
            <w:pPr>
              <w:pStyle w:val="TableHeader"/>
            </w:pPr>
            <w:r>
              <w:t>下一道驗證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完整 test holdout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1,264,861 筆、112 日期；checkpoint 由 validation 選出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保留一次性 holdout，下一輪預先固定 membership 與 protocol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單一 seed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seed=42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多 seed 報告中位數、離散度及最差值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區間 coverage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14／14 低於 80%；最低 68.63%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只用 validation 擬合分 horizon 校準後重新評估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q50 關聯偏弱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0.0653 至 0.0794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檢查 provider、月份及 regime 的排序穩定度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訊號分布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bearish 84.58% 至 90.55%；neutral 全為 0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逐 horizon 固定 threshold 與 position mapping；標籤不是機率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長 horizon 回撤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最差 -46.89%（14d）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加入曝險上限、回撤門檻與成本情境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Provider 異質性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TPEx/TWSE coverage 明顯低於 US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逐 provider 稽核資料、樣本與校準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年度樣本不平衡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2025=249,382；2026=1,015,479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增加 rolling、regime 與完整年度測試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簡化交易成本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固定 10 bps × turnover；forward returns 重疊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納入滑價、借券、容量、稅費及重疊報酬穩健估計</w:t>
            </w:r>
          </w:p>
        </w:tc>
      </w:tr>
    </w:tbl>
    <w:p>
      <w:pPr>
        <w:pStyle w:val="Lead"/>
      </w:pPr>
      <w:r>
        <w:t>最終判斷：本輪 test score 0.333552 在 13 個模型中排名第 3；9 個完整輸出模型中，normalized pinball 有 14/14、RankIC 有 14/14、net Sharpe 有 11/14 排名第 1。coverage 全低於 80%、q50 correlation 偏弱、訊號分布偏空，14d 最大回撤約 -46.89%；單一 seed 與簡化成本也限制結論。支持保留候選模型，不支持直接部署。</w:t>
      </w:r>
    </w:p>
    <w:p>
      <w:pPr>
        <w:pStyle w:val="11"/>
        <w:pageBreakBefore/>
      </w:pPr>
      <w:r>
        <w:t>附錄 A 完整模型排名</w:t>
      </w:r>
    </w:p>
    <w:tbl>
      <w:tblPr>
        <w:tblStyle w:val="BenchmarkTable"/>
        <w:tblW w:w="9360" w:type="dxa"/>
        <w:tblLayout w:type="fixed"/>
      </w:tblPr>
      <w:tblGrid>
        <w:gridCol w:w="650"/>
        <w:gridCol w:w="2800"/>
        <w:gridCol w:w="1900"/>
        <w:gridCol w:w="1330"/>
        <w:gridCol w:w="1330"/>
        <w:gridCol w:w="135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名次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模型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1 至 14 日 score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pStyle w:val="TableHeader"/>
            </w:pPr>
            <w:r>
              <w:t>RankIC</w:t>
            </w:r>
          </w:p>
        </w:tc>
      </w:tr>
      <w:tr>
        <w:trPr>
          <w:cantSplit/>
        </w:trPr>
        <w:tc>
          <w:tcPr>
            <w:tcW w:w="65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2800" w:type="dxa"/>
            <w:shd w:val="clear" w:fill="EDF5FC"/>
            <w:vAlign w:val="center"/>
          </w:tcPr>
          <w:p>
            <w:pPr>
              <w:pStyle w:val="TableText"/>
            </w:pPr>
            <w:r>
              <w:t>Compact PatchTST</w:t>
            </w:r>
          </w:p>
        </w:tc>
        <w:tc>
          <w:tcPr>
            <w:tcW w:w="1900" w:type="dxa"/>
            <w:shd w:val="clear" w:fill="EDF5FC"/>
            <w:vAlign w:val="center"/>
          </w:tcPr>
          <w:p>
            <w:pPr>
              <w:pStyle w:val="TableNumber"/>
            </w:pPr>
            <w:r>
              <w:t>0.333073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75.98%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0.0731</w:t>
            </w:r>
          </w:p>
        </w:tc>
        <w:tc>
          <w:tcPr>
            <w:tcW w:w="1350" w:type="dxa"/>
            <w:shd w:val="clear" w:fill="EDF5FC"/>
            <w:vAlign w:val="center"/>
          </w:tcPr>
          <w:p>
            <w:pPr>
              <w:pStyle w:val="TableNumber"/>
            </w:pPr>
            <w:r>
              <w:t>0.0684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Quantile GBDT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0.333099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77.15%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0.0202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0.0316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Kronos-base + LoRA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0.333552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72.70%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0.0682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0.1015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成對 GRU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0.334072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73.46%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0.1040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0.0997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固定偏多分布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0.358960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77.09%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6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零報酬分布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0.358960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77.09%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7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DLinear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0.359584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76.58%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0.0145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0.0164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8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MACD 規則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0.360958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77.14%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-0.0187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-0.0006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9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均線交叉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0.386988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77.82%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0.0261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0.0467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10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RSI 規則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0.432233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77.60%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-0.0090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-0.0238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11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波動率縮放規則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0.535753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78.16%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-0.0048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0.0168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5 日動能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0.556299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78.15%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-0.0056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0.0169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5 日反轉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0.561801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76.88%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0.0056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-0.0107</w:t>
            </w:r>
          </w:p>
        </w:tc>
      </w:tr>
    </w:tbl>
    <w:p>
      <w:pPr>
        <w:pStyle w:val="Note"/>
      </w:pPr>
      <w:r>
        <w:t>所有 learned baseline 均使用 seed 42；主排名只依 14 horizon selection score。</w:t>
      </w:r>
    </w:p>
    <w:p>
      <w:pPr>
        <w:pStyle w:val="11"/>
      </w:pPr>
      <w:r>
        <w:t>附錄 B 可重現性與證據來源</w:t>
      </w:r>
    </w:p>
    <w:tbl>
      <w:tblPr>
        <w:tblStyle w:val="BenchmarkTable"/>
        <w:tblW w:w="9360" w:type="dxa"/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DCE6F1"/>
            <w:vAlign w:val="center"/>
          </w:tcPr>
          <w:p>
            <w:pPr>
              <w:pStyle w:val="TableHeader"/>
            </w:pPr>
            <w:r>
              <w:t>證據</w:t>
            </w:r>
          </w:p>
        </w:tc>
        <w:tc>
          <w:tcPr>
            <w:tcW w:w="6360" w:type="dxa"/>
            <w:shd w:val="clear" w:fill="DCE6F1"/>
            <w:vAlign w:val="center"/>
          </w:tcPr>
          <w:p>
            <w:pPr>
              <w:pStyle w:val="TableHeader"/>
            </w:pPr>
            <w:r>
              <w:t>本次值或用途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run 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run-20260923T095302Z-311336160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最佳 checkpoint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checkpoint-023613；validation monitor 0.297425666506；test score 0.333552048087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輸出 schema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model_output_schema_version=5.0；alpha_quantiles [batch,14,3]；horizons 1–14；q10/q50/q90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evaluation 狀態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state=ready；split=test；test_unlocked=true；1,264,861 rows／112 dates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training lifecycle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state=ready；exit_code=0；timed_out=false；training_completed=true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資料 manifest SHA-256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93aca769f2e90113cb7da671953773f47f7df3e89855cb1e7c61dc95e87c83cf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Test membership SHA-256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67adda03221adf6c6929e84b7043ce55f62ede5f871dc23fcd8c391d6ebb529a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主要 artifacts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best-checkpoint.json；checkpoint-leaderboard.json；completion-result/training-result.json；validation-benchmark.json；resolved-config.yaml；run-manifest.json</w:t>
            </w:r>
          </w:p>
        </w:tc>
      </w:tr>
    </w:tbl>
    <w:p>
      <w:pPr>
        <w:pStyle w:val="Note"/>
      </w:pPr>
      <w:r>
        <w:t>本報告數值直接取自本輪 run artifacts；沒有重新訓練、重新抽樣或修改指標手冊。test 評分使用 validation 選出的 checkpoint，並完整列出 1 至 14 日結果。</w:t>
      </w:r>
    </w:p>
    <w:p>
      <w:pPr>
        <w:pStyle w:val="Kicker"/>
      </w:pPr>
      <w:r>
        <w:t>MODEL PERFORMANCE EVALUATION</w:t>
      </w:r>
    </w:p>
    <w:p>
      <w:pPr>
        <w:pStyle w:val="ReportTitle"/>
      </w:pPr>
      <w:r>
        <w:t>One to Fourteen Day Alpha Forecast Validation</w:t>
      </w:r>
    </w:p>
    <w:p>
      <w:pPr>
        <w:pStyle w:val="1"/>
      </w:pPr>
      <w:r>
        <w:t>Stage 2 | run-20260923T095302Z-311336160</w:t>
      </w:r>
    </w:p>
    <w:p>
      <w:pPr>
        <w:pStyle w:val="Metadata"/>
      </w:pPr>
      <w:r>
        <w:t>Report date: 2026-10-06</w:t>
      </w:r>
    </w:p>
    <w:p>
      <w:pPr>
        <w:pStyle w:val="Metadata"/>
      </w:pPr>
      <w:r>
        <w:t>Best checkpoint: checkpoint-023613 (global step 23,613)</w:t>
      </w:r>
    </w:p>
    <w:p>
      <w:pPr>
        <w:pStyle w:val="Metadata"/>
      </w:pPr>
      <w:r>
        <w:t>Evaluation split: full test; checkpoint selected on validation; test is unlocked</w:t>
      </w:r>
    </w:p>
    <w:p>
      <w:pPr>
        <w:pStyle w:val="Lead"/>
      </w:pPr>
      <w:r>
        <w:t>The best checkpoint scores 0.333552 across the full test split of 1,264,861 rows and ranks 3 of 13. Among nine models with complete horizon outputs, normalized pinball ranks first at 14/14 horizons, RankIC at 14/14, and net Sharpe at 11/14. q50 correlation is 0.0653 to 0.0794, direction agreement is 51.98% to 56.38%, and q10–q90 coverage is 68.63% to 76.25%, below 80% at every horizon. Maximum drawdown ranges from -46.89% to -3.84%, worst at day 14. This supports candidate evidence, not direct deployment or profit claims.</w:t>
      </w:r>
    </w:p>
    <w:p>
      <w:pPr>
        <w:pStyle w:val="11"/>
      </w:pPr>
      <w:r>
        <w:t>1. Executive summary</w:t>
      </w:r>
    </w:p>
    <w:p>
      <w:pPr>
        <w:pStyle w:val="21"/>
      </w:pPr>
      <w:r>
        <w:t>1.1 The unit of evaluation is all 14 horizons</w:t>
      </w:r>
    </w:p>
    <w:p>
      <w:pPr>
        <w:pStyle w:val="a"/>
      </w:pPr>
      <w:r>
        <w:t>Each sample contains 14 q10/q50/q90 triplets. The selection score is the equal-weight normalized pinball mean across all 14 horizons. This run evaluates the full test split rather than a subset.</w:t>
      </w:r>
    </w:p>
    <w:p>
      <w:pPr>
        <w:pStyle w:val="Decision"/>
        <w:keepNext/>
        <w:spacing w:after="80"/>
      </w:pPr>
      <w:r>
        <w:t>Table 1 | Main findings across days 1 through 14</w:t>
      </w:r>
    </w:p>
    <w:tbl>
      <w:tblPr>
        <w:tblStyle w:val="BenchmarkTable"/>
        <w:tblW w:w="9360" w:type="dxa"/>
        <w:tblLayout w:type="fixed"/>
      </w:tblPr>
      <w:tblGrid>
        <w:gridCol w:w="2650"/>
        <w:gridCol w:w="2800"/>
        <w:gridCol w:w="3910"/>
      </w:tblGrid>
      <w:tr>
        <w:trPr>
          <w:tblHeader/>
        </w:trPr>
        <w:tc>
          <w:tcPr>
            <w:tcW w:w="2650" w:type="dxa"/>
            <w:shd w:val="clear" w:fill="DCE6F1"/>
            <w:vAlign w:val="center"/>
          </w:tcPr>
          <w:p>
            <w:pPr>
              <w:pStyle w:val="TableHeader"/>
            </w:pPr>
            <w:r>
              <w:t>Evaluation area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Result</w:t>
            </w:r>
          </w:p>
        </w:tc>
        <w:tc>
          <w:tcPr>
            <w:tcW w:w="3910" w:type="dxa"/>
            <w:shd w:val="clear" w:fill="DCE6F1"/>
            <w:vAlign w:val="center"/>
          </w:tcPr>
          <w:p>
            <w:pPr>
              <w:pStyle w:val="TableHeader"/>
            </w:pPr>
            <w:r>
              <w:t>Correct interpretation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All-horizon test score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0.333552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Rank 3 of 13; full test split; equal-weight mean across 14 horizons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Per-horizon normalized pinball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Rank 1 at 14/14 (9 full-output models)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Distribution-error ranking; not profit or hit rate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q50 Pearson correlation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0.0653 to 0.0794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Weak overall; not a reliable direction signal by itself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Direction agreement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51.98% to 56.38%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Near-50% horizons do not imply return magnitude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q10 to q90 coverage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68.63% to 76.25%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Below nominal 80% at all 14 horizons; calibrate per horizon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RankIC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0.0824 to 0.1209; rank 1 at 14/14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Cross-sectional ranking diagnostic; not achievable return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Net Sharpe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2.61 to 9.34; rank 1 at 11/14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Simplified research backtest; not achievable performance</w:t>
            </w:r>
          </w:p>
        </w:tc>
      </w:tr>
      <w:tr>
        <w:trPr>
          <w:cantSplit/>
        </w:trPr>
        <w:tc>
          <w:tcPr>
            <w:tcW w:w="2650" w:type="dxa"/>
            <w:vAlign w:val="center"/>
          </w:tcPr>
          <w:p>
            <w:pPr>
              <w:pStyle w:val="TableText"/>
            </w:pPr>
            <w:r>
              <w:t>Maximum drawdown</w:t>
            </w:r>
          </w:p>
        </w:tc>
        <w:tc>
          <w:tcPr>
            <w:tcW w:w="2800" w:type="dxa"/>
            <w:vAlign w:val="center"/>
          </w:tcPr>
          <w:p>
            <w:pPr>
              <w:pStyle w:val="TableNumber"/>
            </w:pPr>
            <w:r>
              <w:t>-46.89% to -3.84%</w:t>
            </w:r>
          </w:p>
        </w:tc>
        <w:tc>
          <w:tcPr>
            <w:tcW w:w="3910" w:type="dxa"/>
            <w:vAlign w:val="center"/>
          </w:tcPr>
          <w:p>
            <w:pPr>
              <w:pStyle w:val="TableText"/>
            </w:pPr>
            <w:r>
              <w:t>Worst at day 14; long-horizon capital path carries more risk</w:t>
            </w:r>
          </w:p>
        </w:tc>
      </w:tr>
    </w:tbl>
    <w:p>
      <w:pPr>
        <w:pStyle w:val="21"/>
      </w:pPr>
      <w:r>
        <w:t>1.2 Decision and evidence strength</w:t>
      </w:r>
    </w:p>
    <w:p>
      <w:pPr>
        <w:pStyle w:val="a"/>
      </w:pPr>
      <w:r>
        <w:t>Kronos scores 0.333552 on test, ranking 3 of 13; it is 0.14% higher than Quantile GBDT (0.333099) and 7.08% below zero-return (0.358960). The test membership differs from the prior report, so no like-for-like gain is claimed.</w:t>
      </w:r>
    </w:p>
    <w:p>
      <w:pPr>
        <w:pStyle w:val="Decision"/>
      </w:pPr>
      <w:r>
        <w:t>Decision: retain this checkpoint and full test results as candidate evidence. Do not approve deployment or live use until multi-seed stability, interval calibration, provider heterogeneity, and long-horizon drawdown risk are validated.</w:t>
      </w:r>
    </w:p>
    <w:p>
      <w:pPr>
        <w:pStyle w:val="Note"/>
      </w:pPr>
      <w:r>
        <w:t>Selection score measures distribution error across 14 horizons. It is not return, hit rate, or a tradability score.</w:t>
      </w:r>
    </w:p>
    <w:p>
      <w:pPr>
        <w:pStyle w:val="11"/>
      </w:pPr>
      <w:r>
        <w:t>2. Validation design and evidence boundary</w:t>
      </w:r>
    </w:p>
    <w:p>
      <w:pPr>
        <w:pStyle w:val="21"/>
      </w:pPr>
      <w:r>
        <w:t>2.1 Data and splits</w:t>
      </w:r>
    </w:p>
    <w:p>
      <w:pPr>
        <w:pStyle w:val="a"/>
      </w:pPr>
      <w:r>
        <w:t>The us_tw_eodhd profile combines EODHD US data with official TPEx and TWSE data. Every model uses the same chronological split, benchmark mapping, cutoff-inclusive context, and entry and exit timestamps; this run scores the complete test split.</w:t>
      </w:r>
    </w:p>
    <w:p>
      <w:pPr>
        <w:pStyle w:val="Decision"/>
        <w:keepNext/>
        <w:spacing w:after="80"/>
      </w:pPr>
      <w:r>
        <w:t>Table 2 | Samples and splits</w:t>
      </w:r>
    </w:p>
    <w:tbl>
      <w:tblPr>
        <w:tblStyle w:val="BenchmarkTable"/>
        <w:tblW w:w="9360" w:type="dxa"/>
        <w:tblLayout w:type="fixed"/>
      </w:tblPr>
      <w:tblGrid>
        <w:gridCol w:w="2800"/>
        <w:gridCol w:w="2050"/>
        <w:gridCol w:w="4510"/>
      </w:tblGrid>
      <w:tr>
        <w:trPr>
          <w:tblHeader/>
        </w:trPr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Item</w:t>
            </w:r>
          </w:p>
        </w:tc>
        <w:tc>
          <w:tcPr>
            <w:tcW w:w="2050" w:type="dxa"/>
            <w:shd w:val="clear" w:fill="DCE6F1"/>
            <w:vAlign w:val="center"/>
          </w:tcPr>
          <w:p>
            <w:pPr>
              <w:pStyle w:val="TableHeader"/>
            </w:pPr>
            <w:r>
              <w:t>Count or state</w:t>
            </w:r>
          </w:p>
        </w:tc>
        <w:tc>
          <w:tcPr>
            <w:tcW w:w="4510" w:type="dxa"/>
            <w:shd w:val="clear" w:fill="DCE6F1"/>
            <w:vAlign w:val="center"/>
          </w:tcPr>
          <w:p>
            <w:pPr>
              <w:pStyle w:val="TableHeader"/>
            </w:pPr>
            <w:r>
              <w:t>Meaning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Full train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30,224,227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Complete training split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Processed training samples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42,314,112 / 151,121,135 (28.00%)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Early stopping; planned samples were not fully processed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Full validation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1,232,972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Used for checkpoint selection and early stopping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Full test split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1,264,861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This run evaluates the full test split, not a subset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Test dates and date count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2025-12-01 to 2026-05-11; 112 dates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All 14 horizons share the full membership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Seed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42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One seed; retraining variability is unknown</w:t>
            </w:r>
          </w:p>
        </w:tc>
      </w:tr>
      <w:tr>
        <w:trPr>
          <w:cantSplit/>
        </w:trPr>
        <w:tc>
          <w:tcPr>
            <w:tcW w:w="2800" w:type="dxa"/>
            <w:vAlign w:val="center"/>
          </w:tcPr>
          <w:p>
            <w:pPr>
              <w:pStyle w:val="TableText"/>
            </w:pPr>
            <w:r>
              <w:t>Test membership SHA-256</w:t>
            </w:r>
          </w:p>
        </w:tc>
        <w:tc>
          <w:tcPr>
            <w:tcW w:w="2050" w:type="dxa"/>
            <w:vAlign w:val="center"/>
          </w:tcPr>
          <w:p>
            <w:pPr>
              <w:pStyle w:val="TableNumber"/>
            </w:pPr>
            <w:r>
              <w:t>67adda03221adf6c6929e84b7043ce55f62ede5f871dc23fcd8c391d6ebb529a</w:t>
            </w:r>
          </w:p>
        </w:tc>
        <w:tc>
          <w:tcPr>
            <w:tcW w:w="4510" w:type="dxa"/>
            <w:vAlign w:val="center"/>
          </w:tcPr>
          <w:p>
            <w:pPr>
              <w:pStyle w:val="TableText"/>
            </w:pPr>
            <w:r>
              <w:t>Reproducible identity of this run’s full test membership</w:t>
            </w:r>
          </w:p>
        </w:tc>
      </w:tr>
    </w:tbl>
    <w:p>
      <w:pPr>
        <w:pStyle w:val="a"/>
      </w:pPr>
      <w:r>
        <w:t>The signal is formed after the close on day t. Entry is the next common raw regular-session open for the asset and benchmark; that session is holding day 1. Exit is the raw close on common holding day h. Inputs stop at cutoff_at, so future prices and labels never enter the model.</w:t>
      </w:r>
    </w:p>
    <w:p>
      <w:pPr>
        <w:pStyle w:val="21"/>
      </w:pPr>
      <w:r>
        <w:t>2.2 What the forecast number represents</w:t>
      </w:r>
    </w:p>
    <w:p>
      <w:pPr>
        <w:pStyle w:val="a"/>
      </w:pPr>
      <w:r>
        <w:t>For each horizon, alpha_h equals log(asset adjusted gross return) minus log(benchmark adjusted gross return). It measures relative benchmark outperformance, not valuation, a price target, or standalone stock return. If alpha=0.05, exp(0.05)-1=5.13% relative gross outperformance.</w:t>
      </w:r>
    </w:p>
    <w:p>
      <w:pPr>
        <w:pStyle w:val="11"/>
      </w:pPr>
      <w:r>
        <w:t>3. Model output and plain interpretation</w:t>
      </w:r>
    </w:p>
    <w:p>
      <w:pPr>
        <w:pStyle w:val="21"/>
      </w:pPr>
      <w:r>
        <w:t>3.1 Each horizon has three scenarios</w:t>
      </w:r>
    </w:p>
    <w:p>
      <w:pPr>
        <w:pStyle w:val="a"/>
      </w:pPr>
      <w:r>
        <w:t>Schema 5.0 returns alpha_quantiles with shape [batch, 14, 3]. The second dimension covers days 1 through 14; the third contains q10, q50, and q90 benchmark-relative adjusted execution log returns.</w:t>
      </w:r>
    </w:p>
    <w:p>
      <w:pPr>
        <w:pStyle w:val="Decision"/>
        <w:keepNext/>
        <w:spacing w:after="80"/>
      </w:pPr>
      <w:r>
        <w:t>Table 3 | Plain interpretation of q10 q50 and q90</w:t>
      </w:r>
    </w:p>
    <w:tbl>
      <w:tblPr>
        <w:tblStyle w:val="BenchmarkTable"/>
        <w:tblW w:w="9360" w:type="dxa"/>
        <w:tblLayout w:type="fixed"/>
      </w:tblPr>
      <w:tblGrid>
        <w:gridCol w:w="1300"/>
        <w:gridCol w:w="2400"/>
        <w:gridCol w:w="5660"/>
      </w:tblGrid>
      <w:tr>
        <w:trPr>
          <w:tblHeader/>
        </w:trPr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Output</w:t>
            </w:r>
          </w:p>
        </w:tc>
        <w:tc>
          <w:tcPr>
            <w:tcW w:w="2400" w:type="dxa"/>
            <w:shd w:val="clear" w:fill="DCE6F1"/>
            <w:vAlign w:val="center"/>
          </w:tcPr>
          <w:p>
            <w:pPr>
              <w:pStyle w:val="TableHeader"/>
            </w:pPr>
            <w:r>
              <w:t>Plain name</w:t>
            </w:r>
          </w:p>
        </w:tc>
        <w:tc>
          <w:tcPr>
            <w:tcW w:w="5660" w:type="dxa"/>
            <w:shd w:val="clear" w:fill="DCE6F1"/>
            <w:vAlign w:val="center"/>
          </w:tcPr>
          <w:p>
            <w:pPr>
              <w:pStyle w:val="TableHeader"/>
            </w:pPr>
            <w:r>
              <w:t>What this number forecasts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q10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Bearish-side scenario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About 10% of outcomes are below it; not a 10% chance of a decline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q50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Middle scenario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Outcomes are roughly half below and half above; often a point forecast and ranking signal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q90</w:t>
            </w:r>
          </w:p>
        </w:tc>
        <w:tc>
          <w:tcPr>
            <w:tcW w:w="2400" w:type="dxa"/>
            <w:vAlign w:val="center"/>
          </w:tcPr>
          <w:p>
            <w:pPr>
              <w:pStyle w:val="TableText"/>
            </w:pPr>
            <w:r>
              <w:t>Bullish-side scenario</w:t>
            </w:r>
          </w:p>
        </w:tc>
        <w:tc>
          <w:tcPr>
            <w:tcW w:w="5660" w:type="dxa"/>
            <w:vAlign w:val="center"/>
          </w:tcPr>
          <w:p>
            <w:pPr>
              <w:pStyle w:val="TableText"/>
            </w:pPr>
            <w:r>
              <w:t>About 90% of outcomes are below it; not a guaranteed ceiling</w:t>
            </w:r>
          </w:p>
        </w:tc>
      </w:tr>
    </w:tbl>
    <w:p>
      <w:pPr>
        <w:pStyle w:val="21"/>
      </w:pPr>
      <w:r>
        <w:t>3.2 Three stock scenarios</w:t>
      </w:r>
    </w:p>
    <w:p>
      <w:pPr>
        <w:pStyle w:val="Decision"/>
        <w:keepNext/>
        <w:spacing w:after="80"/>
      </w:pPr>
      <w:r>
        <w:t>Table 4 | How to read the three numbers</w:t>
      </w:r>
    </w:p>
    <w:tbl>
      <w:tblPr>
        <w:tblStyle w:val="BenchmarkTable"/>
        <w:tblW w:w="9360" w:type="dxa"/>
        <w:tblLayout w:type="fixed"/>
      </w:tblPr>
      <w:tblGrid>
        <w:gridCol w:w="2200"/>
        <w:gridCol w:w="2250"/>
        <w:gridCol w:w="4910"/>
      </w:tblGrid>
      <w:tr>
        <w:trPr>
          <w:tblHeader/>
        </w:trPr>
        <w:tc>
          <w:tcPr>
            <w:tcW w:w="2200" w:type="dxa"/>
            <w:shd w:val="clear" w:fill="DCE6F1"/>
            <w:vAlign w:val="center"/>
          </w:tcPr>
          <w:p>
            <w:pPr>
              <w:pStyle w:val="TableHeader"/>
            </w:pPr>
            <w:r>
              <w:t>Stock pattern</w:t>
            </w:r>
          </w:p>
        </w:tc>
        <w:tc>
          <w:tcPr>
            <w:tcW w:w="2250" w:type="dxa"/>
            <w:shd w:val="clear" w:fill="DCE6F1"/>
            <w:vAlign w:val="center"/>
          </w:tcPr>
          <w:p>
            <w:pPr>
              <w:pStyle w:val="TableHeader"/>
            </w:pPr>
            <w:r>
              <w:t>q10 / q50 / q90</w:t>
            </w:r>
          </w:p>
        </w:tc>
        <w:tc>
          <w:tcPr>
            <w:tcW w:w="4910" w:type="dxa"/>
            <w:shd w:val="clear" w:fill="DCE6F1"/>
            <w:vAlign w:val="center"/>
          </w:tcPr>
          <w:p>
            <w:pPr>
              <w:pStyle w:val="TableHeader"/>
            </w:pPr>
            <w:r>
              <w:t>Interpretation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Relative outperformer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+0.02 / +0.05 / +0.09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Even q10 is above zero; all scenarios forecast outperformance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Weak or distressed stock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-0.12 / -0.06 / -0.01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Even q90 is below zero; all scenarios forecast underperformance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Highly volatile meme stock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-0.08 / -0.01 / +0.25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Middle is near flat but the optimistic tail is large; not a 25% rise probability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pStyle w:val="TableText"/>
            </w:pPr>
            <w:r>
              <w:t>Bullish middle with downside risk</w:t>
            </w:r>
          </w:p>
        </w:tc>
        <w:tc>
          <w:tcPr>
            <w:tcW w:w="2250" w:type="dxa"/>
            <w:vAlign w:val="center"/>
          </w:tcPr>
          <w:p>
            <w:pPr>
              <w:pStyle w:val="TableText"/>
            </w:pPr>
            <w:r>
              <w:t>-0.04 / +0.03 / +0.10</w:t>
            </w:r>
          </w:p>
        </w:tc>
        <w:tc>
          <w:tcPr>
            <w:tcW w:w="4910" w:type="dxa"/>
            <w:vAlign w:val="center"/>
          </w:tcPr>
          <w:p>
            <w:pPr>
              <w:pStyle w:val="TableText"/>
            </w:pPr>
            <w:r>
              <w:t>q50 is positive while q10 is negative; downside remains possible</w:t>
            </w:r>
          </w:p>
        </w:tc>
      </w:tr>
    </w:tbl>
    <w:p>
      <w:pPr>
        <w:pStyle w:val="Note"/>
      </w:pPr>
      <w:r>
        <w:t>The signs describe direction versus the benchmark, while the distances describe dispersion. The values are not prices, valuation estimates, or probabilities of three mutually exclusive events.</w:t>
      </w:r>
    </w:p>
    <w:p>
      <w:pPr>
        <w:pStyle w:val="21"/>
      </w:pPr>
      <w:r>
        <w:t>3.3 Output constraints and compatibility field</w:t>
      </w:r>
    </w:p>
    <w:p>
      <w:pPr>
        <w:pStyle w:val="Lead"/>
      </w:pPr>
      <w:r>
        <w:t>The alpha head first produces q50, then constructs q10=q50-lower_gap and q90=q50+upper_gap from positive distances, so q10≤q50≤q90. Bullish, bearish, and strong signals are post-processing labels, not classifier outputs. forecast_horizon=5 and primary_5d are legacy-compatible field names; actual output is [batch,14,3], and the monitor aggregates days 1–14.</w:t>
      </w:r>
    </w:p>
    <w:p>
      <w:pPr>
        <w:pStyle w:val="11"/>
      </w:pPr>
      <w:r>
        <w:t>4. Training completion early stopping and checkpoint</w:t>
      </w:r>
    </w:p>
    <w:p>
      <w:pPr>
        <w:pStyle w:val="21"/>
      </w:pPr>
      <w:r>
        <w:t>4.1 Execution state</w:t>
      </w:r>
    </w:p>
    <w:p>
      <w:pPr>
        <w:pStyle w:val="Decision"/>
        <w:keepNext/>
        <w:spacing w:after="80"/>
      </w:pPr>
      <w:r>
        <w:t>Table 5 | Training summary</w:t>
      </w:r>
    </w:p>
    <w:tbl>
      <w:tblPr>
        <w:tblStyle w:val="BenchmarkTable"/>
        <w:tblW w:w="9360" w:type="dxa"/>
        <w:tblLayout w:type="fixed"/>
      </w:tblPr>
      <w:tblGrid>
        <w:gridCol w:w="3100"/>
        <w:gridCol w:w="6260"/>
      </w:tblGrid>
      <w:tr>
        <w:trPr>
          <w:tblHeader/>
        </w:trPr>
        <w:tc>
          <w:tcPr>
            <w:tcW w:w="3100" w:type="dxa"/>
            <w:shd w:val="clear" w:fill="DCE6F1"/>
            <w:vAlign w:val="center"/>
          </w:tcPr>
          <w:p>
            <w:pPr>
              <w:pStyle w:val="TableHeader"/>
            </w:pPr>
            <w:r>
              <w:t>Item</w:t>
            </w:r>
          </w:p>
        </w:tc>
        <w:tc>
          <w:tcPr>
            <w:tcW w:w="6260" w:type="dxa"/>
            <w:shd w:val="clear" w:fill="DCE6F1"/>
            <w:vAlign w:val="center"/>
          </w:tcPr>
          <w:p>
            <w:pPr>
              <w:pStyle w:val="TableHeader"/>
            </w:pPr>
            <w:r>
              <w:t>Result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Completion evidence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training_completed=true; both lifecycle records are ready; completion result is present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Lifecycle state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training exit code 0; validation exit code 0; neither timed out; both completed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Epochs and global step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1 completed epoch; stopped at step 165,290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Processed training samples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42,314,112 / 151,121,135 (28.00%)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Validation evaluations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7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Stop reason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early_stopping; configured patience 5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Best and final validation monitor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0.297426 / 0.303861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Model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Kronos-base + LoRA; market-aware alpha head; ranking loss weight 0.05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Training hardware and precision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NVIDIA RTX PRO 6000 Blackwell Workstation Edition; bfloat16</w:t>
            </w:r>
          </w:p>
        </w:tc>
      </w:tr>
      <w:tr>
        <w:trPr>
          <w:cantSplit/>
        </w:trPr>
        <w:tc>
          <w:tcPr>
            <w:tcW w:w="3100" w:type="dxa"/>
            <w:vAlign w:val="center"/>
          </w:tcPr>
          <w:p>
            <w:pPr>
              <w:pStyle w:val="TableText"/>
            </w:pPr>
            <w:r>
              <w:t>Inference execution</w:t>
            </w:r>
          </w:p>
        </w:tc>
        <w:tc>
          <w:tcPr>
            <w:tcW w:w="6260" w:type="dxa"/>
            <w:vAlign w:val="center"/>
          </w:tcPr>
          <w:p>
            <w:pPr>
              <w:pStyle w:val="TableText"/>
            </w:pPr>
            <w:r>
              <w:t>1,264,861 samples; 384.0 samples/s; 5 workers</w:t>
            </w:r>
          </w:p>
        </w:tc>
      </w:tr>
    </w:tbl>
    <w:p>
      <w:pPr>
        <w:pStyle w:val="21"/>
      </w:pPr>
      <w:r>
        <w:t>4.2 Checkpoint ranking</w:t>
      </w:r>
    </w:p>
    <w:tbl>
      <w:tblPr>
        <w:tblStyle w:val="BenchmarkTable"/>
        <w:tblW w:w="9360" w:type="dxa"/>
        <w:tblLayout w:type="fixed"/>
      </w:tblPr>
      <w:tblGrid>
        <w:gridCol w:w="900"/>
        <w:gridCol w:w="3100"/>
        <w:gridCol w:w="1800"/>
        <w:gridCol w:w="3560"/>
      </w:tblGrid>
      <w:tr>
        <w:trPr>
          <w:tblHeader/>
        </w:trPr>
        <w:tc>
          <w:tcPr>
            <w:tcW w:w="900" w:type="dxa"/>
            <w:shd w:val="clear" w:fill="DCE6F1"/>
            <w:vAlign w:val="center"/>
          </w:tcPr>
          <w:p>
            <w:pPr>
              <w:pStyle w:val="TableHeader"/>
            </w:pPr>
            <w:r>
              <w:t>Rank</w:t>
            </w:r>
          </w:p>
        </w:tc>
        <w:tc>
          <w:tcPr>
            <w:tcW w:w="3100" w:type="dxa"/>
            <w:shd w:val="clear" w:fill="DCE6F1"/>
            <w:vAlign w:val="center"/>
          </w:tcPr>
          <w:p>
            <w:pPr>
              <w:pStyle w:val="TableHeader"/>
            </w:pPr>
            <w:r>
              <w:t>Checkpoint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Step</w:t>
            </w:r>
          </w:p>
        </w:tc>
        <w:tc>
          <w:tcPr>
            <w:tcW w:w="3560" w:type="dxa"/>
            <w:shd w:val="clear" w:fill="DCE6F1"/>
            <w:vAlign w:val="center"/>
          </w:tcPr>
          <w:p>
            <w:pPr>
              <w:pStyle w:val="TableHeader"/>
            </w:pPr>
            <w:r>
              <w:t>14-horizon score</w:t>
            </w:r>
          </w:p>
        </w:tc>
      </w:tr>
      <w:tr>
        <w:trPr>
          <w:cantSplit/>
        </w:trPr>
        <w:tc>
          <w:tcPr>
            <w:tcW w:w="90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3100" w:type="dxa"/>
            <w:shd w:val="clear" w:fill="EDF5FC"/>
            <w:vAlign w:val="center"/>
          </w:tcPr>
          <w:p>
            <w:pPr>
              <w:pStyle w:val="TableText"/>
            </w:pPr>
            <w:r>
              <w:t>checkpoint-023613</w:t>
            </w:r>
          </w:p>
        </w:tc>
        <w:tc>
          <w:tcPr>
            <w:tcW w:w="1800" w:type="dxa"/>
            <w:shd w:val="clear" w:fill="EDF5FC"/>
            <w:vAlign w:val="center"/>
          </w:tcPr>
          <w:p>
            <w:pPr>
              <w:pStyle w:val="TableNumber"/>
            </w:pPr>
            <w:r>
              <w:t>23,613</w:t>
            </w:r>
          </w:p>
        </w:tc>
        <w:tc>
          <w:tcPr>
            <w:tcW w:w="3560" w:type="dxa"/>
            <w:shd w:val="clear" w:fill="EDF5FC"/>
            <w:vAlign w:val="center"/>
          </w:tcPr>
          <w:p>
            <w:pPr>
              <w:pStyle w:val="TableNumber"/>
            </w:pPr>
            <w:r>
              <w:t>0.297426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checkpoint-070839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70,839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0.299942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checkpoint-047226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47,226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0.301515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checkpoint-118064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118,064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0.302508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3100" w:type="dxa"/>
            <w:vAlign w:val="center"/>
          </w:tcPr>
          <w:p>
            <w:pPr>
              <w:pStyle w:val="TableText"/>
            </w:pPr>
            <w:r>
              <w:t>checkpoint-165290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165,290</w:t>
            </w:r>
          </w:p>
        </w:tc>
        <w:tc>
          <w:tcPr>
            <w:tcW w:w="3560" w:type="dxa"/>
            <w:vAlign w:val="center"/>
          </w:tcPr>
          <w:p>
            <w:pPr>
              <w:pStyle w:val="TableNumber"/>
            </w:pPr>
            <w:r>
              <w:t>0.303861</w:t>
            </w:r>
          </w:p>
        </w:tc>
      </w:tr>
    </w:tbl>
    <w:p>
      <w:pPr>
        <w:pStyle w:val="a"/>
      </w:pPr>
      <w:r>
        <w:t>Checkpoint checkpoint-023613 has validation monitor 0.297426 and test score 0.333552; final monitor is 0.303861. Early stopping followed 7 validation evaluations. Use best-checkpoint.json for inference.</w:t>
      </w:r>
    </w:p>
    <w:p>
      <w:pPr>
        <w:pStyle w:val="11"/>
      </w:pPr>
      <w:r>
        <w:t>5. All-horizon comparison of thirteen models</w:t>
      </w:r>
    </w:p>
    <w:p>
      <w:pPr>
        <w:pStyle w:val="Decision"/>
        <w:keepNext/>
        <w:spacing w:after="80"/>
      </w:pPr>
      <w:r>
        <w:t>Table 6 | Top six distribution forecasts</w:t>
      </w:r>
    </w:p>
    <w:tbl>
      <w:tblPr>
        <w:tblStyle w:val="BenchmarkTable"/>
        <w:tblW w:w="9360" w:type="dxa"/>
        <w:tblLayout w:type="fixed"/>
      </w:tblPr>
      <w:tblGrid>
        <w:gridCol w:w="650"/>
        <w:gridCol w:w="2800"/>
        <w:gridCol w:w="1900"/>
        <w:gridCol w:w="1330"/>
        <w:gridCol w:w="1330"/>
        <w:gridCol w:w="135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Rank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Model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Days 1–14 score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pStyle w:val="TableHeader"/>
            </w:pPr>
            <w:r>
              <w:t>Net Sharpe</w:t>
            </w:r>
          </w:p>
        </w:tc>
      </w:tr>
      <w:tr>
        <w:trPr>
          <w:cantSplit/>
        </w:trPr>
        <w:tc>
          <w:tcPr>
            <w:tcW w:w="65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2800" w:type="dxa"/>
            <w:shd w:val="clear" w:fill="EDF5FC"/>
            <w:vAlign w:val="center"/>
          </w:tcPr>
          <w:p>
            <w:pPr>
              <w:pStyle w:val="TableText"/>
            </w:pPr>
            <w:r>
              <w:t>Compact PatchTST</w:t>
            </w:r>
          </w:p>
        </w:tc>
        <w:tc>
          <w:tcPr>
            <w:tcW w:w="1900" w:type="dxa"/>
            <w:shd w:val="clear" w:fill="EDF5FC"/>
            <w:vAlign w:val="center"/>
          </w:tcPr>
          <w:p>
            <w:pPr>
              <w:pStyle w:val="TableNumber"/>
            </w:pPr>
            <w:r>
              <w:t>0.333073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75.98%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0.0731</w:t>
            </w:r>
          </w:p>
        </w:tc>
        <w:tc>
          <w:tcPr>
            <w:tcW w:w="1350" w:type="dxa"/>
            <w:shd w:val="clear" w:fill="EDF5FC"/>
            <w:vAlign w:val="center"/>
          </w:tcPr>
          <w:p>
            <w:pPr>
              <w:pStyle w:val="TableNumber"/>
            </w:pPr>
            <w:r>
              <w:t>2.907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Quantile GBDT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0.333099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77.15%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0.0202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0.797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Kronos-base + LoRA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0.333552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72.70%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0.0682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4.114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Paired GRU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0.334072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73.46%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0.1040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3.708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Always-bullish distribution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0.358960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77.09%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6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Zero-return distribution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0.358960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77.09%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</w:t>
            </w:r>
          </w:p>
        </w:tc>
      </w:tr>
    </w:tbl>
    <w:p>
      <w:pPr>
        <w:pStyle w:val="a"/>
      </w:pPr>
      <w:r>
        <w:t>Kronos ranks 3 of 13 on the complete test all-horizon score; its normalized pinball, RankIC, and net Sharpe rank first at 14/14, 14/14, and 11/14 horizons among nine complete-output models. This is a descriptive holdout comparison, not a deployment result.</w:t>
      </w:r>
    </w:p>
    <w:p>
      <w:pPr>
        <w:pStyle w:val="11"/>
      </w:pPr>
      <w:r>
        <w:t>6. Complete results for days one through fourteen</w:t>
      </w:r>
    </w:p>
    <w:p>
      <w:pPr>
        <w:pStyle w:val="21"/>
      </w:pPr>
      <w:r>
        <w:t>6.1 Error and comparability across horizons</w:t>
      </w:r>
    </w:p>
    <w:p>
      <w:pPr>
        <w:pStyle w:val="Decision"/>
        <w:keepNext/>
        <w:spacing w:after="80"/>
      </w:pPr>
      <w:r>
        <w:t>Table 7 | Forecast error at every horizon</w:t>
      </w:r>
    </w:p>
    <w:tbl>
      <w:tblPr>
        <w:tblStyle w:val="BenchmarkTable"/>
        <w:tblW w:w="9360" w:type="dxa"/>
        <w:tblLayout w:type="fixed"/>
      </w:tblPr>
      <w:tblGrid>
        <w:gridCol w:w="650"/>
        <w:gridCol w:w="1400"/>
        <w:gridCol w:w="1550"/>
        <w:gridCol w:w="1550"/>
        <w:gridCol w:w="1050"/>
        <w:gridCol w:w="1550"/>
        <w:gridCol w:w="161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Train robust scale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Raw pinball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N-pinball</w:t>
            </w:r>
          </w:p>
        </w:tc>
        <w:tc>
          <w:tcPr>
            <w:tcW w:w="1050" w:type="dxa"/>
            <w:shd w:val="clear" w:fill="DCE6F1"/>
            <w:vAlign w:val="center"/>
          </w:tcPr>
          <w:p>
            <w:pPr>
              <w:pStyle w:val="TableHeader"/>
            </w:pPr>
            <w:r>
              <w:t>Rank</w:t>
            </w:r>
          </w:p>
        </w:tc>
        <w:tc>
          <w:tcPr>
            <w:tcW w:w="1550" w:type="dxa"/>
            <w:shd w:val="clear" w:fill="DCE6F1"/>
            <w:vAlign w:val="center"/>
          </w:tcPr>
          <w:p>
            <w:pPr>
              <w:pStyle w:val="TableHeader"/>
            </w:pPr>
            <w:r>
              <w:t>q50 MAE</w:t>
            </w:r>
          </w:p>
        </w:tc>
        <w:tc>
          <w:tcPr>
            <w:tcW w:w="1610" w:type="dxa"/>
            <w:shd w:val="clear" w:fill="DCE6F1"/>
            <w:vAlign w:val="center"/>
          </w:tcPr>
          <w:p>
            <w:pPr>
              <w:pStyle w:val="TableHeader"/>
            </w:pPr>
            <w:r>
              <w:t>N-MAE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0.01711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0.00694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0.40575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0.02038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1.1911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0.02958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0.01041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0.35194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0.03094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1.0459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0.03812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0.01289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0.33802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0.03838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1.0066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0.04485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0.01494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0.33300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0.04453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0.9927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0.05100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0.01681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0.32956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0.05017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0.9837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0.05656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0.01858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0.32844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0.05543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0.9800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0.06162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0.02023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0.32834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0.06030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0.9785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0.06659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0.02170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0.32587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0.06467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0.9712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0.07116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0.02316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0.32543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0.06896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0.9690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0.07547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0.02452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0.32492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0.07299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0.9672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0.08001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0.02580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0.32243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0.07690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0.9611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0.08466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0.02706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0.31966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0.08070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0.9532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0.08906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0.02827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0.31744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0.08431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0.9466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0.09233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0.02945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0.31893</w:t>
            </w:r>
          </w:p>
        </w:tc>
        <w:tc>
          <w:tcPr>
            <w:tcW w:w="1050" w:type="dxa"/>
            <w:vAlign w:val="center"/>
          </w:tcPr>
          <w:p>
            <w:pPr>
              <w:pStyle w:val="TableNumber"/>
            </w:pPr>
            <w:r>
              <w:t>1/9</w:t>
            </w:r>
          </w:p>
        </w:tc>
        <w:tc>
          <w:tcPr>
            <w:tcW w:w="1550" w:type="dxa"/>
            <w:vAlign w:val="center"/>
          </w:tcPr>
          <w:p>
            <w:pPr>
              <w:pStyle w:val="TableNumber"/>
            </w:pPr>
            <w:r>
              <w:t>0.08794</w:t>
            </w:r>
          </w:p>
        </w:tc>
        <w:tc>
          <w:tcPr>
            <w:tcW w:w="1610" w:type="dxa"/>
            <w:vAlign w:val="center"/>
          </w:tcPr>
          <w:p>
            <w:pPr>
              <w:pStyle w:val="TableNumber"/>
            </w:pPr>
            <w:r>
              <w:t>0.9525</w:t>
            </w:r>
          </w:p>
        </w:tc>
      </w:tr>
    </w:tbl>
    <w:p>
      <w:pPr>
        <w:pStyle w:val="a"/>
      </w:pPr>
      <w:r>
        <w:t>Raw pinball and q50 MAE rise with horizon because longer targets vary more. After train-only scale normalization, normalized pinball is 0.4057 at day 1 and 0.3189 at day 14; this is relative-scale error, not smaller day-14 raw return error.</w:t>
      </w:r>
    </w:p>
    <w:p>
      <w:pPr>
        <w:pStyle w:val="21"/>
      </w:pPr>
      <w:r>
        <w:t>6.2 q50 and interval calibration</w:t>
      </w:r>
    </w:p>
    <w:p>
      <w:pPr>
        <w:pStyle w:val="Decision"/>
        <w:keepNext/>
        <w:spacing w:after="80"/>
      </w:pPr>
      <w:r>
        <w:t>Table 8 | Point forecast and interval at every horizon</w:t>
      </w:r>
    </w:p>
    <w:tbl>
      <w:tblPr>
        <w:tblStyle w:val="BenchmarkTable"/>
        <w:tblW w:w="9360" w:type="dxa"/>
        <w:tblLayout w:type="fixed"/>
      </w:tblPr>
      <w:tblGrid>
        <w:gridCol w:w="700"/>
        <w:gridCol w:w="1600"/>
        <w:gridCol w:w="1650"/>
        <w:gridCol w:w="1650"/>
        <w:gridCol w:w="1800"/>
        <w:gridCol w:w="1960"/>
      </w:tblGrid>
      <w:tr>
        <w:trPr>
          <w:tblHeader/>
        </w:trPr>
        <w:tc>
          <w:tcPr>
            <w:tcW w:w="70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Direction agreement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Below 80% (pp)</w:t>
            </w:r>
          </w:p>
        </w:tc>
        <w:tc>
          <w:tcPr>
            <w:tcW w:w="1960" w:type="dxa"/>
            <w:shd w:val="clear" w:fill="DCE6F1"/>
            <w:vAlign w:val="center"/>
          </w:tcPr>
          <w:p>
            <w:pPr>
              <w:pStyle w:val="TableHeader"/>
            </w:pPr>
            <w:r>
              <w:t>Interval width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0.0670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51.98%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76.25%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3.75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0.06046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0.0681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53.81%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76.22%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3.78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0.09065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0.0653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54.94%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75.42%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4.58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0.10987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0.0666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54.77%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73.56%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6.44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0.12510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0.0682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54.80%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72.70%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7.30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0.14000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0.0694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54.50%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71.80%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8.20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0.15340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0.0744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54.71%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70.56%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9.44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0.16394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0.0792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54.85%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70.17%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9.83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0.17523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0.0794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54.98%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69.23%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10.77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0.18455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0.0772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54.99%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68.95%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11.05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0.19408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0.0781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55.58%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69.19%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10.81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0.20648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0.0768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55.55%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68.93%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11.07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0.21616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0.0747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56.31%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68.68%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11.32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0.22421</w:t>
            </w:r>
          </w:p>
        </w:tc>
      </w:tr>
      <w:tr>
        <w:trPr>
          <w:cantSplit/>
        </w:trPr>
        <w:tc>
          <w:tcPr>
            <w:tcW w:w="70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0.0739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56.38%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68.63%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11.37</w:t>
            </w:r>
          </w:p>
        </w:tc>
        <w:tc>
          <w:tcPr>
            <w:tcW w:w="1960" w:type="dxa"/>
            <w:vAlign w:val="center"/>
          </w:tcPr>
          <w:p>
            <w:pPr>
              <w:pStyle w:val="TableNumber"/>
            </w:pPr>
            <w:r>
              <w:t>0.23479</w:t>
            </w:r>
          </w:p>
        </w:tc>
      </w:tr>
    </w:tbl>
    <w:p>
      <w:pPr>
        <w:pStyle w:val="a"/>
      </w:pPr>
      <w:r>
        <w:t>q50 correlation is 0.0653 to 0.0794 and remains weak. Direction agreement is 51.98% to 56.38%. Coverage is below 80% at all 14 horizons, and interval width grows from 0.0605 to 0.2348.</w:t>
      </w:r>
    </w:p>
    <w:p>
      <w:pPr>
        <w:pStyle w:val="21"/>
      </w:pPr>
      <w:r>
        <w:t>6.3 Cross-sectional ranking and capital path</w:t>
      </w:r>
    </w:p>
    <w:p>
      <w:pPr>
        <w:pStyle w:val="Decision"/>
        <w:keepNext/>
        <w:spacing w:after="80"/>
      </w:pPr>
      <w:r>
        <w:t>Table 9 | Economic diagnostics at every horizon</w:t>
      </w:r>
    </w:p>
    <w:tbl>
      <w:tblPr>
        <w:tblStyle w:val="BenchmarkTable"/>
        <w:tblW w:w="9360" w:type="dxa"/>
        <w:tblLayout w:type="fixed"/>
      </w:tblPr>
      <w:tblGrid>
        <w:gridCol w:w="650"/>
        <w:gridCol w:w="1900"/>
        <w:gridCol w:w="1100"/>
        <w:gridCol w:w="1500"/>
        <w:gridCol w:w="1650"/>
        <w:gridCol w:w="1600"/>
        <w:gridCol w:w="96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RankIC (rank)</w:t>
            </w:r>
          </w:p>
        </w:tc>
        <w:tc>
          <w:tcPr>
            <w:tcW w:w="1100" w:type="dxa"/>
            <w:shd w:val="clear" w:fill="DCE6F1"/>
            <w:vAlign w:val="center"/>
          </w:tcPr>
          <w:p>
            <w:pPr>
              <w:pStyle w:val="TableHeader"/>
            </w:pPr>
            <w:r>
              <w:t>ICIR</w:t>
            </w:r>
          </w:p>
        </w:tc>
        <w:tc>
          <w:tcPr>
            <w:tcW w:w="1500" w:type="dxa"/>
            <w:shd w:val="clear" w:fill="DCE6F1"/>
            <w:vAlign w:val="center"/>
          </w:tcPr>
          <w:p>
            <w:pPr>
              <w:pStyle w:val="TableHeader"/>
            </w:pPr>
            <w:r>
              <w:t>Net log return</w:t>
            </w:r>
          </w:p>
        </w:tc>
        <w:tc>
          <w:tcPr>
            <w:tcW w:w="1650" w:type="dxa"/>
            <w:shd w:val="clear" w:fill="DCE6F1"/>
            <w:vAlign w:val="center"/>
          </w:tcPr>
          <w:p>
            <w:pPr>
              <w:pStyle w:val="TableHeader"/>
            </w:pPr>
            <w:r>
              <w:t>Sharpe (rank)</w:t>
            </w:r>
          </w:p>
        </w:tc>
        <w:tc>
          <w:tcPr>
            <w:tcW w:w="1600" w:type="dxa"/>
            <w:shd w:val="clear" w:fill="DCE6F1"/>
            <w:vAlign w:val="center"/>
          </w:tcPr>
          <w:p>
            <w:pPr>
              <w:pStyle w:val="TableHeader"/>
            </w:pPr>
            <w:r>
              <w:t>MDD (rank)</w:t>
            </w:r>
          </w:p>
        </w:tc>
        <w:tc>
          <w:tcPr>
            <w:tcW w:w="960" w:type="dxa"/>
            <w:shd w:val="clear" w:fill="DCE6F1"/>
            <w:vAlign w:val="center"/>
          </w:tcPr>
          <w:p>
            <w:pPr>
              <w:pStyle w:val="TableHeader"/>
            </w:pPr>
            <w:r>
              <w:t>Turnover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0.0824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0.619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0.60%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9.340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-3.84% (3/9)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0.462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0.0922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0.749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0.92%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6.790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-6.37% (3/9)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0.480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0.0928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0.772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1.08%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5.169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-11.88% (3/9)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0.473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0.0970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0.813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1.29%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4.689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-15.83% (4/9)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0.487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0.1015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0.817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1.47%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4.114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-19.68%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0.492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0.1071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0.830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1.72%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3.938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-23.53%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0.488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0.1145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0.865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2.04%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3.868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-27.60%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0.490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0.1197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0.886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2.33%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3.808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-29.38%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0.491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0.1195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0.853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2.51%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3.512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-32.32%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0.488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0.1206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0.827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2.68%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3.266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-36.96%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0.492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0.1203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0.827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2.84%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3.086 (1/9)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-40.36%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0.482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0.1209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0.821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2.98%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2.925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-42.93%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0.475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0.1199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0.803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3.05%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2.735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-44.89%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0.474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0.1197 (1/9)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0.797</w:t>
            </w:r>
          </w:p>
        </w:tc>
        <w:tc>
          <w:tcPr>
            <w:tcW w:w="1500" w:type="dxa"/>
            <w:vAlign w:val="center"/>
          </w:tcPr>
          <w:p>
            <w:pPr>
              <w:pStyle w:val="TableNumber"/>
            </w:pPr>
            <w:r>
              <w:t>3.16%</w:t>
            </w:r>
          </w:p>
        </w:tc>
        <w:tc>
          <w:tcPr>
            <w:tcW w:w="1650" w:type="dxa"/>
            <w:vAlign w:val="center"/>
          </w:tcPr>
          <w:p>
            <w:pPr>
              <w:pStyle w:val="TableNumber"/>
            </w:pPr>
            <w:r>
              <w:t>2.609 (2/9)</w:t>
            </w:r>
          </w:p>
        </w:tc>
        <w:tc>
          <w:tcPr>
            <w:tcW w:w="1600" w:type="dxa"/>
            <w:vAlign w:val="center"/>
          </w:tcPr>
          <w:p>
            <w:pPr>
              <w:pStyle w:val="TableNumber"/>
            </w:pPr>
            <w:r>
              <w:t>-46.89% (6/9)</w:t>
            </w:r>
          </w:p>
        </w:tc>
        <w:tc>
          <w:tcPr>
            <w:tcW w:w="960" w:type="dxa"/>
            <w:vAlign w:val="center"/>
          </w:tcPr>
          <w:p>
            <w:pPr>
              <w:pStyle w:val="TableNumber"/>
            </w:pPr>
            <w:r>
              <w:t>0.469</w:t>
            </w:r>
          </w:p>
        </w:tc>
      </w:tr>
    </w:tbl>
    <w:p>
      <w:pPr>
        <w:pStyle w:val="a"/>
      </w:pPr>
      <w:r>
        <w:t>RankIC and net Sharpe are positive across all 14 horizons; RankIC ranks first at 14/14 horizons and net Sharpe at 11/14 among nine full-output models. Maximum drawdown ranges from -46.89% to -3.84%, worst at day 14. These diagnostics do not establish stable profit.</w:t>
      </w:r>
    </w:p>
    <w:p>
      <w:pPr>
        <w:pStyle w:val="Note"/>
      </w:pPr>
      <w:r>
        <w:t>The backtest deducts fixed 10 bps per turnover unit and annualizes Sharpe with sqrt(252/h). It does not correct autocorrelation from overlapping returns or fully model market impact, borrow, capacity, slippage, or taxes.</w:t>
      </w:r>
    </w:p>
    <w:p>
      <w:pPr>
        <w:pStyle w:val="11"/>
      </w:pPr>
      <w:r>
        <w:t>7. Derived signal distribution across all horizons</w:t>
      </w:r>
    </w:p>
    <w:p>
      <w:pPr>
        <w:pStyle w:val="Decision"/>
        <w:keepNext/>
        <w:spacing w:after="80"/>
      </w:pPr>
      <w:r>
        <w:t>Table 10 | Post-processing labels at threshold zero</w:t>
      </w:r>
    </w:p>
    <w:tbl>
      <w:tblPr>
        <w:tblStyle w:val="BenchmarkTable"/>
        <w:tblW w:w="9360" w:type="dxa"/>
        <w:tblLayout w:type="fixed"/>
      </w:tblPr>
      <w:tblGrid>
        <w:gridCol w:w="900"/>
        <w:gridCol w:w="1800"/>
        <w:gridCol w:w="1800"/>
        <w:gridCol w:w="1800"/>
        <w:gridCol w:w="3060"/>
      </w:tblGrid>
      <w:tr>
        <w:trPr>
          <w:tblHeader/>
        </w:trPr>
        <w:tc>
          <w:tcPr>
            <w:tcW w:w="900" w:type="dxa"/>
            <w:shd w:val="clear" w:fill="DCE6F1"/>
            <w:vAlign w:val="center"/>
          </w:tcPr>
          <w:p>
            <w:pPr>
              <w:pStyle w:val="TableHeader"/>
            </w:pPr>
            <w:r>
              <w:t>H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Bearish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Neutral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Bullish</w:t>
            </w:r>
          </w:p>
        </w:tc>
        <w:tc>
          <w:tcPr>
            <w:tcW w:w="3060" w:type="dxa"/>
            <w:shd w:val="clear" w:fill="DCE6F1"/>
            <w:vAlign w:val="center"/>
          </w:tcPr>
          <w:p>
            <w:pPr>
              <w:pStyle w:val="TableHeader"/>
            </w:pPr>
            <w:r>
              <w:t>Strong bear / bull (rows)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84.58%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15.42%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 / 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2d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86.71%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13.29%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 / 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3d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90.55%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9.45%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0 / 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4d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89.88%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10.12%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17 / 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5d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89.71%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10.05%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2,970 / 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6d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89.52%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9.64%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10,637 / 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7d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88.79%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9.36%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23,396 / 32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8d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86.80%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10.37%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35,779 / 48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9d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86.43%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9.62%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49,910 / 53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10d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85.78%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10.08%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52,175 / 84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11d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86.58%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8.61%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60,751 / 94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12d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87.16%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8.58%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53,801 / 90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13d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86.94%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8.54%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57,094 / 70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>14d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88.72%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0.00%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8.10%</w:t>
            </w:r>
          </w:p>
        </w:tc>
        <w:tc>
          <w:tcPr>
            <w:tcW w:w="3060" w:type="dxa"/>
            <w:vAlign w:val="center"/>
          </w:tcPr>
          <w:p>
            <w:pPr>
              <w:pStyle w:val="TableNumber"/>
            </w:pPr>
            <w:r>
              <w:t>40,163 / 68</w:t>
            </w:r>
          </w:p>
        </w:tc>
      </w:tr>
    </w:tbl>
    <w:p>
      <w:pPr>
        <w:pStyle w:val="a"/>
      </w:pPr>
      <w:r>
        <w:t>No horizon has a neutral label; bearish share ranges 84.58% to 90.55%. Across all horizons, 386,693 strong-bearish and 543 strong-bullish labels were assigned. These labels describe q10/q50/q90 positions relative to zero; they are not probabilities or position recommendations.</w:t>
      </w:r>
    </w:p>
    <w:p>
      <w:pPr>
        <w:pStyle w:val="11"/>
      </w:pPr>
      <w:r>
        <w:t>8. Provider and year stability</w:t>
      </w:r>
    </w:p>
    <w:p>
      <w:pPr>
        <w:pStyle w:val="21"/>
      </w:pPr>
      <w:r>
        <w:t>8.1 Provider slices</w:t>
      </w:r>
    </w:p>
    <w:tbl>
      <w:tblPr>
        <w:tblStyle w:val="BenchmarkTable"/>
        <w:tblW w:w="9360" w:type="dxa"/>
        <w:tblLayout w:type="fixed"/>
      </w:tblPr>
      <w:tblGrid>
        <w:gridCol w:w="1500"/>
        <w:gridCol w:w="1100"/>
        <w:gridCol w:w="1300"/>
        <w:gridCol w:w="1400"/>
        <w:gridCol w:w="1800"/>
        <w:gridCol w:w="1250"/>
        <w:gridCol w:w="1010"/>
      </w:tblGrid>
      <w:tr>
        <w:trPr>
          <w:tblHeader/>
        </w:trPr>
        <w:tc>
          <w:tcPr>
            <w:tcW w:w="1500" w:type="dxa"/>
            <w:shd w:val="clear" w:fill="DCE6F1"/>
            <w:vAlign w:val="center"/>
          </w:tcPr>
          <w:p>
            <w:pPr>
              <w:pStyle w:val="TableHeader"/>
            </w:pPr>
            <w:r>
              <w:t>Provider</w:t>
            </w:r>
          </w:p>
        </w:tc>
        <w:tc>
          <w:tcPr>
            <w:tcW w:w="1100" w:type="dxa"/>
            <w:shd w:val="clear" w:fill="DCE6F1"/>
            <w:vAlign w:val="center"/>
          </w:tcPr>
          <w:p>
            <w:pPr>
              <w:pStyle w:val="TableHeader"/>
            </w:pPr>
            <w:r>
              <w:t>n</w:t>
            </w:r>
          </w:p>
        </w:tc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14H score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Mean q50 corr.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Corr. range</w:t>
            </w:r>
          </w:p>
        </w:tc>
        <w:tc>
          <w:tcPr>
            <w:tcW w:w="1250" w:type="dxa"/>
            <w:shd w:val="clear" w:fill="DCE6F1"/>
            <w:vAlign w:val="center"/>
          </w:tcPr>
          <w:p>
            <w:pPr>
              <w:pStyle w:val="TableHeader"/>
            </w:pPr>
            <w:r>
              <w:t>Mean direction</w:t>
            </w:r>
          </w:p>
        </w:tc>
        <w:tc>
          <w:tcPr>
            <w:tcW w:w="1010" w:type="dxa"/>
            <w:shd w:val="clear" w:fill="DCE6F1"/>
            <w:vAlign w:val="center"/>
          </w:tcPr>
          <w:p>
            <w:pPr>
              <w:pStyle w:val="TableHeader"/>
            </w:pPr>
            <w:r>
              <w:t>Mean coverage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EODHD / US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1,070,763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0.337084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0.0716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0.0553 to 0.0808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52.12%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72.63%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TPEx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85,346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0.325100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-0.0159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-0.0658 to 0.0610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71.50%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64.86%</w:t>
            </w:r>
          </w:p>
        </w:tc>
      </w:tr>
      <w:tr>
        <w:trPr>
          <w:cantSplit/>
        </w:trPr>
        <w:tc>
          <w:tcPr>
            <w:tcW w:w="1500" w:type="dxa"/>
            <w:vAlign w:val="center"/>
          </w:tcPr>
          <w:p>
            <w:pPr>
              <w:pStyle w:val="TableText"/>
            </w:pPr>
            <w:r>
              <w:t>TWSE</w:t>
            </w:r>
          </w:p>
        </w:tc>
        <w:tc>
          <w:tcPr>
            <w:tcW w:w="1100" w:type="dxa"/>
            <w:vAlign w:val="center"/>
          </w:tcPr>
          <w:p>
            <w:pPr>
              <w:pStyle w:val="TableNumber"/>
            </w:pPr>
            <w:r>
              <w:t>108,752</w:t>
            </w:r>
          </w:p>
        </w:tc>
        <w:tc>
          <w:tcPr>
            <w:tcW w:w="1300" w:type="dxa"/>
            <w:vAlign w:val="center"/>
          </w:tcPr>
          <w:p>
            <w:pPr>
              <w:pStyle w:val="TableNumber"/>
            </w:pPr>
            <w:r>
              <w:t>0.305410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-0.0359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-0.0904 to 0.0529</w:t>
            </w:r>
          </w:p>
        </w:tc>
        <w:tc>
          <w:tcPr>
            <w:tcW w:w="1250" w:type="dxa"/>
            <w:vAlign w:val="center"/>
          </w:tcPr>
          <w:p>
            <w:pPr>
              <w:pStyle w:val="TableNumber"/>
            </w:pPr>
            <w:r>
              <w:t>68.83%</w:t>
            </w:r>
          </w:p>
        </w:tc>
        <w:tc>
          <w:tcPr>
            <w:tcW w:w="1010" w:type="dxa"/>
            <w:vAlign w:val="center"/>
          </w:tcPr>
          <w:p>
            <w:pPr>
              <w:pStyle w:val="TableNumber"/>
            </w:pPr>
            <w:r>
              <w:t>64.97%</w:t>
            </w:r>
          </w:p>
        </w:tc>
      </w:tr>
    </w:tbl>
    <w:p>
      <w:pPr>
        <w:pStyle w:val="a"/>
      </w:pPr>
      <w:r>
        <w:t>Provider slices differ in sample size, exchanges, periods, and asset composition; TPEx/TWSE coverage is lower than US. Correlation uses continuous values while direction agreement uses signs, so they can diverge. These are stability diagnostics only.</w:t>
      </w:r>
    </w:p>
    <w:p>
      <w:pPr>
        <w:pStyle w:val="21"/>
      </w:pPr>
      <w:r>
        <w:t>8.2 Year slices</w:t>
      </w:r>
    </w:p>
    <w:tbl>
      <w:tblPr>
        <w:tblStyle w:val="BenchmarkTable"/>
        <w:tblW w:w="9360" w:type="dxa"/>
        <w:tblLayout w:type="fixed"/>
      </w:tblPr>
      <w:tblGrid>
        <w:gridCol w:w="1300"/>
        <w:gridCol w:w="1200"/>
        <w:gridCol w:w="1400"/>
        <w:gridCol w:w="1400"/>
        <w:gridCol w:w="1800"/>
        <w:gridCol w:w="1200"/>
        <w:gridCol w:w="1060"/>
      </w:tblGrid>
      <w:tr>
        <w:trPr>
          <w:tblHeader/>
        </w:trPr>
        <w:tc>
          <w:tcPr>
            <w:tcW w:w="1300" w:type="dxa"/>
            <w:shd w:val="clear" w:fill="DCE6F1"/>
            <w:vAlign w:val="center"/>
          </w:tcPr>
          <w:p>
            <w:pPr>
              <w:pStyle w:val="TableHeader"/>
            </w:pPr>
            <w:r>
              <w:t>Year</w:t>
            </w:r>
          </w:p>
        </w:tc>
        <w:tc>
          <w:tcPr>
            <w:tcW w:w="1200" w:type="dxa"/>
            <w:shd w:val="clear" w:fill="DCE6F1"/>
            <w:vAlign w:val="center"/>
          </w:tcPr>
          <w:p>
            <w:pPr>
              <w:pStyle w:val="TableHeader"/>
            </w:pPr>
            <w:r>
              <w:t>n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14H score</w:t>
            </w:r>
          </w:p>
        </w:tc>
        <w:tc>
          <w:tcPr>
            <w:tcW w:w="1400" w:type="dxa"/>
            <w:shd w:val="clear" w:fill="DCE6F1"/>
            <w:vAlign w:val="center"/>
          </w:tcPr>
          <w:p>
            <w:pPr>
              <w:pStyle w:val="TableHeader"/>
            </w:pPr>
            <w:r>
              <w:t>Mean q50 corr.</w:t>
            </w:r>
          </w:p>
        </w:tc>
        <w:tc>
          <w:tcPr>
            <w:tcW w:w="1800" w:type="dxa"/>
            <w:shd w:val="clear" w:fill="DCE6F1"/>
            <w:vAlign w:val="center"/>
          </w:tcPr>
          <w:p>
            <w:pPr>
              <w:pStyle w:val="TableHeader"/>
            </w:pPr>
            <w:r>
              <w:t>Corr. range</w:t>
            </w:r>
          </w:p>
        </w:tc>
        <w:tc>
          <w:tcPr>
            <w:tcW w:w="1200" w:type="dxa"/>
            <w:shd w:val="clear" w:fill="DCE6F1"/>
            <w:vAlign w:val="center"/>
          </w:tcPr>
          <w:p>
            <w:pPr>
              <w:pStyle w:val="TableHeader"/>
            </w:pPr>
            <w:r>
              <w:t>Mean direction</w:t>
            </w:r>
          </w:p>
        </w:tc>
        <w:tc>
          <w:tcPr>
            <w:tcW w:w="1060" w:type="dxa"/>
            <w:shd w:val="clear" w:fill="DCE6F1"/>
            <w:vAlign w:val="center"/>
          </w:tcPr>
          <w:p>
            <w:pPr>
              <w:pStyle w:val="TableHeader"/>
            </w:pPr>
            <w:r>
              <w:t>Mean coverage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2025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249,382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0.304486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0.0423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0.0105 to 0.0649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54.09%</w:t>
            </w:r>
          </w:p>
        </w:tc>
        <w:tc>
          <w:tcPr>
            <w:tcW w:w="1060" w:type="dxa"/>
            <w:vAlign w:val="center"/>
          </w:tcPr>
          <w:p>
            <w:pPr>
              <w:pStyle w:val="TableNumber"/>
            </w:pPr>
            <w:r>
              <w:t>76.36%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pStyle w:val="TableText"/>
            </w:pPr>
            <w:r>
              <w:t>2026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1,015,479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0.340690</w:t>
            </w:r>
          </w:p>
        </w:tc>
        <w:tc>
          <w:tcPr>
            <w:tcW w:w="1400" w:type="dxa"/>
            <w:vAlign w:val="center"/>
          </w:tcPr>
          <w:p>
            <w:pPr>
              <w:pStyle w:val="TableNumber"/>
            </w:pPr>
            <w:r>
              <w:t>0.0879</w:t>
            </w:r>
          </w:p>
        </w:tc>
        <w:tc>
          <w:tcPr>
            <w:tcW w:w="1800" w:type="dxa"/>
            <w:vAlign w:val="center"/>
          </w:tcPr>
          <w:p>
            <w:pPr>
              <w:pStyle w:val="TableNumber"/>
            </w:pPr>
            <w:r>
              <w:t>0.0695 to 0.1026</w:t>
            </w:r>
          </w:p>
        </w:tc>
        <w:tc>
          <w:tcPr>
            <w:tcW w:w="1200" w:type="dxa"/>
            <w:vAlign w:val="center"/>
          </w:tcPr>
          <w:p>
            <w:pPr>
              <w:pStyle w:val="TableNumber"/>
            </w:pPr>
            <w:r>
              <w:t>55.06%</w:t>
            </w:r>
          </w:p>
        </w:tc>
        <w:tc>
          <w:tcPr>
            <w:tcW w:w="1060" w:type="dxa"/>
            <w:vAlign w:val="center"/>
          </w:tcPr>
          <w:p>
            <w:pPr>
              <w:pStyle w:val="TableNumber"/>
            </w:pPr>
            <w:r>
              <w:t>70.25%</w:t>
            </w:r>
          </w:p>
        </w:tc>
      </w:tr>
    </w:tbl>
    <w:p>
      <w:pPr>
        <w:pStyle w:val="Lead"/>
      </w:pPr>
      <w:r>
        <w:t>The year slices are 2025 and 2026 with 2025=249,382 and 2026=1,015,479 rows. Uneven samples make annual score and coverage diagnostics rather than proof of temporal extrapolation.</w:t>
      </w:r>
    </w:p>
    <w:p>
      <w:pPr>
        <w:pStyle w:val="11"/>
      </w:pPr>
      <w:r>
        <w:t>9. Risks and next stage</w:t>
      </w:r>
    </w:p>
    <w:p>
      <w:pPr>
        <w:pStyle w:val="Decision"/>
        <w:keepNext/>
        <w:spacing w:after="80"/>
      </w:pPr>
      <w:r>
        <w:t>Table 11 | Main limitations and required validation</w:t>
      </w:r>
    </w:p>
    <w:tbl>
      <w:tblPr>
        <w:tblStyle w:val="BenchmarkTable"/>
        <w:tblW w:w="9360" w:type="dxa"/>
        <w:tblLayout w:type="fixed"/>
      </w:tblPr>
      <w:tblGrid>
        <w:gridCol w:w="2500"/>
        <w:gridCol w:w="2900"/>
        <w:gridCol w:w="3960"/>
      </w:tblGrid>
      <w:tr>
        <w:trPr>
          <w:tblHeader/>
        </w:trPr>
        <w:tc>
          <w:tcPr>
            <w:tcW w:w="2500" w:type="dxa"/>
            <w:shd w:val="clear" w:fill="DCE6F1"/>
            <w:vAlign w:val="center"/>
          </w:tcPr>
          <w:p>
            <w:pPr>
              <w:pStyle w:val="TableHeader"/>
            </w:pPr>
            <w:r>
              <w:t>Risk</w:t>
            </w:r>
          </w:p>
        </w:tc>
        <w:tc>
          <w:tcPr>
            <w:tcW w:w="2900" w:type="dxa"/>
            <w:shd w:val="clear" w:fill="DCE6F1"/>
            <w:vAlign w:val="center"/>
          </w:tcPr>
          <w:p>
            <w:pPr>
              <w:pStyle w:val="TableHeader"/>
            </w:pPr>
            <w:r>
              <w:t>Current evidence</w:t>
            </w:r>
          </w:p>
        </w:tc>
        <w:tc>
          <w:tcPr>
            <w:tcW w:w="3960" w:type="dxa"/>
            <w:shd w:val="clear" w:fill="DCE6F1"/>
            <w:vAlign w:val="center"/>
          </w:tcPr>
          <w:p>
            <w:pPr>
              <w:pStyle w:val="TableHeader"/>
            </w:pPr>
            <w:r>
              <w:t>Next validation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Full test holdout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1,264,861 rows across 112 dates; checkpoint selected on validation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Keep holdout isolated and pre-register membership and protocol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Single seed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seed=42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Report median, dispersion, and worst result across seeds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Interval coverage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All 14 horizons below 80%; minimum 68.63%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Fit per-horizon calibration on validation, freeze, then re-evaluate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Weak q50 association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0.0653 to 0.0794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Check ranking stability by provider, month, and regime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Signal distribution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bearish 84.58% to 90.55%; neutral is always zero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Fix threshold and position mapping per horizon; labels are not probabilities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Long-horizon drawdown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Worst -46.89% at 14d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Add exposure limits, drawdown gates, and cost scenarios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Provider heterogeneity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TPEx/TWSE coverage is much lower than US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Audit data, samples, and calibration per provider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Uneven year samples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2025=249,382; 2026=1,015,479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Add rolling, regime, and complete-year holdouts</w:t>
            </w:r>
          </w:p>
        </w:tc>
      </w:tr>
      <w:tr>
        <w:trPr>
          <w:cantSplit/>
        </w:trPr>
        <w:tc>
          <w:tcPr>
            <w:tcW w:w="2500" w:type="dxa"/>
            <w:vAlign w:val="center"/>
          </w:tcPr>
          <w:p>
            <w:pPr>
              <w:pStyle w:val="TableText"/>
            </w:pPr>
            <w:r>
              <w:t>Simplified trading costs</w:t>
            </w:r>
          </w:p>
        </w:tc>
        <w:tc>
          <w:tcPr>
            <w:tcW w:w="2900" w:type="dxa"/>
            <w:vAlign w:val="center"/>
          </w:tcPr>
          <w:p>
            <w:pPr>
              <w:pStyle w:val="TableText"/>
            </w:pPr>
            <w:r>
              <w:t>Fixed 10 bps × turnover; forward returns overlap</w:t>
            </w:r>
          </w:p>
        </w:tc>
        <w:tc>
          <w:tcPr>
            <w:tcW w:w="3960" w:type="dxa"/>
            <w:vAlign w:val="center"/>
          </w:tcPr>
          <w:p>
            <w:pPr>
              <w:pStyle w:val="TableText"/>
            </w:pPr>
            <w:r>
              <w:t>Model slippage, borrow, capacity, taxes, and robust overlapping-return estimates</w:t>
            </w:r>
          </w:p>
        </w:tc>
      </w:tr>
    </w:tbl>
    <w:p>
      <w:pPr>
        <w:pStyle w:val="Lead"/>
      </w:pPr>
      <w:r>
        <w:t>Final assessment: the best checkpoint scores 0.333552 on the full test metric and ranks 3 of 13; among nine comparable models, normalized pinball ranks first at 14/14 horizons, RankIC at 14/14, and net Sharpe at 11/14. Coverage is below 80% everywhere, q50 correlation is weak, signals are bearish-skewed, and the worst drawdown is -46.89% at day 14. One seed and simplified costs limit the evidence. Candidate model only, not deployment.</w:t>
      </w:r>
    </w:p>
    <w:p>
      <w:pPr>
        <w:pStyle w:val="11"/>
        <w:pageBreakBefore/>
      </w:pPr>
      <w:r>
        <w:t>Appendix A Complete model ranking</w:t>
      </w:r>
    </w:p>
    <w:tbl>
      <w:tblPr>
        <w:tblStyle w:val="BenchmarkTable"/>
        <w:tblW w:w="9360" w:type="dxa"/>
        <w:tblLayout w:type="fixed"/>
      </w:tblPr>
      <w:tblGrid>
        <w:gridCol w:w="650"/>
        <w:gridCol w:w="2800"/>
        <w:gridCol w:w="1900"/>
        <w:gridCol w:w="1330"/>
        <w:gridCol w:w="1330"/>
        <w:gridCol w:w="1350"/>
      </w:tblGrid>
      <w:tr>
        <w:trPr>
          <w:tblHeader/>
        </w:trPr>
        <w:tc>
          <w:tcPr>
            <w:tcW w:w="650" w:type="dxa"/>
            <w:shd w:val="clear" w:fill="DCE6F1"/>
            <w:vAlign w:val="center"/>
          </w:tcPr>
          <w:p>
            <w:pPr>
              <w:pStyle w:val="TableHeader"/>
            </w:pPr>
            <w:r>
              <w:t>Rank</w:t>
            </w:r>
          </w:p>
        </w:tc>
        <w:tc>
          <w:tcPr>
            <w:tcW w:w="2800" w:type="dxa"/>
            <w:shd w:val="clear" w:fill="DCE6F1"/>
            <w:vAlign w:val="center"/>
          </w:tcPr>
          <w:p>
            <w:pPr>
              <w:pStyle w:val="TableHeader"/>
            </w:pPr>
            <w:r>
              <w:t>Model</w:t>
            </w:r>
          </w:p>
        </w:tc>
        <w:tc>
          <w:tcPr>
            <w:tcW w:w="1900" w:type="dxa"/>
            <w:shd w:val="clear" w:fill="DCE6F1"/>
            <w:vAlign w:val="center"/>
          </w:tcPr>
          <w:p>
            <w:pPr>
              <w:pStyle w:val="TableHeader"/>
            </w:pPr>
            <w:r>
              <w:t>Days 1–14 score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Coverage</w:t>
            </w:r>
          </w:p>
        </w:tc>
        <w:tc>
          <w:tcPr>
            <w:tcW w:w="1330" w:type="dxa"/>
            <w:shd w:val="clear" w:fill="DCE6F1"/>
            <w:vAlign w:val="center"/>
          </w:tcPr>
          <w:p>
            <w:pPr>
              <w:pStyle w:val="TableHeader"/>
            </w:pPr>
            <w:r>
              <w:t>q50 corr.</w:t>
            </w:r>
          </w:p>
        </w:tc>
        <w:tc>
          <w:tcPr>
            <w:tcW w:w="1350" w:type="dxa"/>
            <w:shd w:val="clear" w:fill="DCE6F1"/>
            <w:vAlign w:val="center"/>
          </w:tcPr>
          <w:p>
            <w:pPr>
              <w:pStyle w:val="TableHeader"/>
            </w:pPr>
            <w:r>
              <w:t>RankIC</w:t>
            </w:r>
          </w:p>
        </w:tc>
      </w:tr>
      <w:tr>
        <w:trPr>
          <w:cantSplit/>
        </w:trPr>
        <w:tc>
          <w:tcPr>
            <w:tcW w:w="650" w:type="dxa"/>
            <w:shd w:val="clear" w:fill="EDF5FC"/>
            <w:vAlign w:val="center"/>
          </w:tcPr>
          <w:p>
            <w:pPr>
              <w:pStyle w:val="TableNumber"/>
            </w:pPr>
            <w:r>
              <w:t>1</w:t>
            </w:r>
          </w:p>
        </w:tc>
        <w:tc>
          <w:tcPr>
            <w:tcW w:w="2800" w:type="dxa"/>
            <w:shd w:val="clear" w:fill="EDF5FC"/>
            <w:vAlign w:val="center"/>
          </w:tcPr>
          <w:p>
            <w:pPr>
              <w:pStyle w:val="TableText"/>
            </w:pPr>
            <w:r>
              <w:t>Compact PatchTST</w:t>
            </w:r>
          </w:p>
        </w:tc>
        <w:tc>
          <w:tcPr>
            <w:tcW w:w="1900" w:type="dxa"/>
            <w:shd w:val="clear" w:fill="EDF5FC"/>
            <w:vAlign w:val="center"/>
          </w:tcPr>
          <w:p>
            <w:pPr>
              <w:pStyle w:val="TableNumber"/>
            </w:pPr>
            <w:r>
              <w:t>0.333073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75.98%</w:t>
            </w:r>
          </w:p>
        </w:tc>
        <w:tc>
          <w:tcPr>
            <w:tcW w:w="1330" w:type="dxa"/>
            <w:shd w:val="clear" w:fill="EDF5FC"/>
            <w:vAlign w:val="center"/>
          </w:tcPr>
          <w:p>
            <w:pPr>
              <w:pStyle w:val="TableNumber"/>
            </w:pPr>
            <w:r>
              <w:t>0.0731</w:t>
            </w:r>
          </w:p>
        </w:tc>
        <w:tc>
          <w:tcPr>
            <w:tcW w:w="1350" w:type="dxa"/>
            <w:shd w:val="clear" w:fill="EDF5FC"/>
            <w:vAlign w:val="center"/>
          </w:tcPr>
          <w:p>
            <w:pPr>
              <w:pStyle w:val="TableNumber"/>
            </w:pPr>
            <w:r>
              <w:t>0.0684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Quantile GBDT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0.333099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77.15%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0.0202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0.0316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Kronos-base + LoRA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0.333552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72.70%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0.0682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0.1015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4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Paired GRU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0.334072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73.46%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0.1040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0.0997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5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Always-bullish distribution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0.358960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77.09%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6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Zero-return distribution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0.358960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77.09%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0.0000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7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DLinear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0.359584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76.58%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0.0145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0.0164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8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MACD rule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0.360958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77.14%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-0.0187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-0.0006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9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Moving-average crossover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0.386988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77.82%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0.0261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0.0467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10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RSI rule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0.432233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77.60%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-0.0090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-0.0238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11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Volatility-scaled rule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0.535753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78.16%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-0.0048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0.0168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12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Five-day momentum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0.556299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78.15%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-0.0056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0.0169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pStyle w:val="TableNumber"/>
            </w:pPr>
            <w:r>
              <w:t>13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>Five-day reversal</w:t>
            </w:r>
          </w:p>
        </w:tc>
        <w:tc>
          <w:tcPr>
            <w:tcW w:w="1900" w:type="dxa"/>
            <w:vAlign w:val="center"/>
          </w:tcPr>
          <w:p>
            <w:pPr>
              <w:pStyle w:val="TableNumber"/>
            </w:pPr>
            <w:r>
              <w:t>0.561801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76.88%</w:t>
            </w:r>
          </w:p>
        </w:tc>
        <w:tc>
          <w:tcPr>
            <w:tcW w:w="1330" w:type="dxa"/>
            <w:vAlign w:val="center"/>
          </w:tcPr>
          <w:p>
            <w:pPr>
              <w:pStyle w:val="TableNumber"/>
            </w:pPr>
            <w:r>
              <w:t>0.0056</w:t>
            </w:r>
          </w:p>
        </w:tc>
        <w:tc>
          <w:tcPr>
            <w:tcW w:w="1350" w:type="dxa"/>
            <w:vAlign w:val="center"/>
          </w:tcPr>
          <w:p>
            <w:pPr>
              <w:pStyle w:val="TableNumber"/>
            </w:pPr>
            <w:r>
              <w:t>-0.0107</w:t>
            </w:r>
          </w:p>
        </w:tc>
      </w:tr>
    </w:tbl>
    <w:p>
      <w:pPr>
        <w:pStyle w:val="Note"/>
      </w:pPr>
      <w:r>
        <w:t>All learned baselines use seed 42. Primary ranking uses only the 14-horizon selection score.</w:t>
      </w:r>
    </w:p>
    <w:p>
      <w:pPr>
        <w:pStyle w:val="11"/>
      </w:pPr>
      <w:r>
        <w:t>Appendix B Reproducibility and evidence sources</w:t>
      </w:r>
    </w:p>
    <w:tbl>
      <w:tblPr>
        <w:tblStyle w:val="BenchmarkTable"/>
        <w:tblW w:w="9360" w:type="dxa"/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w="3000" w:type="dxa"/>
            <w:shd w:val="clear" w:fill="DCE6F1"/>
            <w:vAlign w:val="center"/>
          </w:tcPr>
          <w:p>
            <w:pPr>
              <w:pStyle w:val="TableHeader"/>
            </w:pPr>
            <w:r>
              <w:t>Evidence</w:t>
            </w:r>
          </w:p>
        </w:tc>
        <w:tc>
          <w:tcPr>
            <w:tcW w:w="6360" w:type="dxa"/>
            <w:shd w:val="clear" w:fill="DCE6F1"/>
            <w:vAlign w:val="center"/>
          </w:tcPr>
          <w:p>
            <w:pPr>
              <w:pStyle w:val="TableHeader"/>
            </w:pPr>
            <w:r>
              <w:t>Value or purpose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Run ID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run-20260923T095302Z-311336160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Best checkpoint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checkpoint-023613; validation monitor 0.297425666506; test score 0.333552048087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Output schema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model_output_schema_version=5.0; alpha_quantiles [batch,14,3]; horizons 1–14; q10/q50/q90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Evaluation state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state=ready; split=test; test_unlocked=true; 1,264,861 rows / 112 dates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Training lifecycle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state=ready; exit_code=0; timed_out=false; training_completed=true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Dataset manifest SHA-256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93aca769f2e90113cb7da671953773f47f7df3e89855cb1e7c61dc95e87c83cf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Test membership SHA-256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67adda03221adf6c6929e84b7043ce55f62ede5f871dc23fcd8c391d6ebb529a</w:t>
            </w:r>
          </w:p>
        </w:tc>
      </w:tr>
      <w:tr>
        <w:trPr>
          <w:cantSplit/>
        </w:trPr>
        <w:tc>
          <w:tcPr>
            <w:tcW w:w="3000" w:type="dxa"/>
            <w:vAlign w:val="center"/>
          </w:tcPr>
          <w:p>
            <w:pPr>
              <w:pStyle w:val="TableText"/>
            </w:pPr>
            <w:r>
              <w:t>Key artifacts</w:t>
            </w:r>
          </w:p>
        </w:tc>
        <w:tc>
          <w:tcPr>
            <w:tcW w:w="6360" w:type="dxa"/>
            <w:vAlign w:val="center"/>
          </w:tcPr>
          <w:p>
            <w:pPr>
              <w:pStyle w:val="TableText"/>
            </w:pPr>
            <w:r>
              <w:t>best-checkpoint.json; checkpoint-leaderboard.json; completion-result/training-result.json; validation-benchmark.json; resolved-config.yaml; run-manifest.json</w:t>
            </w:r>
          </w:p>
        </w:tc>
      </w:tr>
    </w:tbl>
    <w:p>
      <w:pPr>
        <w:pStyle w:val="Note"/>
      </w:pPr>
      <w:r>
        <w:t>All figures come directly from this run’s artifacts; the report did not retrain, resample, modify the metric guide, or alter the test protocol. The checkpoint was selected on validation and all 14 horizons are reported.</w:t>
      </w:r>
    </w:p>
    <w:sectPr w:rsidR="00A97D95">
      <w:footerReference ns1:id="rId18" w:type="default"/>
      <w:pgSz w:h="15840" w:w="12240"/>
      <w:pgMar w:bottom="1037" w:footer="504" w:gutter="0" w:header="504" w:left="1181" w:right="1181" w:top="1123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B2D1BE" w14:textId="77777777" w:rsidR="00BD6B20" w:rsidRDefault="00BD6B20">
      <w:pPr>
        <w:spacing w:after="0" w:line="240" w:lineRule="auto"/>
      </w:pPr>
      <w:r>
        <w:separator/>
      </w:r>
    </w:p>
  </w:endnote>
  <w:endnote w:type="continuationSeparator" w:id="0">
    <w:p w14:paraId="36E0CFF8" w14:textId="77777777" w:rsidR="00BD6B20" w:rsidRDefault="00BD6B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ingFang TC">
    <w:panose1 w:val="020B0400000000000000"/>
    <w:charset w:val="00"/>
    <w:family w:val="roman"/>
    <w:notTrueType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pStyle w:val="10"/>
      <w:jc w:val="center"/>
    </w:pPr>
    <w:r>
      <w:t xml:space="preserve">Stage 2 One to Fourteen Day Alpha Validation  |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929E15" w14:textId="77777777" w:rsidR="00BD6B20" w:rsidRDefault="00BD6B20">
      <w:pPr>
        <w:spacing w:after="0" w:line="240" w:lineRule="auto"/>
      </w:pPr>
      <w:r>
        <w:separator/>
      </w:r>
    </w:p>
  </w:footnote>
  <w:footnote w:type="continuationSeparator" w:id="0">
    <w:p w14:paraId="0ECE18C4" w14:textId="77777777" w:rsidR="00BD6B20" w:rsidRDefault="00BD6B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431773"/>
    <w:multiLevelType w:val="singleLevel"/>
    <w:tmpl w:val="89608B28"/>
    <w:lvl w:ilvl="0">
      <w:start w:val="1"/>
      <w:numFmt w:val="bullet"/>
      <w:lvlText w:val="•"/>
      <w:lvlJc w:val="left"/>
      <w:pPr>
        <w:ind w:left="540" w:hanging="270"/>
      </w:pPr>
      <w:rPr>
        <w:rFonts w:ascii="Calibri" w:eastAsia="PingFang TC" w:hAnsi="Calibri" w:cs="Calibri"/>
      </w:rPr>
    </w:lvl>
  </w:abstractNum>
  <w:abstractNum w:abstractNumId="1" w15:restartNumberingAfterBreak="0">
    <w:nsid w:val="69411DBC"/>
    <w:multiLevelType w:val="singleLevel"/>
    <w:tmpl w:val="C73E1470"/>
    <w:lvl w:ilvl="0">
      <w:start w:val="1"/>
      <w:numFmt w:val="decimal"/>
      <w:lvlText w:val="%1."/>
      <w:lvlJc w:val="left"/>
      <w:pPr>
        <w:ind w:left="540" w:hanging="270"/>
      </w:pPr>
      <w:rPr>
        <w:rFonts w:ascii="Calibri" w:eastAsia="PingFang TC" w:hAnsi="Calibri" w:cs="Calibri"/>
      </w:rPr>
    </w:lvl>
  </w:abstractNum>
  <w:num w:numId="1" w16cid:durableId="600375822">
    <w:abstractNumId w:val="0"/>
  </w:num>
  <w:num w:numId="2" w16cid:durableId="26832076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5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95"/>
    <w:rsid w:val="003D547D"/>
    <w:rsid w:val="006D6F9A"/>
    <w:rsid w:val="00A97D95"/>
    <w:rsid w:val="00BD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FFAD0"/>
  <w15:docId w15:val="{52ABB852-2F3F-264F-8986-09B73429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zh-TW" w:bidi="ar-SA"/>
      </w:rPr>
    </w:rPrDefault>
    <w:pPrDefault>
      <w:pPr>
        <w:spacing w:after="120"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Calibri"/>
      <w:color w:val="1F29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Kicker">
    <w:name w:val="Kicker"/>
    <w:basedOn w:val="a"/>
    <w:next w:val="a"/>
    <w:pPr>
      <w:spacing w:before="360" w:after="40"/>
    </w:pPr>
    <w:rPr>
      <w:b/>
      <w:color w:val="2E74B5"/>
      <w:sz w:val="20"/>
      <w:szCs w:val="20"/>
    </w:rPr>
  </w:style>
  <w:style w:type="paragraph" w:customStyle="1" w:styleId="ReportTitle">
    <w:name w:val="Report Title"/>
    <w:basedOn w:val="a"/>
    <w:next w:val="a"/>
    <w:pPr>
      <w:spacing w:before="80" w:after="100"/>
    </w:pPr>
    <w:rPr>
      <w:b/>
      <w:color w:val="0B2545"/>
      <w:sz w:val="48"/>
      <w:szCs w:val="48"/>
    </w:rPr>
  </w:style>
  <w:style w:type="paragraph" w:customStyle="1" w:styleId="1">
    <w:name w:val="副標題1"/>
    <w:basedOn w:val="a"/>
    <w:next w:val="a"/>
    <w:pPr>
      <w:spacing w:after="360"/>
    </w:pPr>
    <w:rPr>
      <w:color w:val="52606D"/>
      <w:sz w:val="26"/>
      <w:szCs w:val="26"/>
    </w:rPr>
  </w:style>
  <w:style w:type="paragraph" w:customStyle="1" w:styleId="Metadata">
    <w:name w:val="Metadata"/>
    <w:basedOn w:val="a"/>
    <w:next w:val="a"/>
    <w:pPr>
      <w:spacing w:before="20" w:after="20"/>
    </w:pPr>
    <w:rPr>
      <w:color w:val="334E68"/>
      <w:sz w:val="21"/>
      <w:szCs w:val="21"/>
    </w:rPr>
  </w:style>
  <w:style w:type="paragraph" w:customStyle="1" w:styleId="11">
    <w:name w:val="標題 11"/>
    <w:basedOn w:val="a"/>
    <w:next w:val="a"/>
    <w:pPr>
      <w:keepNext/>
      <w:keepLines/>
      <w:spacing w:before="320" w:after="160"/>
      <w:outlineLvl w:val="0"/>
    </w:pPr>
    <w:rPr>
      <w:b/>
      <w:color w:val="2E74B5"/>
      <w:sz w:val="32"/>
      <w:szCs w:val="32"/>
    </w:rPr>
  </w:style>
  <w:style w:type="paragraph" w:customStyle="1" w:styleId="21">
    <w:name w:val="標題 21"/>
    <w:basedOn w:val="a"/>
    <w:next w:val="a"/>
    <w:pPr>
      <w:keepNext/>
      <w:keepLines/>
      <w:spacing w:before="240"/>
      <w:outlineLvl w:val="1"/>
    </w:pPr>
    <w:rPr>
      <w:b/>
      <w:color w:val="2E74B5"/>
      <w:sz w:val="26"/>
      <w:szCs w:val="26"/>
    </w:rPr>
  </w:style>
  <w:style w:type="paragraph" w:customStyle="1" w:styleId="31">
    <w:name w:val="標題 31"/>
    <w:basedOn w:val="a"/>
    <w:next w:val="a"/>
    <w:pPr>
      <w:keepNext/>
      <w:keepLines/>
      <w:spacing w:before="160" w:after="80"/>
      <w:outlineLvl w:val="2"/>
    </w:pPr>
    <w:rPr>
      <w:b/>
      <w:color w:val="1F4D78"/>
      <w:sz w:val="24"/>
      <w:szCs w:val="24"/>
    </w:rPr>
  </w:style>
  <w:style w:type="paragraph" w:customStyle="1" w:styleId="Lead">
    <w:name w:val="Lead"/>
    <w:basedOn w:val="a"/>
    <w:next w:val="a"/>
    <w:pPr>
      <w:pBdr>
        <w:left w:val="single" w:sz="28" w:space="8" w:color="2E74B5"/>
      </w:pBdr>
      <w:shd w:val="clear" w:color="auto" w:fill="F4F6F9"/>
      <w:spacing w:before="160" w:after="240"/>
      <w:ind w:left="180" w:right="120"/>
    </w:pPr>
  </w:style>
  <w:style w:type="paragraph" w:customStyle="1" w:styleId="Decision">
    <w:name w:val="Decision"/>
    <w:basedOn w:val="a"/>
    <w:next w:val="a"/>
    <w:pPr>
      <w:keepNext/>
      <w:keepLines/>
      <w:spacing w:before="80" w:after="100"/>
    </w:pPr>
    <w:rPr>
      <w:b/>
      <w:color w:val="0B2545"/>
      <w:sz w:val="24"/>
      <w:szCs w:val="24"/>
    </w:rPr>
  </w:style>
  <w:style w:type="paragraph" w:customStyle="1" w:styleId="Note">
    <w:name w:val="Note"/>
    <w:basedOn w:val="a"/>
    <w:next w:val="a"/>
    <w:pPr>
      <w:spacing w:after="160"/>
    </w:pPr>
    <w:rPr>
      <w:color w:val="52606D"/>
      <w:sz w:val="19"/>
      <w:szCs w:val="19"/>
    </w:rPr>
  </w:style>
  <w:style w:type="paragraph" w:customStyle="1" w:styleId="TableText">
    <w:name w:val="Table Text"/>
    <w:basedOn w:val="a"/>
    <w:next w:val="a"/>
    <w:pPr>
      <w:spacing w:before="30" w:after="30" w:line="240" w:lineRule="auto"/>
    </w:pPr>
    <w:rPr>
      <w:sz w:val="17"/>
      <w:szCs w:val="17"/>
    </w:rPr>
  </w:style>
  <w:style w:type="paragraph" w:customStyle="1" w:styleId="TableNumber">
    <w:name w:val="Table Number"/>
    <w:basedOn w:val="a"/>
    <w:next w:val="a"/>
    <w:pPr>
      <w:spacing w:before="30" w:after="30" w:line="240" w:lineRule="auto"/>
      <w:jc w:val="right"/>
    </w:pPr>
    <w:rPr>
      <w:sz w:val="17"/>
      <w:szCs w:val="17"/>
    </w:rPr>
  </w:style>
  <w:style w:type="paragraph" w:customStyle="1" w:styleId="TableHeader">
    <w:name w:val="Table Header"/>
    <w:basedOn w:val="a"/>
    <w:next w:val="a"/>
    <w:pPr>
      <w:spacing w:before="30" w:after="30" w:line="240" w:lineRule="auto"/>
      <w:jc w:val="center"/>
    </w:pPr>
    <w:rPr>
      <w:b/>
      <w:color w:val="0B2545"/>
      <w:sz w:val="17"/>
      <w:szCs w:val="17"/>
    </w:rPr>
  </w:style>
  <w:style w:type="paragraph" w:customStyle="1" w:styleId="10">
    <w:name w:val="頁尾1"/>
    <w:basedOn w:val="a"/>
    <w:next w:val="a"/>
    <w:pPr>
      <w:spacing w:after="0"/>
    </w:pPr>
    <w:rPr>
      <w:color w:val="52606D"/>
      <w:sz w:val="18"/>
      <w:szCs w:val="18"/>
    </w:rPr>
  </w:style>
  <w:style w:type="table" w:customStyle="1" w:styleId="BenchmarkTable">
    <w:name w:val="Benchmark Table"/>
    <w:tblPr>
      <w:tblBorders>
        <w:top w:val="single" w:sz="4" w:space="0" w:color="C7D0D9"/>
        <w:left w:val="single" w:sz="4" w:space="0" w:color="C7D0D9"/>
        <w:bottom w:val="single" w:sz="4" w:space="0" w:color="C7D0D9"/>
        <w:right w:val="single" w:sz="4" w:space="0" w:color="C7D0D9"/>
        <w:insideH w:val="single" w:sz="4" w:space="0" w:color="C7D0D9"/>
        <w:insideV w:val="single" w:sz="4" w:space="0" w:color="C7D0D9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?>
<Relationships xmlns="http://schemas.openxmlformats.org/package/2006/relationships"><Relationship Id="rId18" Type="http://schemas.openxmlformats.org/officeDocument/2006/relationships/footer" Target="footer1.xml" /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9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3637</Words>
  <Characters>19131</Characters>
  <Application>Microsoft Office Word</Application>
  <DocSecurity>0</DocSecurity>
  <Lines>869</Lines>
  <Paragraphs>843</Paragraphs>
  <ScaleCrop>false</ScaleCrop>
  <Company/>
  <LinksUpToDate>false</LinksUpToDate>
  <CharactersWithSpaces>21925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dcterms="http://purl.org/dc/terms/" xmlns:ns0="http://schemas.openxmlformats.org/package/2006/metadata/core-properties" xmlns:xsi="http://www.w3.org/2001/XMLSchema-instance">
  <dc:title>模型效能評估報告 run-20260923T095302Z-311336160</dc:title>
  <dc:subject>Stage 2 validation report using schema 5.0 outputs</dc:subject>
  <dc:creator>stock_forecasting project</dc:creator>
  <ns0:keywords>Kronos, quantile forecast, benchmark-relative alpha, pinball loss, RankIC, validation</ns0:keywords>
  <dc:description>Bilingual Stage 2 model performance evaluation based on immutable run artifacts.</dc:description>
  <ns0:lastModifiedBy>鷹揚 牧野</ns0:lastModifiedBy>
  <ns0:revision>4</ns0:revision>
  <dcterms:created xsi:type="dcterms:W3CDTF">2026-07-17T00:00:00Z</dcterms:created>
  <dcterms:modified xsi:type="dcterms:W3CDTF">2026-10-06T00:00:00Z</dcterms:modified>
</ns0:coreProperties>
</file>