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officeDocument/2006/relationships" xmlns:w="http://schemas.openxmlformats.org/wordprocessingml/2006/main">
  <w:body>
    <w:p>
      <w:pPr>
        <w:pStyle w:val="Kicker"/>
      </w:pPr>
      <w:r>
        <w:t>模型效能評估報告</w:t>
      </w:r>
    </w:p>
    <w:p>
      <w:pPr>
        <w:pStyle w:val="ReportTitle"/>
      </w:pPr>
      <w:r>
        <w:t xml:space="preserve">1 至 14 日 Alpha 預測與選股評估</w:t>
      </w:r>
    </w:p>
    <w:p>
      <w:pPr>
        <w:pStyle w:val="1"/>
      </w:pPr>
      <w:r>
        <w:t xml:space="preserve">A-partial  Stage 2  run-20261007T085308Z-2debcc6e669b4522</w:t>
      </w:r>
    </w:p>
    <w:p>
      <w:pPr>
        <w:pStyle w:val="Metadata"/>
      </w:pPr>
      <w:r>
        <w:t xml:space="preserve">報告修訂日期：2026-10-09</w:t>
      </w:r>
    </w:p>
    <w:p>
      <w:pPr>
        <w:pStyle w:val="Metadata"/>
      </w:pPr>
      <w:r>
        <w:t>最佳 checkpoint：checkpoint-011040（global step 11,040）</w:t>
      </w:r>
    </w:p>
    <w:p>
      <w:pPr>
        <w:pStyle w:val="Metadata"/>
      </w:pPr>
      <w:r>
        <w:t>評估資料：完整 test；checkpoint 由 validation 選出；test 已解鎖</w:t>
      </w:r>
    </w:p>
    <w:p>
      <w:pPr>
        <w:pStyle w:val="Lead"/>
      </w:pPr>
      <w:r>
        <w:t xml:space="preserve">A-partial 的 raw test normalized pinball 為 0.293823，13 個模型第 2 名；校準後為 0.293445，整體 coverage 由 75.7978% 變為 77.1449%。q50 不變，方向能力需與 training 固定分布比較。獨立 ranking head 另按市場呈現。現有成本後報酬、Sharpe 與最大回撤存在資金尺度問題，不能作可靠策略績效結論。</w:t>
      </w:r>
    </w:p>
    <w:p>
      <w:pPr>
        <w:pStyle w:val="11"/>
      </w:pPr>
      <w:r>
        <w:t>1. 執行摘要</w:t>
      </w:r>
    </w:p>
    <w:p>
      <w:pPr>
        <w:pStyle w:val="21"/>
      </w:pPr>
      <w:r>
        <w:t>1.1 評估單位是全部 14 個 horizon</w:t>
      </w:r>
    </w:p>
    <w:p>
      <w:pPr>
        <w:pStyle w:val="a"/>
      </w:pPr>
      <w:r>
        <w:t>每筆樣本包含 14 組獨立 q10、q50、q90；selection score 是 14 個 horizon normalized pinball 等權平均。本輪直接評估完整 test split，不是抽樣子集。</w:t>
      </w:r>
    </w:p>
    <w:p>
      <w:pPr>
        <w:pStyle w:val="Decision"/>
        <w:keepNext/>
        <w:spacing w:after="80"/>
      </w:pPr>
      <w:r>
        <w:t>表 1｜跨 1 至 14 日的核心結論</w:t>
      </w:r>
    </w:p>
    <w:tbl>
      <w:tblPr>
        <w:tblStyle w:val="BenchmarkTable"/>
        <w:tblW w:w="9360" w:type="dxa"/>
        <w:tblLayout w:type="fixed"/>
      </w:tblPr>
      <w:tblGrid>
        <w:gridCol w:w="2650"/>
        <w:gridCol w:w="2800"/>
        <w:gridCol w:w="3910"/>
      </w:tblGrid>
      <w:tr>
        <w:trPr>
          <w:tblHeader/>
        </w:trPr>
        <w:tc>
          <w:tcPr>
            <w:tcW w:w="2650" w:type="dxa"/>
            <w:shd w:val="clear" w:fill="DCE6F1"/>
            <w:vAlign w:val="center"/>
          </w:tcPr>
          <w:p>
            <w:pPr>
              <w:pStyle w:val="TableHeader"/>
            </w:pPr>
            <w:r>
              <w:t>評估面向</w:t>
            </w:r>
          </w:p>
        </w:tc>
        <w:tc>
          <w:tcPr>
            <w:tcW w:w="2800" w:type="dxa"/>
            <w:shd w:val="clear" w:fill="DCE6F1"/>
            <w:vAlign w:val="center"/>
          </w:tcPr>
          <w:p>
            <w:pPr>
              <w:pStyle w:val="TableHeader"/>
            </w:pPr>
            <w:r>
              <w:t>本次結果</w:t>
            </w:r>
          </w:p>
        </w:tc>
        <w:tc>
          <w:tcPr>
            <w:tcW w:w="3910" w:type="dxa"/>
            <w:shd w:val="clear" w:fill="DCE6F1"/>
            <w:vAlign w:val="center"/>
          </w:tcPr>
          <w:p>
            <w:pPr>
              <w:pStyle w:val="TableHeader"/>
            </w:pPr>
            <w:r>
              <w:t>正確解讀</w:t>
            </w:r>
          </w:p>
        </w:tc>
      </w:tr>
      <w:tr>
        <w:trPr>
          <w:cantSplit/>
        </w:trPr>
        <w:tc>
          <w:tcPr>
            <w:tcW w:w="2650" w:type="dxa"/>
            <w:vAlign w:val="center"/>
          </w:tcPr>
          <w:p>
            <w:pPr>
              <w:pStyle w:val="TableText"/>
            </w:pPr>
            <w:r>
              <w:t xml:space="preserve">全 horizon raw test score</w:t>
            </w:r>
          </w:p>
        </w:tc>
        <w:tc>
          <w:tcPr>
            <w:tcW w:w="2800" w:type="dxa"/>
            <w:vAlign w:val="center"/>
          </w:tcPr>
          <w:p>
            <w:pPr>
              <w:pStyle w:val="TableNumber"/>
            </w:pPr>
            <w:r>
              <w:t xml:space="preserve">0.293823</w:t>
            </w:r>
          </w:p>
        </w:tc>
        <w:tc>
          <w:tcPr>
            <w:tcW w:w="3910" w:type="dxa"/>
            <w:vAlign w:val="center"/>
          </w:tcPr>
          <w:p>
            <w:pPr>
              <w:pStyle w:val="TableText"/>
            </w:pPr>
            <w:r>
              <w:t xml:space="preserve">13 個模型第 2 名；只用 raw validation 選 checkpoint</w:t>
            </w:r>
          </w:p>
        </w:tc>
      </w:tr>
      <w:tr>
        <w:trPr>
          <w:cantSplit/>
        </w:trPr>
        <w:tc>
          <w:tcPr>
            <w:tcW w:w="2650" w:type="dxa"/>
            <w:vAlign w:val="center"/>
          </w:tcPr>
          <w:p>
            <w:pPr>
              <w:pStyle w:val="TableText"/>
            </w:pPr>
            <w:r>
              <w:t xml:space="preserve">校準後分布誤差</w:t>
            </w:r>
          </w:p>
        </w:tc>
        <w:tc>
          <w:tcPr>
            <w:tcW w:w="2800" w:type="dxa"/>
            <w:vAlign w:val="center"/>
          </w:tcPr>
          <w:p>
            <w:pPr>
              <w:pStyle w:val="TableNumber"/>
            </w:pPr>
            <w:r>
              <w:t xml:space="preserve">0.293445</w:t>
            </w:r>
          </w:p>
        </w:tc>
        <w:tc>
          <w:tcPr>
            <w:tcW w:w="3910" w:type="dxa"/>
            <w:vAlign w:val="center"/>
          </w:tcPr>
          <w:p>
            <w:pPr>
              <w:pStyle w:val="TableText"/>
            </w:pPr>
            <w:r>
              <w:t xml:space="preserve">validation 擬合後凍結套用 test；不是新的選模分數</w:t>
            </w:r>
          </w:p>
        </w:tc>
      </w:tr>
      <w:tr>
        <w:trPr>
          <w:cantSplit/>
        </w:trPr>
        <w:tc>
          <w:tcPr>
            <w:tcW w:w="2650" w:type="dxa"/>
            <w:vAlign w:val="center"/>
          </w:tcPr>
          <w:p>
            <w:pPr>
              <w:pStyle w:val="TableText"/>
            </w:pPr>
            <w:r>
              <w:t xml:space="preserve">整體 coverage raw / calibrated</w:t>
            </w:r>
          </w:p>
        </w:tc>
        <w:tc>
          <w:tcPr>
            <w:tcW w:w="2800" w:type="dxa"/>
            <w:vAlign w:val="center"/>
          </w:tcPr>
          <w:p>
            <w:pPr>
              <w:pStyle w:val="TableNumber"/>
            </w:pPr>
            <w:r>
              <w:t xml:space="preserve">75.7978%</w:t>
              <w:br/>
              <w:t xml:space="preserve">77.1449%</w:t>
            </w:r>
          </w:p>
        </w:tc>
        <w:tc>
          <w:tcPr>
            <w:tcW w:w="3910" w:type="dxa"/>
            <w:vAlign w:val="center"/>
          </w:tcPr>
          <w:p>
            <w:pPr>
              <w:pStyle w:val="TableText"/>
            </w:pPr>
            <w:r>
              <w:t xml:space="preserve">須連同區間寬度及市場別結果閱讀；不保證每個子群達 80%</w:t>
            </w:r>
          </w:p>
        </w:tc>
      </w:tr>
      <w:tr>
        <w:trPr>
          <w:cantSplit/>
        </w:trPr>
        <w:tc>
          <w:tcPr>
            <w:tcW w:w="2650" w:type="dxa"/>
            <w:vAlign w:val="center"/>
          </w:tcPr>
          <w:p>
            <w:pPr>
              <w:pStyle w:val="TableText"/>
            </w:pPr>
            <w:r>
              <w:t xml:space="preserve">q50 Pearson correlation</w:t>
            </w:r>
          </w:p>
        </w:tc>
        <w:tc>
          <w:tcPr>
            <w:tcW w:w="2800" w:type="dxa"/>
            <w:vAlign w:val="center"/>
          </w:tcPr>
          <w:p>
            <w:pPr>
              <w:pStyle w:val="TableNumber"/>
            </w:pPr>
            <w:r>
              <w:t xml:space="preserve">0.0569~0.1268</w:t>
            </w:r>
          </w:p>
        </w:tc>
        <w:tc>
          <w:tcPr>
            <w:tcW w:w="3910" w:type="dxa"/>
            <w:vAlign w:val="center"/>
          </w:tcPr>
          <w:p>
            <w:pPr>
              <w:pStyle w:val="TableText"/>
            </w:pPr>
            <w:r>
              <w:t xml:space="preserve">報酬中位數是否與實際 alpha 共同變動；校準後不變</w:t>
            </w:r>
          </w:p>
        </w:tc>
      </w:tr>
      <w:tr>
        <w:trPr>
          <w:cantSplit/>
        </w:trPr>
        <w:tc>
          <w:tcPr>
            <w:tcW w:w="2650" w:type="dxa"/>
            <w:vAlign w:val="center"/>
          </w:tcPr>
          <w:p>
            <w:pPr>
              <w:pStyle w:val="TableText"/>
            </w:pPr>
            <w:r>
              <w:t xml:space="preserve">方向一致率相對固定分布</w:t>
            </w:r>
          </w:p>
        </w:tc>
        <w:tc>
          <w:tcPr>
            <w:tcW w:w="2800" w:type="dxa"/>
            <w:vAlign w:val="center"/>
          </w:tcPr>
          <w:p>
            <w:pPr>
              <w:pStyle w:val="TableNumber"/>
            </w:pPr>
            <w:r>
              <w:t xml:space="preserve">-1.1935~+0.2055 pp</w:t>
            </w:r>
          </w:p>
        </w:tc>
        <w:tc>
          <w:tcPr>
            <w:tcW w:w="3910" w:type="dxa"/>
            <w:vAlign w:val="center"/>
          </w:tcPr>
          <w:p>
            <w:pPr>
              <w:pStyle w:val="TableText"/>
            </w:pPr>
            <w:r>
              <w:t xml:space="preserve">僅 5/14 個 horizon 高於 training 固定 baseline；非股價漲跌</w:t>
            </w:r>
          </w:p>
        </w:tc>
      </w:tr>
      <w:tr>
        <w:trPr>
          <w:cantSplit/>
        </w:trPr>
        <w:tc>
          <w:tcPr>
            <w:tcW w:w="2650" w:type="dxa"/>
            <w:vAlign w:val="center"/>
          </w:tcPr>
          <w:p>
            <w:pPr>
              <w:pStyle w:val="TableText"/>
            </w:pPr>
            <w:r>
              <w:t xml:space="preserve">以 q50 排序的 RankIC</w:t>
            </w:r>
          </w:p>
        </w:tc>
        <w:tc>
          <w:tcPr>
            <w:tcW w:w="2800" w:type="dxa"/>
            <w:vAlign w:val="center"/>
          </w:tcPr>
          <w:p>
            <w:pPr>
              <w:pStyle w:val="TableNumber"/>
            </w:pPr>
            <w:r>
              <w:t xml:space="preserve">0.0765~0.1070</w:t>
            </w:r>
          </w:p>
        </w:tc>
        <w:tc>
          <w:tcPr>
            <w:tcW w:w="3910" w:type="dxa"/>
            <w:vAlign w:val="center"/>
          </w:tcPr>
          <w:p>
            <w:pPr>
              <w:pStyle w:val="TableText"/>
            </w:pPr>
            <w:r>
              <w:t xml:space="preserve">跨市場同日排序；與市場別 head 缺少公平同群對照</w:t>
            </w:r>
          </w:p>
        </w:tc>
      </w:tr>
      <w:tr>
        <w:trPr>
          <w:cantSplit/>
        </w:trPr>
        <w:tc>
          <w:tcPr>
            <w:tcW w:w="2650" w:type="dxa"/>
            <w:vAlign w:val="center"/>
          </w:tcPr>
          <w:p>
            <w:pPr>
              <w:pStyle w:val="TableText"/>
            </w:pPr>
            <w:r>
              <w:t xml:space="preserve">獨立 ranking head RankIC</w:t>
            </w:r>
          </w:p>
        </w:tc>
        <w:tc>
          <w:tcPr>
            <w:tcW w:w="2800" w:type="dxa"/>
            <w:vAlign w:val="center"/>
          </w:tcPr>
          <w:p>
            <w:pPr>
              <w:pStyle w:val="TableNumber"/>
            </w:pPr>
            <w:r>
              <w:t xml:space="preserve">US 0.0247~0.0713; TWSE 0.0287~0.0727; TPEX 0.0250~0.0499</w:t>
            </w:r>
          </w:p>
        </w:tc>
        <w:tc>
          <w:tcPr>
            <w:tcW w:w="3910" w:type="dxa"/>
            <w:vAlign w:val="center"/>
          </w:tcPr>
          <w:p>
            <w:pPr>
              <w:pStyle w:val="TableText"/>
            </w:pPr>
            <w:r>
              <w:t xml:space="preserve">無量綱分數；42 個市場與 horizon 組合均為正，穩定性仍待驗證</w:t>
            </w:r>
          </w:p>
        </w:tc>
      </w:tr>
      <w:tr>
        <w:trPr>
          <w:cantSplit/>
        </w:trPr>
        <w:tc>
          <w:tcPr>
            <w:tcW w:w="2650" w:type="dxa"/>
            <w:vAlign w:val="center"/>
          </w:tcPr>
          <w:p>
            <w:pPr>
              <w:pStyle w:val="TableText"/>
            </w:pPr>
            <w:r>
              <w:t xml:space="preserve">成本後 Sharpe 及最大回撤</w:t>
            </w:r>
          </w:p>
        </w:tc>
        <w:tc>
          <w:tcPr>
            <w:tcW w:w="2800" w:type="dxa"/>
            <w:vAlign w:val="center"/>
          </w:tcPr>
          <w:p>
            <w:pPr>
              <w:pStyle w:val="TableNumber"/>
            </w:pPr>
            <w:r>
              <w:t xml:space="preserve">保留原值於表 9</w:t>
            </w:r>
          </w:p>
        </w:tc>
        <w:tc>
          <w:tcPr>
            <w:tcW w:w="3910" w:type="dxa"/>
            <w:vAlign w:val="center"/>
          </w:tcPr>
          <w:p>
            <w:pPr>
              <w:pStyle w:val="TableText"/>
            </w:pPr>
            <w:r>
              <w:t xml:space="preserve">舊版簡化診斷；資金／成本尺度未對齊，不作可靠策略績效結論</w:t>
            </w:r>
          </w:p>
        </w:tc>
      </w:tr>
    </w:tbl>
    <w:p>
      <w:pPr>
        <w:pStyle w:val="21"/>
        <w:spacing w:before="160"/>
      </w:pPr>
      <w:r>
        <w:t>1.2 決策與證據強度</w:t>
      </w:r>
    </w:p>
    <w:p>
      <w:pPr>
        <w:pStyle w:val="a"/>
      </w:pPr>
      <w:r>
        <w:t xml:space="preserve">本實驗 raw 分布誤差排名第 2/13。相較 training 固定無條件分布 baseline 0.309493，誤差低 5.06%。三個實驗是相同 test 集合上的單一 seed 設定比較，不是多 seed 穩定性。always_buy 與 zero_return 雖保留兩個來源名稱，實際預測相同，不能當成兩種不同的方向策略。</w:t>
      </w:r>
    </w:p>
    <w:p>
      <w:pPr>
        <w:pStyle w:val="Decision"/>
      </w:pPr>
      <w:r>
        <w:t xml:space="preserve">決策：保留 checkpoint 與預測評估證據。完成多 seed 穩定性、同市場排序對照，以及評估程式資金／成本口徑修正與正式回測之前，不批准部署或獲利宣稱。</w:t>
      </w:r>
    </w:p>
    <w:p>
      <w:pPr>
        <w:pStyle w:val="Note"/>
      </w:pPr>
      <w:r>
        <w:t>selection score 衡量 14 個 horizon 的分布誤差。它不是報酬率、勝率或可交易性分數。</w:t>
      </w:r>
    </w:p>
    <w:p>
      <w:pPr>
        <w:pStyle w:val="11"/>
      </w:pPr>
      <w:r>
        <w:t xml:space="preserve">2. 評估設計與證據邊界</w:t>
      </w:r>
    </w:p>
    <w:p>
      <w:pPr>
        <w:pStyle w:val="21"/>
      </w:pPr>
      <w:r>
        <w:t>2.1 資料與切分</w:t>
      </w:r>
    </w:p>
    <w:p>
      <w:pPr>
        <w:pStyle w:val="a"/>
      </w:pPr>
      <w:r>
        <w:t xml:space="preserve">資料 profile 為 us_tw_eodhd。三個 run 均為 evaluation_split=test、state=ready，使用相同 534,327 windows、112 個預測日期與相同有序股票日期集合。檔名 validation-benchmark.json 是工作流程名稱，不代表最終結果來自 validation。完整 test 預測日期為 2025-12-01 至 2026-05-11；validation 僅用於 checkpoint 選擇、早停及校準擬合。</w:t>
      </w:r>
    </w:p>
    <w:p>
      <w:pPr>
        <w:pStyle w:val="Decision"/>
        <w:keepNext/>
        <w:spacing w:after="80"/>
      </w:pPr>
      <w:r>
        <w:t>表 2｜樣本與切分</w:t>
      </w:r>
    </w:p>
    <w:tbl>
      <w:tblPr>
        <w:tblStyle w:val="BenchmarkTable"/>
        <w:tblW w:w="9360" w:type="dxa"/>
        <w:tblLayout w:type="fixed"/>
      </w:tblPr>
      <w:tblGrid>
        <w:gridCol w:w="2800"/>
        <w:gridCol w:w="2050"/>
        <w:gridCol w:w="4510"/>
      </w:tblGrid>
      <w:tr>
        <w:trPr>
          <w:tblHeader/>
        </w:trPr>
        <w:tc>
          <w:tcPr>
            <w:tcW w:w="2800" w:type="dxa"/>
            <w:shd w:val="clear" w:fill="DCE6F1"/>
            <w:vAlign w:val="center"/>
          </w:tcPr>
          <w:p>
            <w:pPr>
              <w:pStyle w:val="TableHeader"/>
            </w:pPr>
            <w:r>
              <w:t>項目</w:t>
            </w:r>
          </w:p>
        </w:tc>
        <w:tc>
          <w:tcPr>
            <w:tcW w:w="2050" w:type="dxa"/>
            <w:shd w:val="clear" w:fill="DCE6F1"/>
            <w:vAlign w:val="center"/>
          </w:tcPr>
          <w:p>
            <w:pPr>
              <w:pStyle w:val="TableHeader"/>
            </w:pPr>
            <w:r>
              <w:t>數量或狀態</w:t>
            </w:r>
          </w:p>
        </w:tc>
        <w:tc>
          <w:tcPr>
            <w:tcW w:w="4510" w:type="dxa"/>
            <w:shd w:val="clear" w:fill="DCE6F1"/>
            <w:vAlign w:val="center"/>
          </w:tcPr>
          <w:p>
            <w:pPr>
              <w:pStyle w:val="TableHeader"/>
            </w:pPr>
            <w:r>
              <w:t>報告意義</w:t>
            </w:r>
          </w:p>
        </w:tc>
      </w:tr>
      <w:tr>
        <w:trPr>
          <w:cantSplit/>
        </w:trPr>
        <w:tc>
          <w:tcPr>
            <w:tcW w:w="2800" w:type="dxa"/>
            <w:vAlign w:val="center"/>
          </w:tcPr>
          <w:p>
            <w:pPr>
              <w:pStyle w:val="TableText"/>
            </w:pPr>
            <w:r>
              <w:t>每個 epoch 訓練樣本</w:t>
            </w:r>
          </w:p>
        </w:tc>
        <w:tc>
          <w:tcPr>
            <w:tcW w:w="2050" w:type="dxa"/>
            <w:vAlign w:val="center"/>
          </w:tcPr>
          <w:p>
            <w:pPr>
              <w:pStyle w:val="TableNumber"/>
            </w:pPr>
            <w:r>
              <w:t>4,710,117</w:t>
            </w:r>
          </w:p>
        </w:tc>
        <w:tc>
          <w:tcPr>
            <w:tcW w:w="4510" w:type="dxa"/>
            <w:vAlign w:val="center"/>
          </w:tcPr>
          <w:p>
            <w:pPr>
              <w:pStyle w:val="TableText"/>
            </w:pPr>
            <w:r>
              <w:t>依本輪 Stage 2 設定抽樣，未重複計算 epoch</w:t>
            </w:r>
          </w:p>
        </w:tc>
      </w:tr>
      <w:tr>
        <w:trPr>
          <w:cantSplit/>
        </w:trPr>
        <w:tc>
          <w:tcPr>
            <w:tcW w:w="2800" w:type="dxa"/>
            <w:vAlign w:val="center"/>
          </w:tcPr>
          <w:p>
            <w:pPr>
              <w:pStyle w:val="TableText"/>
            </w:pPr>
            <w:r>
              <w:t>實際處理訓練樣本</w:t>
            </w:r>
          </w:p>
        </w:tc>
        <w:tc>
          <w:tcPr>
            <w:tcW w:w="2050" w:type="dxa"/>
            <w:vAlign w:val="center"/>
          </w:tcPr>
          <w:p>
            <w:pPr>
              <w:pStyle w:val="TableNumber"/>
            </w:pPr>
            <w:r>
              <w:t>8,478,464／23,550,585（36.00%）</w:t>
            </w:r>
          </w:p>
        </w:tc>
        <w:tc>
          <w:tcPr>
            <w:tcW w:w="4510" w:type="dxa"/>
            <w:vAlign w:val="center"/>
          </w:tcPr>
          <w:p>
            <w:pPr>
              <w:pStyle w:val="TableText"/>
            </w:pPr>
            <w:r>
              <w:t>因 early stopping 提前停止，未完成原定樣本數</w:t>
            </w:r>
          </w:p>
        </w:tc>
      </w:tr>
      <w:tr>
        <w:trPr>
          <w:cantSplit/>
        </w:trPr>
        <w:tc>
          <w:tcPr>
            <w:tcW w:w="2800" w:type="dxa"/>
            <w:vAlign w:val="center"/>
          </w:tcPr>
          <w:p>
            <w:pPr>
              <w:pStyle w:val="TableText"/>
            </w:pPr>
            <w:r>
              <w:t>完整 validation split</w:t>
            </w:r>
          </w:p>
        </w:tc>
        <w:tc>
          <w:tcPr>
            <w:tcW w:w="2050" w:type="dxa"/>
            <w:vAlign w:val="center"/>
          </w:tcPr>
          <w:p>
            <w:pPr>
              <w:pStyle w:val="TableNumber"/>
            </w:pPr>
            <w:r>
              <w:t>528,315</w:t>
            </w:r>
          </w:p>
        </w:tc>
        <w:tc>
          <w:tcPr>
            <w:tcW w:w="4510" w:type="dxa"/>
            <w:vAlign w:val="center"/>
          </w:tcPr>
          <w:p>
            <w:pPr>
              <w:pStyle w:val="TableText"/>
            </w:pPr>
            <w:r>
              <w:t>用於 checkpoint 選擇與 early stopping</w:t>
            </w:r>
          </w:p>
        </w:tc>
      </w:tr>
      <w:tr>
        <w:trPr>
          <w:cantSplit/>
        </w:trPr>
        <w:tc>
          <w:tcPr>
            <w:tcW w:w="2800" w:type="dxa"/>
            <w:vAlign w:val="center"/>
          </w:tcPr>
          <w:p>
            <w:pPr>
              <w:pStyle w:val="TableText"/>
            </w:pPr>
            <w:r>
              <w:t>完整 test split</w:t>
            </w:r>
          </w:p>
        </w:tc>
        <w:tc>
          <w:tcPr>
            <w:tcW w:w="2050" w:type="dxa"/>
            <w:vAlign w:val="center"/>
          </w:tcPr>
          <w:p>
            <w:pPr>
              <w:pStyle w:val="TableNumber"/>
            </w:pPr>
            <w:r>
              <w:t>534,327</w:t>
            </w:r>
          </w:p>
        </w:tc>
        <w:tc>
          <w:tcPr>
            <w:tcW w:w="4510" w:type="dxa"/>
            <w:vAlign w:val="center"/>
          </w:tcPr>
          <w:p>
            <w:pPr>
              <w:pStyle w:val="TableText"/>
            </w:pPr>
            <w:r>
              <w:t>直接評估完整 test split，沒有抽樣</w:t>
            </w:r>
          </w:p>
        </w:tc>
      </w:tr>
      <w:tr>
        <w:trPr>
          <w:cantSplit/>
        </w:trPr>
        <w:tc>
          <w:tcPr>
            <w:tcW w:w="2800" w:type="dxa"/>
            <w:vAlign w:val="center"/>
          </w:tcPr>
          <w:p>
            <w:pPr>
              <w:pStyle w:val="TableText"/>
            </w:pPr>
            <w:r>
              <w:t>test 日期與日期數</w:t>
            </w:r>
          </w:p>
        </w:tc>
        <w:tc>
          <w:tcPr>
            <w:tcW w:w="2050" w:type="dxa"/>
            <w:vAlign w:val="center"/>
          </w:tcPr>
          <w:p>
            <w:pPr>
              <w:pStyle w:val="TableNumber"/>
            </w:pPr>
            <w:r>
              <w:t>2025-12-01 至 2026-05-11；112 個日期</w:t>
            </w:r>
          </w:p>
        </w:tc>
        <w:tc>
          <w:tcPr>
            <w:tcW w:w="4510" w:type="dxa"/>
            <w:vAlign w:val="center"/>
          </w:tcPr>
          <w:p>
            <w:pPr>
              <w:pStyle w:val="TableText"/>
            </w:pPr>
            <w:r>
              <w:t>14 個 horizon 共用完整 symbol-date membership</w:t>
            </w:r>
          </w:p>
        </w:tc>
      </w:tr>
      <w:tr>
        <w:trPr>
          <w:cantSplit/>
        </w:trPr>
        <w:tc>
          <w:tcPr>
            <w:tcW w:w="2800" w:type="dxa"/>
            <w:vAlign w:val="center"/>
          </w:tcPr>
          <w:p>
            <w:pPr>
              <w:pStyle w:val="TableText"/>
            </w:pPr>
            <w:r>
              <w:t>seed</w:t>
            </w:r>
          </w:p>
        </w:tc>
        <w:tc>
          <w:tcPr>
            <w:tcW w:w="2050" w:type="dxa"/>
            <w:vAlign w:val="center"/>
          </w:tcPr>
          <w:p>
            <w:pPr>
              <w:pStyle w:val="TableNumber"/>
            </w:pPr>
            <w:r>
              <w:t>42</w:t>
            </w:r>
          </w:p>
        </w:tc>
        <w:tc>
          <w:tcPr>
            <w:tcW w:w="4510" w:type="dxa"/>
            <w:vAlign w:val="center"/>
          </w:tcPr>
          <w:p>
            <w:pPr>
              <w:pStyle w:val="TableText"/>
            </w:pPr>
            <w:r>
              <w:t>單一 seed；未估計重訓波動</w:t>
            </w:r>
          </w:p>
        </w:tc>
      </w:tr>
      <w:tr>
        <w:trPr>
          <w:cantSplit/>
        </w:trPr>
        <w:tc>
          <w:tcPr>
            <w:tcW w:w="2800" w:type="dxa"/>
            <w:vAlign w:val="center"/>
          </w:tcPr>
          <w:p>
            <w:pPr>
              <w:pStyle w:val="TableText"/>
            </w:pPr>
            <w:r>
              <w:t>test membership SHA-256</w:t>
            </w:r>
          </w:p>
        </w:tc>
        <w:tc>
          <w:tcPr>
            <w:tcW w:w="2050" w:type="dxa"/>
            <w:vAlign w:val="center"/>
          </w:tcPr>
          <w:p>
            <w:pPr>
              <w:pStyle w:val="TableNumber"/>
            </w:pPr>
            <w:r>
              <w:t>93e2e6a0b74edbdce616b82628aed180dad4d004a9bcd24292a78896c240bc0d</w:t>
            </w:r>
          </w:p>
        </w:tc>
        <w:tc>
          <w:tcPr>
            <w:tcW w:w="4510" w:type="dxa"/>
            <w:vAlign w:val="center"/>
          </w:tcPr>
          <w:p>
            <w:pPr>
              <w:pStyle w:val="TableText"/>
            </w:pPr>
            <w:r>
              <w:t>固定本輪完整 test 成員的可重現識別</w:t>
            </w:r>
          </w:p>
        </w:tc>
      </w:tr>
    </w:tbl>
    <w:p>
      <w:pPr>
        <w:pStyle w:val="a"/>
        <w:spacing w:before="160"/>
      </w:pPr>
      <w:r>
        <w:t>訊號在交易日 t 收盤後形成；下一個商品與 benchmark 的共同交易日 raw regular-session open 進場，該日算持有第 1 日，並在第 h 個共同持有交易日 raw close 出場。輸入只到 cutoff_at，未來價格與 label 不得進入模型。</w:t>
      </w:r>
    </w:p>
    <w:p>
      <w:pPr>
        <w:pStyle w:val="21"/>
      </w:pPr>
      <w:r>
        <w:t>2.2 預測的數字是什麼</w:t>
      </w:r>
    </w:p>
    <w:p>
      <w:pPr>
        <w:pStyle w:val="a"/>
      </w:pPr>
      <w:r>
        <w:t>每個 horizon 的真值是 alpha_h = log(asset adjusted gross return) - log(benchmark adjusted gross return)。它回答的是「這檔股票在同一段持有期間，相對 benchmark 多賺或少賺多少」，不是估值、目標價或單獨股價報酬。若 alpha=0.05，精確相對 gross ratio 是 exp(0.05)-1=5.13%。</w:t>
      </w:r>
    </w:p>
    <w:p>
      <w:pPr>
        <w:pStyle w:val="11"/>
      </w:pPr>
      <w:r>
        <w:t>3. 模型輸出與直觀讀法</w:t>
      </w:r>
    </w:p>
    <w:p>
      <w:pPr>
        <w:pStyle w:val="21"/>
      </w:pPr>
      <w:r>
        <w:t>3.1 每個 horizon 都有自己的三種情境</w:t>
      </w:r>
    </w:p>
    <w:p>
      <w:pPr>
        <w:pStyle w:val="a"/>
      </w:pPr>
      <w:r>
        <w:t>schema 5.0 的 alpha_quantiles shape 是 [batch, 14, 3]。14 代表 1 至 14 日；3 代表 q10、q50、q90；三個數字都是該 horizon 的 benchmark-relative adjusted execution log return。</w:t>
      </w:r>
    </w:p>
    <w:p>
      <w:pPr>
        <w:pStyle w:val="Decision"/>
        <w:keepNext/>
        <w:spacing w:after="80"/>
      </w:pPr>
      <w:r>
        <w:t>表 3｜q10 q50 q90 的白話讀法</w:t>
      </w:r>
    </w:p>
    <w:tbl>
      <w:tblPr>
        <w:tblStyle w:val="BenchmarkTable"/>
        <w:tblW w:w="9360" w:type="dxa"/>
        <w:tblLayout w:type="fixed"/>
      </w:tblPr>
      <w:tblGrid>
        <w:gridCol w:w="1300"/>
        <w:gridCol w:w="2400"/>
        <w:gridCol w:w="5660"/>
      </w:tblGrid>
      <w:tr>
        <w:trPr>
          <w:tblHeader/>
        </w:trPr>
        <w:tc>
          <w:tcPr>
            <w:tcW w:w="1300" w:type="dxa"/>
            <w:shd w:val="clear" w:fill="DCE6F1"/>
            <w:vAlign w:val="center"/>
          </w:tcPr>
          <w:p>
            <w:pPr>
              <w:pStyle w:val="TableHeader"/>
            </w:pPr>
            <w:r>
              <w:t>輸出</w:t>
            </w:r>
          </w:p>
        </w:tc>
        <w:tc>
          <w:tcPr>
            <w:tcW w:w="2400" w:type="dxa"/>
            <w:shd w:val="clear" w:fill="DCE6F1"/>
            <w:vAlign w:val="center"/>
          </w:tcPr>
          <w:p>
            <w:pPr>
              <w:pStyle w:val="TableHeader"/>
            </w:pPr>
            <w:r>
              <w:t>白話名稱</w:t>
            </w:r>
          </w:p>
        </w:tc>
        <w:tc>
          <w:tcPr>
            <w:tcW w:w="5660" w:type="dxa"/>
            <w:shd w:val="clear" w:fill="DCE6F1"/>
            <w:vAlign w:val="center"/>
          </w:tcPr>
          <w:p>
            <w:pPr>
              <w:pStyle w:val="TableHeader"/>
            </w:pPr>
            <w:r>
              <w:t>這個數字在預測什麼</w:t>
            </w:r>
          </w:p>
        </w:tc>
      </w:tr>
      <w:tr>
        <w:trPr>
          <w:cantSplit/>
        </w:trPr>
        <w:tc>
          <w:tcPr>
            <w:tcW w:w="1300" w:type="dxa"/>
            <w:vAlign w:val="center"/>
          </w:tcPr>
          <w:p>
            <w:pPr>
              <w:pStyle w:val="TableText"/>
            </w:pPr>
            <w:r>
              <w:t>q10</w:t>
            </w:r>
          </w:p>
        </w:tc>
        <w:tc>
          <w:tcPr>
            <w:tcW w:w="2400" w:type="dxa"/>
            <w:vAlign w:val="center"/>
          </w:tcPr>
          <w:p>
            <w:pPr>
              <w:pStyle w:val="TableText"/>
            </w:pPr>
            <w:r>
              <w:t>偏悲觀情境</w:t>
            </w:r>
          </w:p>
        </w:tc>
        <w:tc>
          <w:tcPr>
            <w:tcW w:w="5660" w:type="dxa"/>
            <w:vAlign w:val="center"/>
          </w:tcPr>
          <w:p>
            <w:pPr>
              <w:pStyle w:val="TableText"/>
            </w:pPr>
            <w:r>
              <w:t>約 10% 的實際結果會低於它；不是下跌機率 10%</w:t>
            </w:r>
          </w:p>
        </w:tc>
      </w:tr>
      <w:tr>
        <w:trPr>
          <w:cantSplit/>
        </w:trPr>
        <w:tc>
          <w:tcPr>
            <w:tcW w:w="1300" w:type="dxa"/>
            <w:vAlign w:val="center"/>
          </w:tcPr>
          <w:p>
            <w:pPr>
              <w:pStyle w:val="TableText"/>
            </w:pPr>
            <w:r>
              <w:t>q50</w:t>
            </w:r>
          </w:p>
        </w:tc>
        <w:tc>
          <w:tcPr>
            <w:tcW w:w="2400" w:type="dxa"/>
            <w:vAlign w:val="center"/>
          </w:tcPr>
          <w:p>
            <w:pPr>
              <w:pStyle w:val="TableText"/>
            </w:pPr>
            <w:r>
              <w:t>中間情境</w:t>
            </w:r>
          </w:p>
        </w:tc>
        <w:tc>
          <w:tcPr>
            <w:tcW w:w="5660" w:type="dxa"/>
            <w:vAlign w:val="center"/>
          </w:tcPr>
          <w:p>
            <w:pPr>
              <w:pStyle w:val="TableText"/>
            </w:pPr>
            <w:r>
              <w:t>實際結果約一半較低、一半較高；常作點預測與排序訊號</w:t>
            </w:r>
          </w:p>
        </w:tc>
      </w:tr>
      <w:tr>
        <w:trPr>
          <w:cantSplit/>
        </w:trPr>
        <w:tc>
          <w:tcPr>
            <w:tcW w:w="1300" w:type="dxa"/>
            <w:vAlign w:val="center"/>
          </w:tcPr>
          <w:p>
            <w:pPr>
              <w:pStyle w:val="TableText"/>
            </w:pPr>
            <w:r>
              <w:t>q90</w:t>
            </w:r>
          </w:p>
        </w:tc>
        <w:tc>
          <w:tcPr>
            <w:tcW w:w="2400" w:type="dxa"/>
            <w:vAlign w:val="center"/>
          </w:tcPr>
          <w:p>
            <w:pPr>
              <w:pStyle w:val="TableText"/>
            </w:pPr>
            <w:r>
              <w:t>偏樂觀情境</w:t>
            </w:r>
          </w:p>
        </w:tc>
        <w:tc>
          <w:tcPr>
            <w:tcW w:w="5660" w:type="dxa"/>
            <w:vAlign w:val="center"/>
          </w:tcPr>
          <w:p>
            <w:pPr>
              <w:pStyle w:val="TableText"/>
            </w:pPr>
            <w:r>
              <w:t>約 90% 的實際結果會低於它；不是保證上限</w:t>
            </w:r>
          </w:p>
        </w:tc>
      </w:tr>
    </w:tbl>
    <w:p>
      <w:pPr>
        <w:pStyle w:val="21"/>
        <w:spacing w:before="160"/>
      </w:pPr>
      <w:r>
        <w:t>3.2 三種股票情境</w:t>
      </w:r>
    </w:p>
    <w:p>
      <w:pPr>
        <w:pStyle w:val="Decision"/>
        <w:keepNext/>
        <w:spacing w:after="80"/>
      </w:pPr>
      <w:r>
        <w:t>表 4｜看到三個數字時應如何判斷</w:t>
      </w:r>
    </w:p>
    <w:tbl>
      <w:tblPr>
        <w:tblStyle w:val="BenchmarkTable"/>
        <w:tblW w:w="9360" w:type="dxa"/>
        <w:tblLayout w:type="fixed"/>
      </w:tblPr>
      <w:tblGrid>
        <w:gridCol w:w="2200"/>
        <w:gridCol w:w="2250"/>
        <w:gridCol w:w="4910"/>
      </w:tblGrid>
      <w:tr>
        <w:trPr>
          <w:tblHeader/>
        </w:trPr>
        <w:tc>
          <w:tcPr>
            <w:tcW w:w="2200" w:type="dxa"/>
            <w:shd w:val="clear" w:fill="DCE6F1"/>
            <w:vAlign w:val="center"/>
          </w:tcPr>
          <w:p>
            <w:pPr>
              <w:pStyle w:val="TableHeader"/>
            </w:pPr>
            <w:r>
              <w:t>股票型態</w:t>
            </w:r>
          </w:p>
        </w:tc>
        <w:tc>
          <w:tcPr>
            <w:tcW w:w="2250" w:type="dxa"/>
            <w:shd w:val="clear" w:fill="DCE6F1"/>
            <w:vAlign w:val="center"/>
          </w:tcPr>
          <w:p>
            <w:pPr>
              <w:pStyle w:val="TableHeader"/>
            </w:pPr>
            <w:r>
              <w:t>q10／q50／q90</w:t>
            </w:r>
          </w:p>
        </w:tc>
        <w:tc>
          <w:tcPr>
            <w:tcW w:w="4910" w:type="dxa"/>
            <w:shd w:val="clear" w:fill="DCE6F1"/>
            <w:vAlign w:val="center"/>
          </w:tcPr>
          <w:p>
            <w:pPr>
              <w:pStyle w:val="TableHeader"/>
            </w:pPr>
            <w:r>
              <w:t>實際解讀</w:t>
            </w:r>
          </w:p>
        </w:tc>
      </w:tr>
      <w:tr>
        <w:trPr>
          <w:cantSplit/>
        </w:trPr>
        <w:tc>
          <w:tcPr>
            <w:tcW w:w="2200" w:type="dxa"/>
            <w:vAlign w:val="center"/>
          </w:tcPr>
          <w:p>
            <w:pPr>
              <w:pStyle w:val="TableText"/>
            </w:pPr>
            <w:r>
              <w:t>相對強勢股</w:t>
            </w:r>
          </w:p>
        </w:tc>
        <w:tc>
          <w:tcPr>
            <w:tcW w:w="2250" w:type="dxa"/>
            <w:vAlign w:val="center"/>
          </w:tcPr>
          <w:p>
            <w:pPr>
              <w:pStyle w:val="TableText"/>
            </w:pPr>
            <w:r>
              <w:t>+0.02／+0.05／+0.09</w:t>
            </w:r>
          </w:p>
        </w:tc>
        <w:tc>
          <w:tcPr>
            <w:tcW w:w="4910" w:type="dxa"/>
            <w:vAlign w:val="center"/>
          </w:tcPr>
          <w:p>
            <w:pPr>
              <w:pStyle w:val="TableText"/>
            </w:pPr>
            <w:r>
              <w:t>連偏悲觀 q10 都大於 0；三個情境都預測優於 benchmark</w:t>
            </w:r>
          </w:p>
        </w:tc>
      </w:tr>
      <w:tr>
        <w:trPr>
          <w:cantSplit/>
        </w:trPr>
        <w:tc>
          <w:tcPr>
            <w:tcW w:w="2200" w:type="dxa"/>
            <w:vAlign w:val="center"/>
          </w:tcPr>
          <w:p>
            <w:pPr>
              <w:pStyle w:val="TableText"/>
            </w:pPr>
            <w:r>
              <w:t>弱勢股或雞蛋水餃股</w:t>
            </w:r>
          </w:p>
        </w:tc>
        <w:tc>
          <w:tcPr>
            <w:tcW w:w="2250" w:type="dxa"/>
            <w:vAlign w:val="center"/>
          </w:tcPr>
          <w:p>
            <w:pPr>
              <w:pStyle w:val="TableText"/>
            </w:pPr>
            <w:r>
              <w:t>-0.12／-0.06／-0.01</w:t>
            </w:r>
          </w:p>
        </w:tc>
        <w:tc>
          <w:tcPr>
            <w:tcW w:w="4910" w:type="dxa"/>
            <w:vAlign w:val="center"/>
          </w:tcPr>
          <w:p>
            <w:pPr>
              <w:pStyle w:val="TableText"/>
            </w:pPr>
            <w:r>
              <w:t>連偏樂觀 q90 都小於 0；三個情境都預測落後 benchmark</w:t>
            </w:r>
          </w:p>
        </w:tc>
      </w:tr>
      <w:tr>
        <w:trPr>
          <w:cantSplit/>
        </w:trPr>
        <w:tc>
          <w:tcPr>
            <w:tcW w:w="2200" w:type="dxa"/>
            <w:vAlign w:val="center"/>
          </w:tcPr>
          <w:p>
            <w:pPr>
              <w:pStyle w:val="TableText"/>
            </w:pPr>
            <w:r>
              <w:t>妖股型高波動股票</w:t>
            </w:r>
          </w:p>
        </w:tc>
        <w:tc>
          <w:tcPr>
            <w:tcW w:w="2250" w:type="dxa"/>
            <w:vAlign w:val="center"/>
          </w:tcPr>
          <w:p>
            <w:pPr>
              <w:pStyle w:val="TableText"/>
            </w:pPr>
            <w:r>
              <w:t>-0.08／-0.01／+0.25</w:t>
            </w:r>
          </w:p>
        </w:tc>
        <w:tc>
          <w:tcPr>
            <w:tcW w:w="4910" w:type="dxa"/>
            <w:vAlign w:val="center"/>
          </w:tcPr>
          <w:p>
            <w:pPr>
              <w:pStyle w:val="TableText"/>
            </w:pPr>
            <w:r>
              <w:t>中間接近持平但樂觀尾端很大；不代表有 25% 機率上漲</w:t>
            </w:r>
          </w:p>
        </w:tc>
      </w:tr>
      <w:tr>
        <w:trPr>
          <w:cantSplit/>
        </w:trPr>
        <w:tc>
          <w:tcPr>
            <w:tcW w:w="2200" w:type="dxa"/>
            <w:vAlign w:val="center"/>
          </w:tcPr>
          <w:p>
            <w:pPr>
              <w:pStyle w:val="TableText"/>
            </w:pPr>
            <w:r>
              <w:t>方向偏多但有下行風險</w:t>
            </w:r>
          </w:p>
        </w:tc>
        <w:tc>
          <w:tcPr>
            <w:tcW w:w="2250" w:type="dxa"/>
            <w:vAlign w:val="center"/>
          </w:tcPr>
          <w:p>
            <w:pPr>
              <w:pStyle w:val="TableText"/>
            </w:pPr>
            <w:r>
              <w:t>-0.04／+0.03／+0.10</w:t>
            </w:r>
          </w:p>
        </w:tc>
        <w:tc>
          <w:tcPr>
            <w:tcW w:w="4910" w:type="dxa"/>
            <w:vAlign w:val="center"/>
          </w:tcPr>
          <w:p>
            <w:pPr>
              <w:pStyle w:val="TableText"/>
            </w:pPr>
            <w:r>
              <w:t>q50 高於 0 但 q10 低於 0；悲觀情境仍可能落後</w:t>
            </w:r>
          </w:p>
        </w:tc>
      </w:tr>
    </w:tbl>
    <w:p>
      <w:pPr>
        <w:pStyle w:val="Note"/>
        <w:spacing w:before="160"/>
      </w:pPr>
      <w:r>
        <w:t>三個數字的正負決定相對 benchmark 的方向；三者之間的距離表示模型認為可能結果有多分散。它們不是股價、估值或三種互斥事件的機率。</w:t>
      </w:r>
    </w:p>
    <w:p>
      <w:pPr>
        <w:pStyle w:val="21"/>
      </w:pPr>
      <w:r>
        <w:t>3.3 輸出約束與相容欄位</w:t>
      </w:r>
    </w:p>
    <w:p>
      <w:pPr>
        <w:pStyle w:val="Lead"/>
      </w:pPr>
      <w:r>
        <w:t>alpha head 先產生 q50，再以正值距離形成 q10=q50-lower_gap 與 q90=q50+upper_gap，維持 q10≤q50≤q90。bullish、bearish、strong signal 是後處理標籤，不是分類器輸出。設定中的 forecast_horizon=5 與 primary_5d 是舊相容欄位；實際輸出為 [batch,14,3]，checkpoint monitor 彙總 1 至 14 日 normalized pinball，本報告完整評估 1 至 14 日。</w:t>
      </w:r>
    </w:p>
    <w:p>
      <w:pPr>
        <w:pStyle w:val="11"/>
      </w:pPr>
      <w:r>
        <w:t>4. 訓練完成度 早停與 checkpoint</w:t>
      </w:r>
    </w:p>
    <w:p>
      <w:pPr>
        <w:pStyle w:val="21"/>
      </w:pPr>
      <w:r>
        <w:t>4.1 執行狀態</w:t>
      </w:r>
    </w:p>
    <w:p>
      <w:pPr>
        <w:pStyle w:val="Decision"/>
        <w:keepNext/>
        <w:spacing w:after="80"/>
      </w:pPr>
      <w:r>
        <w:t>表 5｜訓練摘要</w:t>
      </w:r>
    </w:p>
    <w:tbl>
      <w:tblPr>
        <w:tblStyle w:val="BenchmarkTable"/>
        <w:tblW w:w="9360" w:type="dxa"/>
        <w:tblLayout w:type="fixed"/>
      </w:tblPr>
      <w:tblGrid>
        <w:gridCol w:w="3100"/>
        <w:gridCol w:w="6260"/>
      </w:tblGrid>
      <w:tr>
        <w:trPr>
          <w:tblHeader/>
        </w:trPr>
        <w:tc>
          <w:tcPr>
            <w:tcW w:w="3100" w:type="dxa"/>
            <w:shd w:val="clear" w:fill="DCE6F1"/>
            <w:vAlign w:val="center"/>
          </w:tcPr>
          <w:p>
            <w:pPr>
              <w:pStyle w:val="TableHeader"/>
            </w:pPr>
            <w:r>
              <w:t>項目</w:t>
            </w:r>
          </w:p>
        </w:tc>
        <w:tc>
          <w:tcPr>
            <w:tcW w:w="6260" w:type="dxa"/>
            <w:shd w:val="clear" w:fill="DCE6F1"/>
            <w:vAlign w:val="center"/>
          </w:tcPr>
          <w:p>
            <w:pPr>
              <w:pStyle w:val="TableHeader"/>
            </w:pPr>
            <w:r>
              <w:t>結果</w:t>
            </w:r>
          </w:p>
        </w:tc>
      </w:tr>
      <w:tr>
        <w:trPr>
          <w:cantSplit/>
        </w:trPr>
        <w:tc>
          <w:tcPr>
            <w:tcW w:w="3100" w:type="dxa"/>
            <w:vAlign w:val="center"/>
          </w:tcPr>
          <w:p>
            <w:pPr>
              <w:pStyle w:val="TableText"/>
            </w:pPr>
            <w:r>
              <w:t>完成證據</w:t>
            </w:r>
          </w:p>
        </w:tc>
        <w:tc>
          <w:tcPr>
            <w:tcW w:w="6260" w:type="dxa"/>
            <w:vAlign w:val="center"/>
          </w:tcPr>
          <w:p>
            <w:pPr>
              <w:pStyle w:val="TableText"/>
            </w:pPr>
            <w:r>
              <w:t>training_completed=true；training/validation lifecycle 均 ready；test evaluation state=ready</w:t>
            </w:r>
          </w:p>
        </w:tc>
      </w:tr>
      <w:tr>
        <w:trPr>
          <w:cantSplit/>
        </w:trPr>
        <w:tc>
          <w:tcPr>
            <w:tcW w:w="3100" w:type="dxa"/>
            <w:vAlign w:val="center"/>
          </w:tcPr>
          <w:p>
            <w:pPr>
              <w:pStyle w:val="TableText"/>
            </w:pPr>
            <w:r>
              <w:t>Lifecycle 狀態</w:t>
            </w:r>
          </w:p>
        </w:tc>
        <w:tc>
          <w:tcPr>
            <w:tcW w:w="6260" w:type="dxa"/>
            <w:vAlign w:val="center"/>
          </w:tcPr>
          <w:p>
            <w:pPr>
              <w:pStyle w:val="TableText"/>
            </w:pPr>
            <w:r>
              <w:t>training exit code 0；validation exit code 0；未逾時</w:t>
            </w:r>
          </w:p>
        </w:tc>
      </w:tr>
      <w:tr>
        <w:trPr>
          <w:cantSplit/>
        </w:trPr>
        <w:tc>
          <w:tcPr>
            <w:tcW w:w="3100" w:type="dxa"/>
            <w:vAlign w:val="center"/>
          </w:tcPr>
          <w:p>
            <w:pPr>
              <w:pStyle w:val="TableText"/>
            </w:pPr>
            <w:r>
              <w:t>epoch 與 global step</w:t>
            </w:r>
          </w:p>
        </w:tc>
        <w:tc>
          <w:tcPr>
            <w:tcW w:w="6260" w:type="dxa"/>
            <w:vAlign w:val="center"/>
          </w:tcPr>
          <w:p>
            <w:pPr>
              <w:pStyle w:val="TableText"/>
            </w:pPr>
            <w:r>
              <w:t>1 個 completed epochs；停止於 step 33,119</w:t>
            </w:r>
          </w:p>
        </w:tc>
      </w:tr>
      <w:tr>
        <w:trPr>
          <w:cantSplit/>
        </w:trPr>
        <w:tc>
          <w:tcPr>
            <w:tcW w:w="3100" w:type="dxa"/>
            <w:vAlign w:val="center"/>
          </w:tcPr>
          <w:p>
            <w:pPr>
              <w:pStyle w:val="TableText"/>
            </w:pPr>
            <w:r>
              <w:t>處理訓練樣本</w:t>
            </w:r>
          </w:p>
        </w:tc>
        <w:tc>
          <w:tcPr>
            <w:tcW w:w="6260" w:type="dxa"/>
            <w:vAlign w:val="center"/>
          </w:tcPr>
          <w:p>
            <w:pPr>
              <w:pStyle w:val="TableText"/>
            </w:pPr>
            <w:r>
              <w:t>8,478,464／23,550,585（36.00%）</w:t>
            </w:r>
          </w:p>
        </w:tc>
      </w:tr>
      <w:tr>
        <w:trPr>
          <w:cantSplit/>
        </w:trPr>
        <w:tc>
          <w:tcPr>
            <w:tcW w:w="3100" w:type="dxa"/>
            <w:vAlign w:val="center"/>
          </w:tcPr>
          <w:p>
            <w:pPr>
              <w:pStyle w:val="TableText"/>
            </w:pPr>
            <w:r>
              <w:t>validation 次數</w:t>
            </w:r>
          </w:p>
        </w:tc>
        <w:tc>
          <w:tcPr>
            <w:tcW w:w="6260" w:type="dxa"/>
            <w:vAlign w:val="center"/>
          </w:tcPr>
          <w:p>
            <w:pPr>
              <w:pStyle w:val="TableText"/>
            </w:pPr>
            <w:r>
              <w:t>9</w:t>
            </w:r>
          </w:p>
        </w:tc>
      </w:tr>
      <w:tr>
        <w:trPr>
          <w:cantSplit/>
        </w:trPr>
        <w:tc>
          <w:tcPr>
            <w:tcW w:w="3100" w:type="dxa"/>
            <w:vAlign w:val="center"/>
          </w:tcPr>
          <w:p>
            <w:pPr>
              <w:pStyle w:val="TableText"/>
            </w:pPr>
            <w:r>
              <w:t>停止原因</w:t>
            </w:r>
          </w:p>
        </w:tc>
        <w:tc>
          <w:tcPr>
            <w:tcW w:w="6260" w:type="dxa"/>
            <w:vAlign w:val="center"/>
          </w:tcPr>
          <w:p>
            <w:pPr>
              <w:pStyle w:val="TableText"/>
            </w:pPr>
            <w:r>
              <w:t>early_stopping；patience 6 次未改善後停止</w:t>
            </w:r>
          </w:p>
        </w:tc>
      </w:tr>
      <w:tr>
        <w:trPr>
          <w:cantSplit/>
        </w:trPr>
        <w:tc>
          <w:tcPr>
            <w:tcW w:w="3100" w:type="dxa"/>
            <w:vAlign w:val="center"/>
          </w:tcPr>
          <w:p>
            <w:pPr>
              <w:pStyle w:val="TableText"/>
            </w:pPr>
            <w:r>
              <w:t>最佳與末次 validation monitor</w:t>
            </w:r>
          </w:p>
        </w:tc>
        <w:tc>
          <w:tcPr>
            <w:tcW w:w="6260" w:type="dxa"/>
            <w:vAlign w:val="center"/>
          </w:tcPr>
          <w:p>
            <w:pPr>
              <w:pStyle w:val="TableText"/>
            </w:pPr>
            <w:r>
              <w:t>0.262906／0.266378</w:t>
            </w:r>
          </w:p>
        </w:tc>
      </w:tr>
      <w:tr>
        <w:trPr>
          <w:cantSplit/>
        </w:trPr>
        <w:tc>
          <w:tcPr>
            <w:tcW w:w="3100" w:type="dxa"/>
            <w:vAlign w:val="center"/>
          </w:tcPr>
          <w:p>
            <w:pPr>
              <w:pStyle w:val="TableText"/>
            </w:pPr>
            <w:r>
              <w:t>模型</w:t>
            </w:r>
          </w:p>
        </w:tc>
        <w:tc>
          <w:tcPr>
            <w:tcW w:w="6260" w:type="dxa"/>
            <w:vAlign w:val="center"/>
          </w:tcPr>
          <w:p>
            <w:pPr>
              <w:pStyle w:val="TableText"/>
            </w:pPr>
            <w:r>
              <w:t>Kronos-base + LoRA rank 32／alpha 64；解凍最後 2 個 Transformer blocks；ranking loss weight 0.05</w:t>
            </w:r>
          </w:p>
        </w:tc>
      </w:tr>
      <w:tr>
        <w:trPr>
          <w:cantSplit/>
        </w:trPr>
        <w:tc>
          <w:tcPr>
            <w:tcW w:w="3100" w:type="dxa"/>
            <w:vAlign w:val="center"/>
          </w:tcPr>
          <w:p>
            <w:pPr>
              <w:pStyle w:val="TableText"/>
            </w:pPr>
            <w:r>
              <w:t>訓練硬體與精度</w:t>
            </w:r>
          </w:p>
        </w:tc>
        <w:tc>
          <w:tcPr>
            <w:tcW w:w="6260" w:type="dxa"/>
            <w:vAlign w:val="center"/>
          </w:tcPr>
          <w:p>
            <w:pPr>
              <w:pStyle w:val="TableText"/>
            </w:pPr>
            <w:r>
              <w:t>NVIDIA GeForce RTX 5090；bfloat16</w:t>
            </w:r>
          </w:p>
        </w:tc>
      </w:tr>
      <w:tr>
        <w:trPr>
          <w:cantSplit/>
        </w:trPr>
        <w:tc>
          <w:tcPr>
            <w:tcW w:w="3100" w:type="dxa"/>
            <w:vAlign w:val="center"/>
          </w:tcPr>
          <w:p>
            <w:pPr>
              <w:pStyle w:val="TableText"/>
            </w:pPr>
            <w:r>
              <w:t>推論執行</w:t>
            </w:r>
          </w:p>
        </w:tc>
        <w:tc>
          <w:tcPr>
            <w:tcW w:w="6260" w:type="dxa"/>
            <w:vAlign w:val="center"/>
          </w:tcPr>
          <w:p>
            <w:pPr>
              <w:pStyle w:val="TableText"/>
            </w:pPr>
            <w:r>
              <w:t>534,327 samples；1239.7 samples/s；11 workers</w:t>
            </w:r>
          </w:p>
        </w:tc>
      </w:tr>
    </w:tbl>
    <w:p>
      <w:pPr>
        <w:pStyle w:val="21"/>
        <w:spacing w:before="160"/>
      </w:pPr>
      <w:r>
        <w:t>4.2 Checkpoint 排名</w:t>
      </w:r>
    </w:p>
    <w:tbl>
      <w:tblPr>
        <w:tblStyle w:val="BenchmarkTable"/>
        <w:tblW w:w="9360" w:type="dxa"/>
        <w:tblLayout w:type="fixed"/>
      </w:tblPr>
      <w:tblGrid>
        <w:gridCol w:w="900"/>
        <w:gridCol w:w="3100"/>
        <w:gridCol w:w="1800"/>
        <w:gridCol w:w="3560"/>
      </w:tblGrid>
      <w:tr>
        <w:trPr>
          <w:tblHeader/>
        </w:trPr>
        <w:tc>
          <w:tcPr>
            <w:tcW w:w="900" w:type="dxa"/>
            <w:shd w:val="clear" w:fill="DCE6F1"/>
            <w:vAlign w:val="center"/>
          </w:tcPr>
          <w:p>
            <w:pPr>
              <w:pStyle w:val="TableHeader"/>
            </w:pPr>
            <w:r>
              <w:t>排名</w:t>
            </w:r>
          </w:p>
        </w:tc>
        <w:tc>
          <w:tcPr>
            <w:tcW w:w="3100" w:type="dxa"/>
            <w:shd w:val="clear" w:fill="DCE6F1"/>
            <w:vAlign w:val="center"/>
          </w:tcPr>
          <w:p>
            <w:pPr>
              <w:pStyle w:val="TableHeader"/>
            </w:pPr>
            <w:r>
              <w:t>Checkpoint</w:t>
            </w:r>
          </w:p>
        </w:tc>
        <w:tc>
          <w:tcPr>
            <w:tcW w:w="1800" w:type="dxa"/>
            <w:shd w:val="clear" w:fill="DCE6F1"/>
            <w:vAlign w:val="center"/>
          </w:tcPr>
          <w:p>
            <w:pPr>
              <w:pStyle w:val="TableHeader"/>
            </w:pPr>
            <w:r>
              <w:t>Step</w:t>
            </w:r>
          </w:p>
        </w:tc>
        <w:tc>
          <w:tcPr>
            <w:tcW w:w="3560" w:type="dxa"/>
            <w:shd w:val="clear" w:fill="DCE6F1"/>
            <w:vAlign w:val="center"/>
          </w:tcPr>
          <w:p>
            <w:pPr>
              <w:pStyle w:val="TableHeader"/>
            </w:pPr>
            <w:r>
              <w:t>14 horizon score</w:t>
            </w:r>
          </w:p>
        </w:tc>
      </w:tr>
      <w:tr>
        <w:trPr>
          <w:cantSplit/>
        </w:trPr>
        <w:tc>
          <w:tcPr>
            <w:tcW w:w="900" w:type="dxa"/>
            <w:shd w:val="clear" w:fill="EDF5FC"/>
            <w:vAlign w:val="center"/>
          </w:tcPr>
          <w:p>
            <w:pPr>
              <w:pStyle w:val="TableNumber"/>
            </w:pPr>
            <w:r>
              <w:t>1</w:t>
            </w:r>
          </w:p>
        </w:tc>
        <w:tc>
          <w:tcPr>
            <w:tcW w:w="3100" w:type="dxa"/>
            <w:shd w:val="clear" w:fill="EDF5FC"/>
            <w:vAlign w:val="center"/>
          </w:tcPr>
          <w:p>
            <w:pPr>
              <w:pStyle w:val="TableText"/>
            </w:pPr>
            <w:r>
              <w:t>checkpoint-011040</w:t>
            </w:r>
          </w:p>
        </w:tc>
        <w:tc>
          <w:tcPr>
            <w:tcW w:w="1800" w:type="dxa"/>
            <w:shd w:val="clear" w:fill="EDF5FC"/>
            <w:vAlign w:val="center"/>
          </w:tcPr>
          <w:p>
            <w:pPr>
              <w:pStyle w:val="TableNumber"/>
            </w:pPr>
            <w:r>
              <w:t>11,040</w:t>
            </w:r>
          </w:p>
        </w:tc>
        <w:tc>
          <w:tcPr>
            <w:tcW w:w="3560" w:type="dxa"/>
            <w:shd w:val="clear" w:fill="EDF5FC"/>
            <w:vAlign w:val="center"/>
          </w:tcPr>
          <w:p>
            <w:pPr>
              <w:pStyle w:val="TableNumber"/>
            </w:pPr>
            <w:r>
              <w:t>0.262906</w:t>
            </w:r>
          </w:p>
        </w:tc>
      </w:tr>
      <w:tr>
        <w:trPr>
          <w:cantSplit/>
        </w:trPr>
        <w:tc>
          <w:tcPr>
            <w:tcW w:w="900" w:type="dxa"/>
            <w:vAlign w:val="center"/>
          </w:tcPr>
          <w:p>
            <w:pPr>
              <w:pStyle w:val="TableNumber"/>
            </w:pPr>
            <w:r>
              <w:t>2</w:t>
            </w:r>
          </w:p>
        </w:tc>
        <w:tc>
          <w:tcPr>
            <w:tcW w:w="3100" w:type="dxa"/>
            <w:vAlign w:val="center"/>
          </w:tcPr>
          <w:p>
            <w:pPr>
              <w:pStyle w:val="TableText"/>
            </w:pPr>
            <w:r>
              <w:t>checkpoint-014720</w:t>
            </w:r>
          </w:p>
        </w:tc>
        <w:tc>
          <w:tcPr>
            <w:tcW w:w="1800" w:type="dxa"/>
            <w:vAlign w:val="center"/>
          </w:tcPr>
          <w:p>
            <w:pPr>
              <w:pStyle w:val="TableNumber"/>
            </w:pPr>
            <w:r>
              <w:t>14,720</w:t>
            </w:r>
          </w:p>
        </w:tc>
        <w:tc>
          <w:tcPr>
            <w:tcW w:w="3560" w:type="dxa"/>
            <w:vAlign w:val="center"/>
          </w:tcPr>
          <w:p>
            <w:pPr>
              <w:pStyle w:val="TableNumber"/>
            </w:pPr>
            <w:r>
              <w:t>0.262972</w:t>
            </w:r>
          </w:p>
        </w:tc>
      </w:tr>
      <w:tr>
        <w:trPr>
          <w:cantSplit/>
        </w:trPr>
        <w:tc>
          <w:tcPr>
            <w:tcW w:w="900" w:type="dxa"/>
            <w:vAlign w:val="center"/>
          </w:tcPr>
          <w:p>
            <w:pPr>
              <w:pStyle w:val="TableNumber"/>
            </w:pPr>
            <w:r>
              <w:t>3</w:t>
            </w:r>
          </w:p>
        </w:tc>
        <w:tc>
          <w:tcPr>
            <w:tcW w:w="3100" w:type="dxa"/>
            <w:vAlign w:val="center"/>
          </w:tcPr>
          <w:p>
            <w:pPr>
              <w:pStyle w:val="TableText"/>
            </w:pPr>
            <w:r>
              <w:t>checkpoint-007360</w:t>
            </w:r>
          </w:p>
        </w:tc>
        <w:tc>
          <w:tcPr>
            <w:tcW w:w="1800" w:type="dxa"/>
            <w:vAlign w:val="center"/>
          </w:tcPr>
          <w:p>
            <w:pPr>
              <w:pStyle w:val="TableNumber"/>
            </w:pPr>
            <w:r>
              <w:t>7,360</w:t>
            </w:r>
          </w:p>
        </w:tc>
        <w:tc>
          <w:tcPr>
            <w:tcW w:w="3560" w:type="dxa"/>
            <w:vAlign w:val="center"/>
          </w:tcPr>
          <w:p>
            <w:pPr>
              <w:pStyle w:val="TableNumber"/>
            </w:pPr>
            <w:r>
              <w:t>0.263174</w:t>
            </w:r>
          </w:p>
        </w:tc>
      </w:tr>
      <w:tr>
        <w:trPr>
          <w:cantSplit/>
        </w:trPr>
        <w:tc>
          <w:tcPr>
            <w:tcW w:w="900" w:type="dxa"/>
            <w:vAlign w:val="center"/>
          </w:tcPr>
          <w:p>
            <w:pPr>
              <w:pStyle w:val="TableNumber"/>
            </w:pPr>
            <w:r>
              <w:t>4</w:t>
            </w:r>
          </w:p>
        </w:tc>
        <w:tc>
          <w:tcPr>
            <w:tcW w:w="3100" w:type="dxa"/>
            <w:vAlign w:val="center"/>
          </w:tcPr>
          <w:p>
            <w:pPr>
              <w:pStyle w:val="TableText"/>
            </w:pPr>
            <w:r>
              <w:t>checkpoint-018399</w:t>
            </w:r>
          </w:p>
        </w:tc>
        <w:tc>
          <w:tcPr>
            <w:tcW w:w="1800" w:type="dxa"/>
            <w:vAlign w:val="center"/>
          </w:tcPr>
          <w:p>
            <w:pPr>
              <w:pStyle w:val="TableNumber"/>
            </w:pPr>
            <w:r>
              <w:t>18,399</w:t>
            </w:r>
          </w:p>
        </w:tc>
        <w:tc>
          <w:tcPr>
            <w:tcW w:w="3560" w:type="dxa"/>
            <w:vAlign w:val="center"/>
          </w:tcPr>
          <w:p>
            <w:pPr>
              <w:pStyle w:val="TableNumber"/>
            </w:pPr>
            <w:r>
              <w:t>0.263823</w:t>
            </w:r>
          </w:p>
        </w:tc>
      </w:tr>
      <w:tr>
        <w:trPr>
          <w:cantSplit/>
        </w:trPr>
        <w:tc>
          <w:tcPr>
            <w:tcW w:w="900" w:type="dxa"/>
            <w:vAlign w:val="center"/>
          </w:tcPr>
          <w:p>
            <w:pPr>
              <w:pStyle w:val="TableNumber"/>
            </w:pPr>
            <w:r>
              <w:t>5</w:t>
            </w:r>
          </w:p>
        </w:tc>
        <w:tc>
          <w:tcPr>
            <w:tcW w:w="3100" w:type="dxa"/>
            <w:vAlign w:val="center"/>
          </w:tcPr>
          <w:p>
            <w:pPr>
              <w:pStyle w:val="TableText"/>
            </w:pPr>
            <w:r>
              <w:t>checkpoint-003680</w:t>
            </w:r>
          </w:p>
        </w:tc>
        <w:tc>
          <w:tcPr>
            <w:tcW w:w="1800" w:type="dxa"/>
            <w:vAlign w:val="center"/>
          </w:tcPr>
          <w:p>
            <w:pPr>
              <w:pStyle w:val="TableNumber"/>
            </w:pPr>
            <w:r>
              <w:t>3,680</w:t>
            </w:r>
          </w:p>
        </w:tc>
        <w:tc>
          <w:tcPr>
            <w:tcW w:w="3560" w:type="dxa"/>
            <w:vAlign w:val="center"/>
          </w:tcPr>
          <w:p>
            <w:pPr>
              <w:pStyle w:val="TableNumber"/>
            </w:pPr>
            <w:r>
              <w:t>0.264334</w:t>
            </w:r>
          </w:p>
        </w:tc>
      </w:tr>
    </w:tbl>
    <w:p>
      <w:pPr>
        <w:pStyle w:val="a"/>
        <w:spacing w:before="160"/>
      </w:pPr>
      <w:r>
        <w:t xml:space="preserve">最佳 checkpoint-011040 出現在第 3 次 validation／checkpoint 評估，global step 11,040，訓練進度約 0.6000 epoch。Validation raw monitor 0.262906；test raw score 0.293823。表中 retained top 5 的名次不是時間順序。校準是在選定 checkpoint 之後擬合，不能用 test calibrated 結果回頭選 checkpoint。</w:t>
      </w:r>
    </w:p>
    <w:p>
      <w:pPr>
        <w:pStyle w:val="11"/>
      </w:pPr>
      <w:r>
        <w:t>5. 十三個模型的全 horizon 比較</w:t>
      </w:r>
    </w:p>
    <w:p>
      <w:pPr>
        <w:pStyle w:val="Decision"/>
        <w:keepNext/>
        <w:spacing w:after="80"/>
      </w:pPr>
      <w:r>
        <w:t>表 6｜前六名分布預測比較</w:t>
      </w:r>
    </w:p>
    <w:tbl>
      <w:tblPr>
        <w:tblStyle w:val="BenchmarkTable"/>
        <w:tblW w:w="9360" w:type="dxa"/>
        <w:tblLayout w:type="fixed"/>
      </w:tblPr>
      <w:tblGrid>
        <w:gridCol w:w="650"/>
        <w:gridCol w:w="2800"/>
        <w:gridCol w:w="1900"/>
        <w:gridCol w:w="1330"/>
        <w:gridCol w:w="1330"/>
        <w:gridCol w:w="1350"/>
      </w:tblGrid>
      <w:tr>
        <w:trPr>
          <w:tblHeader/>
        </w:trPr>
        <w:tc>
          <w:tcPr>
            <w:tcW w:w="650" w:type="dxa"/>
            <w:shd w:val="clear" w:fill="DCE6F1"/>
            <w:vAlign w:val="center"/>
          </w:tcPr>
          <w:p>
            <w:pPr>
              <w:pStyle w:val="TableHeader"/>
            </w:pPr>
            <w:r>
              <w:t>名次</w:t>
            </w:r>
          </w:p>
        </w:tc>
        <w:tc>
          <w:tcPr>
            <w:tcW w:w="2800" w:type="dxa"/>
            <w:shd w:val="clear" w:fill="DCE6F1"/>
            <w:vAlign w:val="center"/>
          </w:tcPr>
          <w:p>
            <w:pPr>
              <w:pStyle w:val="TableHeader"/>
            </w:pPr>
            <w:r>
              <w:t>模型</w:t>
            </w:r>
          </w:p>
        </w:tc>
        <w:tc>
          <w:tcPr>
            <w:tcW w:w="1900" w:type="dxa"/>
            <w:shd w:val="clear" w:fill="DCE6F1"/>
            <w:vAlign w:val="center"/>
          </w:tcPr>
          <w:p>
            <w:pPr>
              <w:pStyle w:val="TableHeader"/>
            </w:pPr>
            <w:r>
              <w:t>1 至 14 日 score</w:t>
            </w:r>
          </w:p>
        </w:tc>
        <w:tc>
          <w:tcPr>
            <w:tcW w:w="1330" w:type="dxa"/>
            <w:shd w:val="clear" w:fill="DCE6F1"/>
            <w:vAlign w:val="center"/>
          </w:tcPr>
          <w:p>
            <w:pPr>
              <w:pStyle w:val="TableHeader"/>
            </w:pPr>
            <w:r>
              <w:t xml:space="preserve">14H Coverage</w:t>
            </w:r>
          </w:p>
        </w:tc>
        <w:tc>
          <w:tcPr>
            <w:tcW w:w="1330" w:type="dxa"/>
            <w:shd w:val="clear" w:fill="DCE6F1"/>
            <w:vAlign w:val="center"/>
          </w:tcPr>
          <w:p>
            <w:pPr>
              <w:pStyle w:val="TableHeader"/>
            </w:pPr>
            <w:r>
              <w:t xml:space="preserve">14H 平均 q50 corr.</w:t>
            </w:r>
          </w:p>
        </w:tc>
        <w:tc>
          <w:tcPr>
            <w:tcW w:w="1350" w:type="dxa"/>
            <w:shd w:val="clear" w:fill="DCE6F1"/>
            <w:vAlign w:val="center"/>
          </w:tcPr>
          <w:p>
            <w:pPr>
              <w:pStyle w:val="TableHeader"/>
            </w:pPr>
            <w:r>
              <w:t xml:space="preserve">5d 舊 Sharpe 診斷</w:t>
            </w:r>
          </w:p>
        </w:tc>
      </w:tr>
      <w:tr>
        <w:trPr>
          <w:cantSplit/>
        </w:trPr>
        <w:tc>
          <w:tcPr>
            <w:tcW w:w="650" w:type="dxa"/>
            <w:shd w:val="clear" w:fill="EDF5FC"/>
            <w:vAlign w:val="center"/>
          </w:tcPr>
          <w:p>
            <w:pPr>
              <w:pStyle w:val="TableNumber"/>
            </w:pPr>
            <w:r>
              <w:t>1</w:t>
            </w:r>
          </w:p>
        </w:tc>
        <w:tc>
          <w:tcPr>
            <w:tcW w:w="2800" w:type="dxa"/>
            <w:shd w:val="clear" w:fill="EDF5FC"/>
            <w:vAlign w:val="center"/>
          </w:tcPr>
          <w:p>
            <w:pPr>
              <w:pStyle w:val="TableText"/>
            </w:pPr>
            <w:r>
              <w:t>Compact PatchTST</w:t>
            </w:r>
          </w:p>
        </w:tc>
        <w:tc>
          <w:tcPr>
            <w:tcW w:w="1900" w:type="dxa"/>
            <w:shd w:val="clear" w:fill="EDF5FC"/>
            <w:vAlign w:val="center"/>
          </w:tcPr>
          <w:p>
            <w:pPr>
              <w:pStyle w:val="TableNumber"/>
            </w:pPr>
            <w:r>
              <w:t>0.293639</w:t>
            </w:r>
          </w:p>
        </w:tc>
        <w:tc>
          <w:tcPr>
            <w:tcW w:w="1330" w:type="dxa"/>
            <w:shd w:val="clear" w:fill="EDF5FC"/>
            <w:vAlign w:val="center"/>
          </w:tcPr>
          <w:p>
            <w:pPr>
              <w:pStyle w:val="TableNumber"/>
            </w:pPr>
            <w:r>
              <w:t xml:space="preserve">77.33%</w:t>
            </w:r>
          </w:p>
        </w:tc>
        <w:tc>
          <w:tcPr>
            <w:tcW w:w="1330" w:type="dxa"/>
            <w:shd w:val="clear" w:fill="EDF5FC"/>
            <w:vAlign w:val="center"/>
          </w:tcPr>
          <w:p>
            <w:pPr>
              <w:pStyle w:val="TableNumber"/>
            </w:pPr>
            <w:r>
              <w:t xml:space="preserve">0.0858</w:t>
            </w:r>
          </w:p>
        </w:tc>
        <w:tc>
          <w:tcPr>
            <w:tcW w:w="1350" w:type="dxa"/>
            <w:shd w:val="clear" w:fill="EDF5FC"/>
            <w:vAlign w:val="center"/>
          </w:tcPr>
          <w:p>
            <w:pPr>
              <w:pStyle w:val="TableNumber"/>
            </w:pPr>
            <w:r>
              <w:t>2.045</w:t>
            </w:r>
          </w:p>
        </w:tc>
      </w:tr>
      <w:tr>
        <w:trPr>
          <w:cantSplit/>
        </w:trPr>
        <w:tc>
          <w:tcPr>
            <w:tcW w:w="650" w:type="dxa"/>
            <w:vAlign w:val="center"/>
          </w:tcPr>
          <w:p>
            <w:pPr>
              <w:pStyle w:val="TableNumber"/>
            </w:pPr>
            <w:r>
              <w:t>2</w:t>
            </w:r>
          </w:p>
        </w:tc>
        <w:tc>
          <w:tcPr>
            <w:tcW w:w="2800" w:type="dxa"/>
            <w:vAlign w:val="center"/>
          </w:tcPr>
          <w:p>
            <w:pPr>
              <w:pStyle w:val="TableText"/>
            </w:pPr>
            <w:r>
              <w:t>Kronos-base + LoRA</w:t>
            </w:r>
          </w:p>
        </w:tc>
        <w:tc>
          <w:tcPr>
            <w:tcW w:w="1900" w:type="dxa"/>
            <w:vAlign w:val="center"/>
          </w:tcPr>
          <w:p>
            <w:pPr>
              <w:pStyle w:val="TableNumber"/>
            </w:pPr>
            <w:r>
              <w:t>0.293823</w:t>
            </w:r>
          </w:p>
        </w:tc>
        <w:tc>
          <w:tcPr>
            <w:tcW w:w="1330" w:type="dxa"/>
            <w:vAlign w:val="center"/>
          </w:tcPr>
          <w:p>
            <w:pPr>
              <w:pStyle w:val="TableNumber"/>
            </w:pPr>
            <w:r>
              <w:t xml:space="preserve">75.80%</w:t>
            </w:r>
          </w:p>
        </w:tc>
        <w:tc>
          <w:tcPr>
            <w:tcW w:w="1330" w:type="dxa"/>
            <w:vAlign w:val="center"/>
          </w:tcPr>
          <w:p>
            <w:pPr>
              <w:pStyle w:val="TableNumber"/>
            </w:pPr>
            <w:r>
              <w:t xml:space="preserve">0.0979</w:t>
            </w:r>
          </w:p>
        </w:tc>
        <w:tc>
          <w:tcPr>
            <w:tcW w:w="1350" w:type="dxa"/>
            <w:vAlign w:val="center"/>
          </w:tcPr>
          <w:p>
            <w:pPr>
              <w:pStyle w:val="TableNumber"/>
            </w:pPr>
            <w:r>
              <w:t>2.674</w:t>
            </w:r>
          </w:p>
        </w:tc>
      </w:tr>
      <w:tr>
        <w:trPr>
          <w:cantSplit/>
        </w:trPr>
        <w:tc>
          <w:tcPr>
            <w:tcW w:w="650" w:type="dxa"/>
            <w:vAlign w:val="center"/>
          </w:tcPr>
          <w:p>
            <w:pPr>
              <w:pStyle w:val="TableNumber"/>
            </w:pPr>
            <w:r>
              <w:t>3</w:t>
            </w:r>
          </w:p>
        </w:tc>
        <w:tc>
          <w:tcPr>
            <w:tcW w:w="2800" w:type="dxa"/>
            <w:vAlign w:val="center"/>
          </w:tcPr>
          <w:p>
            <w:pPr>
              <w:pStyle w:val="TableText"/>
            </w:pPr>
            <w:r>
              <w:t>成對 GRU</w:t>
            </w:r>
          </w:p>
        </w:tc>
        <w:tc>
          <w:tcPr>
            <w:tcW w:w="1900" w:type="dxa"/>
            <w:vAlign w:val="center"/>
          </w:tcPr>
          <w:p>
            <w:pPr>
              <w:pStyle w:val="TableNumber"/>
            </w:pPr>
            <w:r>
              <w:t>0.293948</w:t>
            </w:r>
          </w:p>
        </w:tc>
        <w:tc>
          <w:tcPr>
            <w:tcW w:w="1330" w:type="dxa"/>
            <w:vAlign w:val="center"/>
          </w:tcPr>
          <w:p>
            <w:pPr>
              <w:pStyle w:val="TableNumber"/>
            </w:pPr>
            <w:r>
              <w:t xml:space="preserve">75.40%</w:t>
            </w:r>
          </w:p>
        </w:tc>
        <w:tc>
          <w:tcPr>
            <w:tcW w:w="1330" w:type="dxa"/>
            <w:vAlign w:val="center"/>
          </w:tcPr>
          <w:p>
            <w:pPr>
              <w:pStyle w:val="TableNumber"/>
            </w:pPr>
            <w:r>
              <w:t xml:space="preserve">0.0950</w:t>
            </w:r>
          </w:p>
        </w:tc>
        <w:tc>
          <w:tcPr>
            <w:tcW w:w="1350" w:type="dxa"/>
            <w:vAlign w:val="center"/>
          </w:tcPr>
          <w:p>
            <w:pPr>
              <w:pStyle w:val="TableNumber"/>
            </w:pPr>
            <w:r>
              <w:t>1.831</w:t>
            </w:r>
          </w:p>
        </w:tc>
      </w:tr>
      <w:tr>
        <w:trPr>
          <w:cantSplit/>
        </w:trPr>
        <w:tc>
          <w:tcPr>
            <w:tcW w:w="650" w:type="dxa"/>
            <w:vAlign w:val="center"/>
          </w:tcPr>
          <w:p>
            <w:pPr>
              <w:pStyle w:val="TableNumber"/>
            </w:pPr>
            <w:r>
              <w:t>4</w:t>
            </w:r>
          </w:p>
        </w:tc>
        <w:tc>
          <w:tcPr>
            <w:tcW w:w="2800" w:type="dxa"/>
            <w:vAlign w:val="center"/>
          </w:tcPr>
          <w:p>
            <w:pPr>
              <w:pStyle w:val="TableText"/>
            </w:pPr>
            <w:r>
              <w:t>Quantile GBDT</w:t>
            </w:r>
          </w:p>
        </w:tc>
        <w:tc>
          <w:tcPr>
            <w:tcW w:w="1900" w:type="dxa"/>
            <w:vAlign w:val="center"/>
          </w:tcPr>
          <w:p>
            <w:pPr>
              <w:pStyle w:val="TableNumber"/>
            </w:pPr>
            <w:r>
              <w:t>0.294929</w:t>
            </w:r>
          </w:p>
        </w:tc>
        <w:tc>
          <w:tcPr>
            <w:tcW w:w="1330" w:type="dxa"/>
            <w:vAlign w:val="center"/>
          </w:tcPr>
          <w:p>
            <w:pPr>
              <w:pStyle w:val="TableNumber"/>
            </w:pPr>
            <w:r>
              <w:t xml:space="preserve">74.98%</w:t>
            </w:r>
          </w:p>
        </w:tc>
        <w:tc>
          <w:tcPr>
            <w:tcW w:w="1330" w:type="dxa"/>
            <w:vAlign w:val="center"/>
          </w:tcPr>
          <w:p>
            <w:pPr>
              <w:pStyle w:val="TableNumber"/>
            </w:pPr>
            <w:r>
              <w:t xml:space="preserve">0.0498</w:t>
            </w:r>
          </w:p>
        </w:tc>
        <w:tc>
          <w:tcPr>
            <w:tcW w:w="1350" w:type="dxa"/>
            <w:vAlign w:val="center"/>
          </w:tcPr>
          <w:p>
            <w:pPr>
              <w:pStyle w:val="TableNumber"/>
            </w:pPr>
            <w:r>
              <w:t>0.559</w:t>
            </w:r>
          </w:p>
        </w:tc>
      </w:tr>
      <w:tr>
        <w:trPr>
          <w:cantSplit/>
        </w:trPr>
        <w:tc>
          <w:tcPr>
            <w:tcW w:w="650" w:type="dxa"/>
            <w:vAlign w:val="center"/>
          </w:tcPr>
          <w:p>
            <w:pPr>
              <w:pStyle w:val="TableNumber"/>
            </w:pPr>
            <w:r>
              <w:t>5</w:t>
            </w:r>
          </w:p>
        </w:tc>
        <w:tc>
          <w:tcPr>
            <w:tcW w:w="2800" w:type="dxa"/>
            <w:vAlign w:val="center"/>
          </w:tcPr>
          <w:p>
            <w:pPr>
              <w:pStyle w:val="TableText"/>
            </w:pPr>
            <w:r>
              <w:t xml:space="preserve">always_buy</w:t>
              <w:br/>
              <w:t xml:space="preserve">固定 training 分布</w:t>
            </w:r>
          </w:p>
        </w:tc>
        <w:tc>
          <w:tcPr>
            <w:tcW w:w="1900" w:type="dxa"/>
            <w:vAlign w:val="center"/>
          </w:tcPr>
          <w:p>
            <w:pPr>
              <w:pStyle w:val="TableNumber"/>
            </w:pPr>
            <w:r>
              <w:t>0.309493</w:t>
            </w:r>
          </w:p>
        </w:tc>
        <w:tc>
          <w:tcPr>
            <w:tcW w:w="1330" w:type="dxa"/>
            <w:vAlign w:val="center"/>
          </w:tcPr>
          <w:p>
            <w:pPr>
              <w:pStyle w:val="TableNumber"/>
            </w:pPr>
            <w:r>
              <w:t xml:space="preserve">75.08%</w:t>
            </w:r>
          </w:p>
        </w:tc>
        <w:tc>
          <w:tcPr>
            <w:tcW w:w="1330" w:type="dxa"/>
            <w:vAlign w:val="center"/>
          </w:tcPr>
          <w:p>
            <w:pPr>
              <w:pStyle w:val="TableNumber"/>
            </w:pPr>
            <w:r>
              <w:t xml:space="preserve">不適用 固定預測</w:t>
            </w:r>
          </w:p>
        </w:tc>
        <w:tc>
          <w:tcPr>
            <w:tcW w:w="1350" w:type="dxa"/>
            <w:vAlign w:val="center"/>
          </w:tcPr>
          <w:p>
            <w:pPr>
              <w:pStyle w:val="TableNumber"/>
            </w:pPr>
            <w:r>
              <w:t>0.000</w:t>
            </w:r>
          </w:p>
        </w:tc>
      </w:tr>
      <w:tr>
        <w:trPr>
          <w:cantSplit/>
        </w:trPr>
        <w:tc>
          <w:tcPr>
            <w:tcW w:w="650" w:type="dxa"/>
            <w:vAlign w:val="center"/>
          </w:tcPr>
          <w:p>
            <w:pPr>
              <w:pStyle w:val="TableNumber"/>
            </w:pPr>
            <w:r>
              <w:t>6</w:t>
            </w:r>
          </w:p>
        </w:tc>
        <w:tc>
          <w:tcPr>
            <w:tcW w:w="2800" w:type="dxa"/>
            <w:vAlign w:val="center"/>
          </w:tcPr>
          <w:p>
            <w:pPr>
              <w:pStyle w:val="TableText"/>
            </w:pPr>
            <w:r>
              <w:t xml:space="preserve">zero_return</w:t>
              <w:br/>
              <w:t xml:space="preserve">固定 training 分布</w:t>
            </w:r>
          </w:p>
        </w:tc>
        <w:tc>
          <w:tcPr>
            <w:tcW w:w="1900" w:type="dxa"/>
            <w:vAlign w:val="center"/>
          </w:tcPr>
          <w:p>
            <w:pPr>
              <w:pStyle w:val="TableNumber"/>
            </w:pPr>
            <w:r>
              <w:t>0.309493</w:t>
            </w:r>
          </w:p>
        </w:tc>
        <w:tc>
          <w:tcPr>
            <w:tcW w:w="1330" w:type="dxa"/>
            <w:vAlign w:val="center"/>
          </w:tcPr>
          <w:p>
            <w:pPr>
              <w:pStyle w:val="TableNumber"/>
            </w:pPr>
            <w:r>
              <w:t xml:space="preserve">75.08%</w:t>
            </w:r>
          </w:p>
        </w:tc>
        <w:tc>
          <w:tcPr>
            <w:tcW w:w="1330" w:type="dxa"/>
            <w:vAlign w:val="center"/>
          </w:tcPr>
          <w:p>
            <w:pPr>
              <w:pStyle w:val="TableNumber"/>
            </w:pPr>
            <w:r>
              <w:t xml:space="preserve">不適用 固定預測</w:t>
            </w:r>
          </w:p>
        </w:tc>
        <w:tc>
          <w:tcPr>
            <w:tcW w:w="1350" w:type="dxa"/>
            <w:vAlign w:val="center"/>
          </w:tcPr>
          <w:p>
            <w:pPr>
              <w:pStyle w:val="TableNumber"/>
            </w:pPr>
            <w:r>
              <w:t>0.000</w:t>
            </w:r>
          </w:p>
        </w:tc>
      </w:tr>
    </w:tbl>
    <w:p>
      <w:pPr>
        <w:pStyle w:val="a"/>
        <w:spacing w:before="160"/>
      </w:pPr>
      <w:r>
        <w:t xml:space="preserve">Raw normalized pinball 在 1/14 個 horizon 位居第 1（13 個完整輸出模型）。表 6 的 coverage 與 q50 correlation 改為全部 horizon 的平均，避免將 primary_5d 的參考值誤稱整體結果；舊 Sharpe 明確標為 5 日簡化診斷，僅保留來源值，不參與策略優劣判斷。</w:t>
      </w:r>
    </w:p>
    <w:p>
      <w:pPr>
        <w:pStyle w:val="11"/>
      </w:pPr>
      <w:r>
        <w:t>6. 一至十四日完整結果</w:t>
      </w:r>
    </w:p>
    <w:p>
      <w:pPr>
        <w:pStyle w:val="21"/>
      </w:pPr>
      <w:r>
        <w:t>6.1 誤差與不同 horizon 的可比性</w:t>
      </w:r>
    </w:p>
    <w:p>
      <w:pPr>
        <w:pStyle w:val="Decision"/>
        <w:keepNext/>
        <w:spacing w:after="80"/>
      </w:pPr>
      <w:r>
        <w:t>表 7｜每個 horizon 的預測誤差</w:t>
      </w:r>
    </w:p>
    <w:tbl>
      <w:tblPr>
        <w:tblStyle w:val="BenchmarkTable"/>
        <w:tblW w:w="9360" w:type="dxa"/>
        <w:tblLayout w:type="fixed"/>
      </w:tblPr>
      <w:tblGrid>
        <w:gridCol w:w="650"/>
        <w:gridCol w:w="1400"/>
        <w:gridCol w:w="1550"/>
        <w:gridCol w:w="1550"/>
        <w:gridCol w:w="1050"/>
        <w:gridCol w:w="1550"/>
        <w:gridCol w:w="1610"/>
      </w:tblGrid>
      <w:tr>
        <w:trPr>
          <w:tblHeader/>
        </w:trPr>
        <w:tc>
          <w:tcPr>
            <w:tcW w:w="650" w:type="dxa"/>
            <w:shd w:val="clear" w:fill="DCE6F1"/>
            <w:vAlign w:val="center"/>
          </w:tcPr>
          <w:p>
            <w:pPr>
              <w:pStyle w:val="TableHeader"/>
            </w:pPr>
            <w:r>
              <w:t>H</w:t>
            </w:r>
          </w:p>
        </w:tc>
        <w:tc>
          <w:tcPr>
            <w:tcW w:w="1400" w:type="dxa"/>
            <w:shd w:val="clear" w:fill="DCE6F1"/>
            <w:vAlign w:val="center"/>
          </w:tcPr>
          <w:p>
            <w:pPr>
              <w:pStyle w:val="TableHeader"/>
            </w:pPr>
            <w:r>
              <w:t>Train robust scale</w:t>
            </w:r>
          </w:p>
        </w:tc>
        <w:tc>
          <w:tcPr>
            <w:tcW w:w="1550" w:type="dxa"/>
            <w:shd w:val="clear" w:fill="DCE6F1"/>
            <w:vAlign w:val="center"/>
          </w:tcPr>
          <w:p>
            <w:pPr>
              <w:pStyle w:val="TableHeader"/>
            </w:pPr>
            <w:r>
              <w:t>Raw pinball</w:t>
            </w:r>
          </w:p>
        </w:tc>
        <w:tc>
          <w:tcPr>
            <w:tcW w:w="1550" w:type="dxa"/>
            <w:shd w:val="clear" w:fill="DCE6F1"/>
            <w:vAlign w:val="center"/>
          </w:tcPr>
          <w:p>
            <w:pPr>
              <w:pStyle w:val="TableHeader"/>
            </w:pPr>
            <w:r>
              <w:t>N-pinball</w:t>
            </w:r>
          </w:p>
        </w:tc>
        <w:tc>
          <w:tcPr>
            <w:tcW w:w="1050" w:type="dxa"/>
            <w:shd w:val="clear" w:fill="DCE6F1"/>
            <w:vAlign w:val="center"/>
          </w:tcPr>
          <w:p>
            <w:pPr>
              <w:pStyle w:val="TableHeader"/>
            </w:pPr>
            <w:r>
              <w:t>排名</w:t>
            </w:r>
          </w:p>
        </w:tc>
        <w:tc>
          <w:tcPr>
            <w:tcW w:w="1550" w:type="dxa"/>
            <w:shd w:val="clear" w:fill="DCE6F1"/>
            <w:vAlign w:val="center"/>
          </w:tcPr>
          <w:p>
            <w:pPr>
              <w:pStyle w:val="TableHeader"/>
            </w:pPr>
            <w:r>
              <w:t>q50 MAE</w:t>
            </w:r>
          </w:p>
        </w:tc>
        <w:tc>
          <w:tcPr>
            <w:tcW w:w="1610" w:type="dxa"/>
            <w:shd w:val="clear" w:fill="DCE6F1"/>
            <w:vAlign w:val="center"/>
          </w:tcPr>
          <w:p>
            <w:pPr>
              <w:pStyle w:val="TableHeader"/>
            </w:pPr>
            <w:r>
              <w:t>N-MAE</w:t>
            </w:r>
          </w:p>
        </w:tc>
      </w:tr>
      <w:tr>
        <w:trPr>
          <w:cantSplit/>
        </w:trPr>
        <w:tc>
          <w:tcPr>
            <w:tcW w:w="650" w:type="dxa"/>
            <w:vAlign w:val="center"/>
          </w:tcPr>
          <w:p>
            <w:pPr>
              <w:pStyle w:val="TableText"/>
            </w:pPr>
            <w:r>
              <w:t>1d</w:t>
            </w:r>
          </w:p>
        </w:tc>
        <w:tc>
          <w:tcPr>
            <w:tcW w:w="1400" w:type="dxa"/>
            <w:vAlign w:val="center"/>
          </w:tcPr>
          <w:p>
            <w:pPr>
              <w:pStyle w:val="TableNumber"/>
            </w:pPr>
            <w:r>
              <w:t>0.02261</w:t>
            </w:r>
          </w:p>
        </w:tc>
        <w:tc>
          <w:tcPr>
            <w:tcW w:w="1550" w:type="dxa"/>
            <w:vAlign w:val="center"/>
          </w:tcPr>
          <w:p>
            <w:pPr>
              <w:pStyle w:val="TableNumber"/>
            </w:pPr>
            <w:r>
              <w:t>0.00654</w:t>
            </w:r>
          </w:p>
        </w:tc>
        <w:tc>
          <w:tcPr>
            <w:tcW w:w="1550" w:type="dxa"/>
            <w:vAlign w:val="center"/>
          </w:tcPr>
          <w:p>
            <w:pPr>
              <w:pStyle w:val="TableNumber"/>
            </w:pPr>
            <w:r>
              <w:t>0.28921</w:t>
            </w:r>
          </w:p>
        </w:tc>
        <w:tc>
          <w:tcPr>
            <w:tcW w:w="1050" w:type="dxa"/>
            <w:vAlign w:val="center"/>
          </w:tcPr>
          <w:p>
            <w:pPr>
              <w:pStyle w:val="TableNumber"/>
            </w:pPr>
            <w:r>
              <w:t>3/13</w:t>
            </w:r>
          </w:p>
        </w:tc>
        <w:tc>
          <w:tcPr>
            <w:tcW w:w="1550" w:type="dxa"/>
            <w:vAlign w:val="center"/>
          </w:tcPr>
          <w:p>
            <w:pPr>
              <w:pStyle w:val="TableNumber"/>
            </w:pPr>
            <w:r>
              <w:t>0.01980</w:t>
            </w:r>
          </w:p>
        </w:tc>
        <w:tc>
          <w:tcPr>
            <w:tcW w:w="1610" w:type="dxa"/>
            <w:vAlign w:val="center"/>
          </w:tcPr>
          <w:p>
            <w:pPr>
              <w:pStyle w:val="TableNumber"/>
            </w:pPr>
            <w:r>
              <w:t>0.8759</w:t>
            </w:r>
          </w:p>
        </w:tc>
      </w:tr>
      <w:tr>
        <w:trPr>
          <w:cantSplit/>
        </w:trPr>
        <w:tc>
          <w:tcPr>
            <w:tcW w:w="650" w:type="dxa"/>
            <w:vAlign w:val="center"/>
          </w:tcPr>
          <w:p>
            <w:pPr>
              <w:pStyle w:val="TableText"/>
            </w:pPr>
            <w:r>
              <w:t>2d</w:t>
            </w:r>
          </w:p>
        </w:tc>
        <w:tc>
          <w:tcPr>
            <w:tcW w:w="1400" w:type="dxa"/>
            <w:vAlign w:val="center"/>
          </w:tcPr>
          <w:p>
            <w:pPr>
              <w:pStyle w:val="TableNumber"/>
            </w:pPr>
            <w:r>
              <w:t>0.03416</w:t>
            </w:r>
          </w:p>
        </w:tc>
        <w:tc>
          <w:tcPr>
            <w:tcW w:w="1550" w:type="dxa"/>
            <w:vAlign w:val="center"/>
          </w:tcPr>
          <w:p>
            <w:pPr>
              <w:pStyle w:val="TableNumber"/>
            </w:pPr>
            <w:r>
              <w:t>0.01000</w:t>
            </w:r>
          </w:p>
        </w:tc>
        <w:tc>
          <w:tcPr>
            <w:tcW w:w="1550" w:type="dxa"/>
            <w:vAlign w:val="center"/>
          </w:tcPr>
          <w:p>
            <w:pPr>
              <w:pStyle w:val="TableNumber"/>
            </w:pPr>
            <w:r>
              <w:t>0.29273</w:t>
            </w:r>
          </w:p>
        </w:tc>
        <w:tc>
          <w:tcPr>
            <w:tcW w:w="1050" w:type="dxa"/>
            <w:vAlign w:val="center"/>
          </w:tcPr>
          <w:p>
            <w:pPr>
              <w:pStyle w:val="TableNumber"/>
            </w:pPr>
            <w:r>
              <w:t>3/13</w:t>
            </w:r>
          </w:p>
        </w:tc>
        <w:tc>
          <w:tcPr>
            <w:tcW w:w="1550" w:type="dxa"/>
            <w:vAlign w:val="center"/>
          </w:tcPr>
          <w:p>
            <w:pPr>
              <w:pStyle w:val="TableNumber"/>
            </w:pPr>
            <w:r>
              <w:t>0.03008</w:t>
            </w:r>
          </w:p>
        </w:tc>
        <w:tc>
          <w:tcPr>
            <w:tcW w:w="1610" w:type="dxa"/>
            <w:vAlign w:val="center"/>
          </w:tcPr>
          <w:p>
            <w:pPr>
              <w:pStyle w:val="TableNumber"/>
            </w:pPr>
            <w:r>
              <w:t>0.8805</w:t>
            </w:r>
          </w:p>
        </w:tc>
      </w:tr>
      <w:tr>
        <w:trPr>
          <w:cantSplit/>
        </w:trPr>
        <w:tc>
          <w:tcPr>
            <w:tcW w:w="650" w:type="dxa"/>
            <w:vAlign w:val="center"/>
          </w:tcPr>
          <w:p>
            <w:pPr>
              <w:pStyle w:val="TableText"/>
            </w:pPr>
            <w:r>
              <w:t>3d</w:t>
            </w:r>
          </w:p>
        </w:tc>
        <w:tc>
          <w:tcPr>
            <w:tcW w:w="1400" w:type="dxa"/>
            <w:vAlign w:val="center"/>
          </w:tcPr>
          <w:p>
            <w:pPr>
              <w:pStyle w:val="TableNumber"/>
            </w:pPr>
            <w:r>
              <w:t>0.04291</w:t>
            </w:r>
          </w:p>
        </w:tc>
        <w:tc>
          <w:tcPr>
            <w:tcW w:w="1550" w:type="dxa"/>
            <w:vAlign w:val="center"/>
          </w:tcPr>
          <w:p>
            <w:pPr>
              <w:pStyle w:val="TableNumber"/>
            </w:pPr>
            <w:r>
              <w:t>0.01265</w:t>
            </w:r>
          </w:p>
        </w:tc>
        <w:tc>
          <w:tcPr>
            <w:tcW w:w="1550" w:type="dxa"/>
            <w:vAlign w:val="center"/>
          </w:tcPr>
          <w:p>
            <w:pPr>
              <w:pStyle w:val="TableNumber"/>
            </w:pPr>
            <w:r>
              <w:t>0.29488</w:t>
            </w:r>
          </w:p>
        </w:tc>
        <w:tc>
          <w:tcPr>
            <w:tcW w:w="1050" w:type="dxa"/>
            <w:vAlign w:val="center"/>
          </w:tcPr>
          <w:p>
            <w:pPr>
              <w:pStyle w:val="TableNumber"/>
            </w:pPr>
            <w:r>
              <w:t>2/13</w:t>
            </w:r>
          </w:p>
        </w:tc>
        <w:tc>
          <w:tcPr>
            <w:tcW w:w="1550" w:type="dxa"/>
            <w:vAlign w:val="center"/>
          </w:tcPr>
          <w:p>
            <w:pPr>
              <w:pStyle w:val="TableNumber"/>
            </w:pPr>
            <w:r>
              <w:t>0.03797</w:t>
            </w:r>
          </w:p>
        </w:tc>
        <w:tc>
          <w:tcPr>
            <w:tcW w:w="1610" w:type="dxa"/>
            <w:vAlign w:val="center"/>
          </w:tcPr>
          <w:p>
            <w:pPr>
              <w:pStyle w:val="TableNumber"/>
            </w:pPr>
            <w:r>
              <w:t>0.8849</w:t>
            </w:r>
          </w:p>
        </w:tc>
      </w:tr>
      <w:tr>
        <w:trPr>
          <w:cantSplit/>
        </w:trPr>
        <w:tc>
          <w:tcPr>
            <w:tcW w:w="650" w:type="dxa"/>
            <w:vAlign w:val="center"/>
          </w:tcPr>
          <w:p>
            <w:pPr>
              <w:pStyle w:val="TableText"/>
            </w:pPr>
            <w:r>
              <w:t>4d</w:t>
            </w:r>
          </w:p>
        </w:tc>
        <w:tc>
          <w:tcPr>
            <w:tcW w:w="1400" w:type="dxa"/>
            <w:vAlign w:val="center"/>
          </w:tcPr>
          <w:p>
            <w:pPr>
              <w:pStyle w:val="TableNumber"/>
            </w:pPr>
            <w:r>
              <w:t>0.05070</w:t>
            </w:r>
          </w:p>
        </w:tc>
        <w:tc>
          <w:tcPr>
            <w:tcW w:w="1550" w:type="dxa"/>
            <w:vAlign w:val="center"/>
          </w:tcPr>
          <w:p>
            <w:pPr>
              <w:pStyle w:val="TableNumber"/>
            </w:pPr>
            <w:r>
              <w:t>0.01487</w:t>
            </w:r>
          </w:p>
        </w:tc>
        <w:tc>
          <w:tcPr>
            <w:tcW w:w="1550" w:type="dxa"/>
            <w:vAlign w:val="center"/>
          </w:tcPr>
          <w:p>
            <w:pPr>
              <w:pStyle w:val="TableNumber"/>
            </w:pPr>
            <w:r>
              <w:t>0.29330</w:t>
            </w:r>
          </w:p>
        </w:tc>
        <w:tc>
          <w:tcPr>
            <w:tcW w:w="1050" w:type="dxa"/>
            <w:vAlign w:val="center"/>
          </w:tcPr>
          <w:p>
            <w:pPr>
              <w:pStyle w:val="TableNumber"/>
            </w:pPr>
            <w:r>
              <w:t>1/13</w:t>
            </w:r>
          </w:p>
        </w:tc>
        <w:tc>
          <w:tcPr>
            <w:tcW w:w="1550" w:type="dxa"/>
            <w:vAlign w:val="center"/>
          </w:tcPr>
          <w:p>
            <w:pPr>
              <w:pStyle w:val="TableNumber"/>
            </w:pPr>
            <w:r>
              <w:t>0.04463</w:t>
            </w:r>
          </w:p>
        </w:tc>
        <w:tc>
          <w:tcPr>
            <w:tcW w:w="1610" w:type="dxa"/>
            <w:vAlign w:val="center"/>
          </w:tcPr>
          <w:p>
            <w:pPr>
              <w:pStyle w:val="TableNumber"/>
            </w:pPr>
            <w:r>
              <w:t>0.8803</w:t>
            </w:r>
          </w:p>
        </w:tc>
      </w:tr>
      <w:tr>
        <w:trPr>
          <w:cantSplit/>
        </w:trPr>
        <w:tc>
          <w:tcPr>
            <w:tcW w:w="650" w:type="dxa"/>
            <w:vAlign w:val="center"/>
          </w:tcPr>
          <w:p>
            <w:pPr>
              <w:pStyle w:val="TableText"/>
            </w:pPr>
            <w:r>
              <w:t>5d</w:t>
            </w:r>
          </w:p>
        </w:tc>
        <w:tc>
          <w:tcPr>
            <w:tcW w:w="1400" w:type="dxa"/>
            <w:vAlign w:val="center"/>
          </w:tcPr>
          <w:p>
            <w:pPr>
              <w:pStyle w:val="TableNumber"/>
            </w:pPr>
            <w:r>
              <w:t>0.05783</w:t>
            </w:r>
          </w:p>
        </w:tc>
        <w:tc>
          <w:tcPr>
            <w:tcW w:w="1550" w:type="dxa"/>
            <w:vAlign w:val="center"/>
          </w:tcPr>
          <w:p>
            <w:pPr>
              <w:pStyle w:val="TableNumber"/>
            </w:pPr>
            <w:r>
              <w:t>0.01685</w:t>
            </w:r>
          </w:p>
        </w:tc>
        <w:tc>
          <w:tcPr>
            <w:tcW w:w="1550" w:type="dxa"/>
            <w:vAlign w:val="center"/>
          </w:tcPr>
          <w:p>
            <w:pPr>
              <w:pStyle w:val="TableNumber"/>
            </w:pPr>
            <w:r>
              <w:t>0.29140</w:t>
            </w:r>
          </w:p>
        </w:tc>
        <w:tc>
          <w:tcPr>
            <w:tcW w:w="1050" w:type="dxa"/>
            <w:vAlign w:val="center"/>
          </w:tcPr>
          <w:p>
            <w:pPr>
              <w:pStyle w:val="TableNumber"/>
            </w:pPr>
            <w:r>
              <w:t>2/13</w:t>
            </w:r>
          </w:p>
        </w:tc>
        <w:tc>
          <w:tcPr>
            <w:tcW w:w="1550" w:type="dxa"/>
            <w:vAlign w:val="center"/>
          </w:tcPr>
          <w:p>
            <w:pPr>
              <w:pStyle w:val="TableNumber"/>
            </w:pPr>
            <w:r>
              <w:t>0.05050</w:t>
            </w:r>
          </w:p>
        </w:tc>
        <w:tc>
          <w:tcPr>
            <w:tcW w:w="1610" w:type="dxa"/>
            <w:vAlign w:val="center"/>
          </w:tcPr>
          <w:p>
            <w:pPr>
              <w:pStyle w:val="TableNumber"/>
            </w:pPr>
            <w:r>
              <w:t>0.8732</w:t>
            </w:r>
          </w:p>
        </w:tc>
      </w:tr>
      <w:tr>
        <w:trPr>
          <w:cantSplit/>
        </w:trPr>
        <w:tc>
          <w:tcPr>
            <w:tcW w:w="650" w:type="dxa"/>
            <w:vAlign w:val="center"/>
          </w:tcPr>
          <w:p>
            <w:pPr>
              <w:pStyle w:val="TableText"/>
            </w:pPr>
            <w:r>
              <w:t>6d</w:t>
            </w:r>
          </w:p>
        </w:tc>
        <w:tc>
          <w:tcPr>
            <w:tcW w:w="1400" w:type="dxa"/>
            <w:vAlign w:val="center"/>
          </w:tcPr>
          <w:p>
            <w:pPr>
              <w:pStyle w:val="TableNumber"/>
            </w:pPr>
            <w:r>
              <w:t>0.06364</w:t>
            </w:r>
          </w:p>
        </w:tc>
        <w:tc>
          <w:tcPr>
            <w:tcW w:w="1550" w:type="dxa"/>
            <w:vAlign w:val="center"/>
          </w:tcPr>
          <w:p>
            <w:pPr>
              <w:pStyle w:val="TableNumber"/>
            </w:pPr>
            <w:r>
              <w:t>0.01870</w:t>
            </w:r>
          </w:p>
        </w:tc>
        <w:tc>
          <w:tcPr>
            <w:tcW w:w="1550" w:type="dxa"/>
            <w:vAlign w:val="center"/>
          </w:tcPr>
          <w:p>
            <w:pPr>
              <w:pStyle w:val="TableNumber"/>
            </w:pPr>
            <w:r>
              <w:t>0.29390</w:t>
            </w:r>
          </w:p>
        </w:tc>
        <w:tc>
          <w:tcPr>
            <w:tcW w:w="1050" w:type="dxa"/>
            <w:vAlign w:val="center"/>
          </w:tcPr>
          <w:p>
            <w:pPr>
              <w:pStyle w:val="TableNumber"/>
            </w:pPr>
            <w:r>
              <w:t>3/13</w:t>
            </w:r>
          </w:p>
        </w:tc>
        <w:tc>
          <w:tcPr>
            <w:tcW w:w="1550" w:type="dxa"/>
            <w:vAlign w:val="center"/>
          </w:tcPr>
          <w:p>
            <w:pPr>
              <w:pStyle w:val="TableNumber"/>
            </w:pPr>
            <w:r>
              <w:t>0.05611</w:t>
            </w:r>
          </w:p>
        </w:tc>
        <w:tc>
          <w:tcPr>
            <w:tcW w:w="1610" w:type="dxa"/>
            <w:vAlign w:val="center"/>
          </w:tcPr>
          <w:p>
            <w:pPr>
              <w:pStyle w:val="TableNumber"/>
            </w:pPr>
            <w:r>
              <w:t>0.8817</w:t>
            </w:r>
          </w:p>
        </w:tc>
      </w:tr>
      <w:tr>
        <w:trPr>
          <w:cantSplit/>
        </w:trPr>
        <w:tc>
          <w:tcPr>
            <w:tcW w:w="650" w:type="dxa"/>
            <w:vAlign w:val="center"/>
          </w:tcPr>
          <w:p>
            <w:pPr>
              <w:pStyle w:val="TableText"/>
            </w:pPr>
            <w:r>
              <w:t>7d</w:t>
            </w:r>
          </w:p>
        </w:tc>
        <w:tc>
          <w:tcPr>
            <w:tcW w:w="1400" w:type="dxa"/>
            <w:vAlign w:val="center"/>
          </w:tcPr>
          <w:p>
            <w:pPr>
              <w:pStyle w:val="TableNumber"/>
            </w:pPr>
            <w:r>
              <w:t>0.06932</w:t>
            </w:r>
          </w:p>
        </w:tc>
        <w:tc>
          <w:tcPr>
            <w:tcW w:w="1550" w:type="dxa"/>
            <w:vAlign w:val="center"/>
          </w:tcPr>
          <w:p>
            <w:pPr>
              <w:pStyle w:val="TableNumber"/>
            </w:pPr>
            <w:r>
              <w:t>0.02040</w:t>
            </w:r>
          </w:p>
        </w:tc>
        <w:tc>
          <w:tcPr>
            <w:tcW w:w="1550" w:type="dxa"/>
            <w:vAlign w:val="center"/>
          </w:tcPr>
          <w:p>
            <w:pPr>
              <w:pStyle w:val="TableNumber"/>
            </w:pPr>
            <w:r>
              <w:t>0.29426</w:t>
            </w:r>
          </w:p>
        </w:tc>
        <w:tc>
          <w:tcPr>
            <w:tcW w:w="1050" w:type="dxa"/>
            <w:vAlign w:val="center"/>
          </w:tcPr>
          <w:p>
            <w:pPr>
              <w:pStyle w:val="TableNumber"/>
            </w:pPr>
            <w:r>
              <w:t>2/13</w:t>
            </w:r>
          </w:p>
        </w:tc>
        <w:tc>
          <w:tcPr>
            <w:tcW w:w="1550" w:type="dxa"/>
            <w:vAlign w:val="center"/>
          </w:tcPr>
          <w:p>
            <w:pPr>
              <w:pStyle w:val="TableNumber"/>
            </w:pPr>
            <w:r>
              <w:t>0.06127</w:t>
            </w:r>
          </w:p>
        </w:tc>
        <w:tc>
          <w:tcPr>
            <w:tcW w:w="1610" w:type="dxa"/>
            <w:vAlign w:val="center"/>
          </w:tcPr>
          <w:p>
            <w:pPr>
              <w:pStyle w:val="TableNumber"/>
            </w:pPr>
            <w:r>
              <w:t>0.8838</w:t>
            </w:r>
          </w:p>
        </w:tc>
      </w:tr>
      <w:tr>
        <w:trPr>
          <w:cantSplit/>
        </w:trPr>
        <w:tc>
          <w:tcPr>
            <w:tcW w:w="650" w:type="dxa"/>
            <w:vAlign w:val="center"/>
          </w:tcPr>
          <w:p>
            <w:pPr>
              <w:pStyle w:val="TableText"/>
            </w:pPr>
            <w:r>
              <w:t>8d</w:t>
            </w:r>
          </w:p>
        </w:tc>
        <w:tc>
          <w:tcPr>
            <w:tcW w:w="1400" w:type="dxa"/>
            <w:vAlign w:val="center"/>
          </w:tcPr>
          <w:p>
            <w:pPr>
              <w:pStyle w:val="TableNumber"/>
            </w:pPr>
            <w:r>
              <w:t>0.07444</w:t>
            </w:r>
          </w:p>
        </w:tc>
        <w:tc>
          <w:tcPr>
            <w:tcW w:w="1550" w:type="dxa"/>
            <w:vAlign w:val="center"/>
          </w:tcPr>
          <w:p>
            <w:pPr>
              <w:pStyle w:val="TableNumber"/>
            </w:pPr>
            <w:r>
              <w:t>0.02194</w:t>
            </w:r>
          </w:p>
        </w:tc>
        <w:tc>
          <w:tcPr>
            <w:tcW w:w="1550" w:type="dxa"/>
            <w:vAlign w:val="center"/>
          </w:tcPr>
          <w:p>
            <w:pPr>
              <w:pStyle w:val="TableNumber"/>
            </w:pPr>
            <w:r>
              <w:t>0.29472</w:t>
            </w:r>
          </w:p>
        </w:tc>
        <w:tc>
          <w:tcPr>
            <w:tcW w:w="1050" w:type="dxa"/>
            <w:vAlign w:val="center"/>
          </w:tcPr>
          <w:p>
            <w:pPr>
              <w:pStyle w:val="TableNumber"/>
            </w:pPr>
            <w:r>
              <w:t>2/13</w:t>
            </w:r>
          </w:p>
        </w:tc>
        <w:tc>
          <w:tcPr>
            <w:tcW w:w="1550" w:type="dxa"/>
            <w:vAlign w:val="center"/>
          </w:tcPr>
          <w:p>
            <w:pPr>
              <w:pStyle w:val="TableNumber"/>
            </w:pPr>
            <w:r>
              <w:t>0.06597</w:t>
            </w:r>
          </w:p>
        </w:tc>
        <w:tc>
          <w:tcPr>
            <w:tcW w:w="1610" w:type="dxa"/>
            <w:vAlign w:val="center"/>
          </w:tcPr>
          <w:p>
            <w:pPr>
              <w:pStyle w:val="TableNumber"/>
            </w:pPr>
            <w:r>
              <w:t>0.8861</w:t>
            </w:r>
          </w:p>
        </w:tc>
      </w:tr>
      <w:tr>
        <w:trPr>
          <w:cantSplit/>
        </w:trPr>
        <w:tc>
          <w:tcPr>
            <w:tcW w:w="650" w:type="dxa"/>
            <w:vAlign w:val="center"/>
          </w:tcPr>
          <w:p>
            <w:pPr>
              <w:pStyle w:val="TableText"/>
            </w:pPr>
            <w:r>
              <w:t>9d</w:t>
            </w:r>
          </w:p>
        </w:tc>
        <w:tc>
          <w:tcPr>
            <w:tcW w:w="1400" w:type="dxa"/>
            <w:vAlign w:val="center"/>
          </w:tcPr>
          <w:p>
            <w:pPr>
              <w:pStyle w:val="TableNumber"/>
            </w:pPr>
            <w:r>
              <w:t>0.07922</w:t>
            </w:r>
          </w:p>
        </w:tc>
        <w:tc>
          <w:tcPr>
            <w:tcW w:w="1550" w:type="dxa"/>
            <w:vAlign w:val="center"/>
          </w:tcPr>
          <w:p>
            <w:pPr>
              <w:pStyle w:val="TableNumber"/>
            </w:pPr>
            <w:r>
              <w:t>0.02341</w:t>
            </w:r>
          </w:p>
        </w:tc>
        <w:tc>
          <w:tcPr>
            <w:tcW w:w="1550" w:type="dxa"/>
            <w:vAlign w:val="center"/>
          </w:tcPr>
          <w:p>
            <w:pPr>
              <w:pStyle w:val="TableNumber"/>
            </w:pPr>
            <w:r>
              <w:t>0.29557</w:t>
            </w:r>
          </w:p>
        </w:tc>
        <w:tc>
          <w:tcPr>
            <w:tcW w:w="1050" w:type="dxa"/>
            <w:vAlign w:val="center"/>
          </w:tcPr>
          <w:p>
            <w:pPr>
              <w:pStyle w:val="TableNumber"/>
            </w:pPr>
            <w:r>
              <w:t>3/13</w:t>
            </w:r>
          </w:p>
        </w:tc>
        <w:tc>
          <w:tcPr>
            <w:tcW w:w="1550" w:type="dxa"/>
            <w:vAlign w:val="center"/>
          </w:tcPr>
          <w:p>
            <w:pPr>
              <w:pStyle w:val="TableNumber"/>
            </w:pPr>
            <w:r>
              <w:t>0.07043</w:t>
            </w:r>
          </w:p>
        </w:tc>
        <w:tc>
          <w:tcPr>
            <w:tcW w:w="1610" w:type="dxa"/>
            <w:vAlign w:val="center"/>
          </w:tcPr>
          <w:p>
            <w:pPr>
              <w:pStyle w:val="TableNumber"/>
            </w:pPr>
            <w:r>
              <w:t>0.8891</w:t>
            </w:r>
          </w:p>
        </w:tc>
      </w:tr>
      <w:tr>
        <w:trPr>
          <w:cantSplit/>
        </w:trPr>
        <w:tc>
          <w:tcPr>
            <w:tcW w:w="650" w:type="dxa"/>
            <w:vAlign w:val="center"/>
          </w:tcPr>
          <w:p>
            <w:pPr>
              <w:pStyle w:val="TableText"/>
            </w:pPr>
            <w:r>
              <w:t>10d</w:t>
            </w:r>
          </w:p>
        </w:tc>
        <w:tc>
          <w:tcPr>
            <w:tcW w:w="1400" w:type="dxa"/>
            <w:vAlign w:val="center"/>
          </w:tcPr>
          <w:p>
            <w:pPr>
              <w:pStyle w:val="TableNumber"/>
            </w:pPr>
            <w:r>
              <w:t>0.08419</w:t>
            </w:r>
          </w:p>
        </w:tc>
        <w:tc>
          <w:tcPr>
            <w:tcW w:w="1550" w:type="dxa"/>
            <w:vAlign w:val="center"/>
          </w:tcPr>
          <w:p>
            <w:pPr>
              <w:pStyle w:val="TableNumber"/>
            </w:pPr>
            <w:r>
              <w:t>0.02481</w:t>
            </w:r>
          </w:p>
        </w:tc>
        <w:tc>
          <w:tcPr>
            <w:tcW w:w="1550" w:type="dxa"/>
            <w:vAlign w:val="center"/>
          </w:tcPr>
          <w:p>
            <w:pPr>
              <w:pStyle w:val="TableNumber"/>
            </w:pPr>
            <w:r>
              <w:t>0.29474</w:t>
            </w:r>
          </w:p>
        </w:tc>
        <w:tc>
          <w:tcPr>
            <w:tcW w:w="1050" w:type="dxa"/>
            <w:vAlign w:val="center"/>
          </w:tcPr>
          <w:p>
            <w:pPr>
              <w:pStyle w:val="TableNumber"/>
            </w:pPr>
            <w:r>
              <w:t>2/13</w:t>
            </w:r>
          </w:p>
        </w:tc>
        <w:tc>
          <w:tcPr>
            <w:tcW w:w="1550" w:type="dxa"/>
            <w:vAlign w:val="center"/>
          </w:tcPr>
          <w:p>
            <w:pPr>
              <w:pStyle w:val="TableNumber"/>
            </w:pPr>
            <w:r>
              <w:t>0.07465</w:t>
            </w:r>
          </w:p>
        </w:tc>
        <w:tc>
          <w:tcPr>
            <w:tcW w:w="1610" w:type="dxa"/>
            <w:vAlign w:val="center"/>
          </w:tcPr>
          <w:p>
            <w:pPr>
              <w:pStyle w:val="TableNumber"/>
            </w:pPr>
            <w:r>
              <w:t>0.8867</w:t>
            </w:r>
          </w:p>
        </w:tc>
      </w:tr>
      <w:tr>
        <w:trPr>
          <w:cantSplit/>
        </w:trPr>
        <w:tc>
          <w:tcPr>
            <w:tcW w:w="650" w:type="dxa"/>
            <w:vAlign w:val="center"/>
          </w:tcPr>
          <w:p>
            <w:pPr>
              <w:pStyle w:val="TableText"/>
            </w:pPr>
            <w:r>
              <w:t>11d</w:t>
            </w:r>
          </w:p>
        </w:tc>
        <w:tc>
          <w:tcPr>
            <w:tcW w:w="1400" w:type="dxa"/>
            <w:vAlign w:val="center"/>
          </w:tcPr>
          <w:p>
            <w:pPr>
              <w:pStyle w:val="TableNumber"/>
            </w:pPr>
            <w:r>
              <w:t>0.08848</w:t>
            </w:r>
          </w:p>
        </w:tc>
        <w:tc>
          <w:tcPr>
            <w:tcW w:w="1550" w:type="dxa"/>
            <w:vAlign w:val="center"/>
          </w:tcPr>
          <w:p>
            <w:pPr>
              <w:pStyle w:val="TableNumber"/>
            </w:pPr>
            <w:r>
              <w:t>0.02614</w:t>
            </w:r>
          </w:p>
        </w:tc>
        <w:tc>
          <w:tcPr>
            <w:tcW w:w="1550" w:type="dxa"/>
            <w:vAlign w:val="center"/>
          </w:tcPr>
          <w:p>
            <w:pPr>
              <w:pStyle w:val="TableNumber"/>
            </w:pPr>
            <w:r>
              <w:t>0.29545</w:t>
            </w:r>
          </w:p>
        </w:tc>
        <w:tc>
          <w:tcPr>
            <w:tcW w:w="1050" w:type="dxa"/>
            <w:vAlign w:val="center"/>
          </w:tcPr>
          <w:p>
            <w:pPr>
              <w:pStyle w:val="TableNumber"/>
            </w:pPr>
            <w:r>
              <w:t>2/13</w:t>
            </w:r>
          </w:p>
        </w:tc>
        <w:tc>
          <w:tcPr>
            <w:tcW w:w="1550" w:type="dxa"/>
            <w:vAlign w:val="center"/>
          </w:tcPr>
          <w:p>
            <w:pPr>
              <w:pStyle w:val="TableNumber"/>
            </w:pPr>
            <w:r>
              <w:t>0.07869</w:t>
            </w:r>
          </w:p>
        </w:tc>
        <w:tc>
          <w:tcPr>
            <w:tcW w:w="1610" w:type="dxa"/>
            <w:vAlign w:val="center"/>
          </w:tcPr>
          <w:p>
            <w:pPr>
              <w:pStyle w:val="TableNumber"/>
            </w:pPr>
            <w:r>
              <w:t>0.8894</w:t>
            </w:r>
          </w:p>
        </w:tc>
      </w:tr>
      <w:tr>
        <w:trPr>
          <w:cantSplit/>
        </w:trPr>
        <w:tc>
          <w:tcPr>
            <w:tcW w:w="650" w:type="dxa"/>
            <w:vAlign w:val="center"/>
          </w:tcPr>
          <w:p>
            <w:pPr>
              <w:pStyle w:val="TableText"/>
            </w:pPr>
            <w:r>
              <w:t>12d</w:t>
            </w:r>
          </w:p>
        </w:tc>
        <w:tc>
          <w:tcPr>
            <w:tcW w:w="1400" w:type="dxa"/>
            <w:vAlign w:val="center"/>
          </w:tcPr>
          <w:p>
            <w:pPr>
              <w:pStyle w:val="TableNumber"/>
            </w:pPr>
            <w:r>
              <w:t>0.09337</w:t>
            </w:r>
          </w:p>
        </w:tc>
        <w:tc>
          <w:tcPr>
            <w:tcW w:w="1550" w:type="dxa"/>
            <w:vAlign w:val="center"/>
          </w:tcPr>
          <w:p>
            <w:pPr>
              <w:pStyle w:val="TableNumber"/>
            </w:pPr>
            <w:r>
              <w:t>0.02748</w:t>
            </w:r>
          </w:p>
        </w:tc>
        <w:tc>
          <w:tcPr>
            <w:tcW w:w="1550" w:type="dxa"/>
            <w:vAlign w:val="center"/>
          </w:tcPr>
          <w:p>
            <w:pPr>
              <w:pStyle w:val="TableNumber"/>
            </w:pPr>
            <w:r>
              <w:t>0.29430</w:t>
            </w:r>
          </w:p>
        </w:tc>
        <w:tc>
          <w:tcPr>
            <w:tcW w:w="1050" w:type="dxa"/>
            <w:vAlign w:val="center"/>
          </w:tcPr>
          <w:p>
            <w:pPr>
              <w:pStyle w:val="TableNumber"/>
            </w:pPr>
            <w:r>
              <w:t>2/13</w:t>
            </w:r>
          </w:p>
        </w:tc>
        <w:tc>
          <w:tcPr>
            <w:tcW w:w="1550" w:type="dxa"/>
            <w:vAlign w:val="center"/>
          </w:tcPr>
          <w:p>
            <w:pPr>
              <w:pStyle w:val="TableNumber"/>
            </w:pPr>
            <w:r>
              <w:t>0.08273</w:t>
            </w:r>
          </w:p>
        </w:tc>
        <w:tc>
          <w:tcPr>
            <w:tcW w:w="1610" w:type="dxa"/>
            <w:vAlign w:val="center"/>
          </w:tcPr>
          <w:p>
            <w:pPr>
              <w:pStyle w:val="TableNumber"/>
            </w:pPr>
            <w:r>
              <w:t>0.8860</w:t>
            </w:r>
          </w:p>
        </w:tc>
      </w:tr>
      <w:tr>
        <w:trPr>
          <w:cantSplit/>
        </w:trPr>
        <w:tc>
          <w:tcPr>
            <w:tcW w:w="650" w:type="dxa"/>
            <w:vAlign w:val="center"/>
          </w:tcPr>
          <w:p>
            <w:pPr>
              <w:pStyle w:val="TableText"/>
            </w:pPr>
            <w:r>
              <w:t>13d</w:t>
            </w:r>
          </w:p>
        </w:tc>
        <w:tc>
          <w:tcPr>
            <w:tcW w:w="1400" w:type="dxa"/>
            <w:vAlign w:val="center"/>
          </w:tcPr>
          <w:p>
            <w:pPr>
              <w:pStyle w:val="TableNumber"/>
            </w:pPr>
            <w:r>
              <w:t>0.09795</w:t>
            </w:r>
          </w:p>
        </w:tc>
        <w:tc>
          <w:tcPr>
            <w:tcW w:w="1550" w:type="dxa"/>
            <w:vAlign w:val="center"/>
          </w:tcPr>
          <w:p>
            <w:pPr>
              <w:pStyle w:val="TableNumber"/>
            </w:pPr>
            <w:r>
              <w:t>0.02876</w:t>
            </w:r>
          </w:p>
        </w:tc>
        <w:tc>
          <w:tcPr>
            <w:tcW w:w="1550" w:type="dxa"/>
            <w:vAlign w:val="center"/>
          </w:tcPr>
          <w:p>
            <w:pPr>
              <w:pStyle w:val="TableNumber"/>
            </w:pPr>
            <w:r>
              <w:t>0.29365</w:t>
            </w:r>
          </w:p>
        </w:tc>
        <w:tc>
          <w:tcPr>
            <w:tcW w:w="1050" w:type="dxa"/>
            <w:vAlign w:val="center"/>
          </w:tcPr>
          <w:p>
            <w:pPr>
              <w:pStyle w:val="TableNumber"/>
            </w:pPr>
            <w:r>
              <w:t>2/13</w:t>
            </w:r>
          </w:p>
        </w:tc>
        <w:tc>
          <w:tcPr>
            <w:tcW w:w="1550" w:type="dxa"/>
            <w:vAlign w:val="center"/>
          </w:tcPr>
          <w:p>
            <w:pPr>
              <w:pStyle w:val="TableNumber"/>
            </w:pPr>
            <w:r>
              <w:t>0.08653</w:t>
            </w:r>
          </w:p>
        </w:tc>
        <w:tc>
          <w:tcPr>
            <w:tcW w:w="1610" w:type="dxa"/>
            <w:vAlign w:val="center"/>
          </w:tcPr>
          <w:p>
            <w:pPr>
              <w:pStyle w:val="TableNumber"/>
            </w:pPr>
            <w:r>
              <w:t>0.8834</w:t>
            </w:r>
          </w:p>
        </w:tc>
      </w:tr>
      <w:tr>
        <w:trPr>
          <w:cantSplit/>
        </w:trPr>
        <w:tc>
          <w:tcPr>
            <w:tcW w:w="650" w:type="dxa"/>
            <w:vAlign w:val="center"/>
          </w:tcPr>
          <w:p>
            <w:pPr>
              <w:pStyle w:val="TableText"/>
            </w:pPr>
            <w:r>
              <w:t>14d</w:t>
            </w:r>
          </w:p>
        </w:tc>
        <w:tc>
          <w:tcPr>
            <w:tcW w:w="1400" w:type="dxa"/>
            <w:vAlign w:val="center"/>
          </w:tcPr>
          <w:p>
            <w:pPr>
              <w:pStyle w:val="TableNumber"/>
            </w:pPr>
            <w:r>
              <w:t>0.10162</w:t>
            </w:r>
          </w:p>
        </w:tc>
        <w:tc>
          <w:tcPr>
            <w:tcW w:w="1550" w:type="dxa"/>
            <w:vAlign w:val="center"/>
          </w:tcPr>
          <w:p>
            <w:pPr>
              <w:pStyle w:val="TableNumber"/>
            </w:pPr>
            <w:r>
              <w:t>0.03002</w:t>
            </w:r>
          </w:p>
        </w:tc>
        <w:tc>
          <w:tcPr>
            <w:tcW w:w="1550" w:type="dxa"/>
            <w:vAlign w:val="center"/>
          </w:tcPr>
          <w:p>
            <w:pPr>
              <w:pStyle w:val="TableNumber"/>
            </w:pPr>
            <w:r>
              <w:t>0.29542</w:t>
            </w:r>
          </w:p>
        </w:tc>
        <w:tc>
          <w:tcPr>
            <w:tcW w:w="1050" w:type="dxa"/>
            <w:vAlign w:val="center"/>
          </w:tcPr>
          <w:p>
            <w:pPr>
              <w:pStyle w:val="TableNumber"/>
            </w:pPr>
            <w:r>
              <w:t>2/13</w:t>
            </w:r>
          </w:p>
        </w:tc>
        <w:tc>
          <w:tcPr>
            <w:tcW w:w="1550" w:type="dxa"/>
            <w:vAlign w:val="center"/>
          </w:tcPr>
          <w:p>
            <w:pPr>
              <w:pStyle w:val="TableNumber"/>
            </w:pPr>
            <w:r>
              <w:t>0.09036</w:t>
            </w:r>
          </w:p>
        </w:tc>
        <w:tc>
          <w:tcPr>
            <w:tcW w:w="1610" w:type="dxa"/>
            <w:vAlign w:val="center"/>
          </w:tcPr>
          <w:p>
            <w:pPr>
              <w:pStyle w:val="TableNumber"/>
            </w:pPr>
            <w:r>
              <w:t>0.8892</w:t>
            </w:r>
          </w:p>
        </w:tc>
      </w:tr>
    </w:tbl>
    <w:p>
      <w:pPr>
        <w:pStyle w:val="a"/>
        <w:spacing w:before="160"/>
      </w:pPr>
      <w:r>
        <w:t>以 train-only robust scale 正規化後，normalized pinball 介於 0.28921 至 0.29557。數值反映相對於各 horizon 訓練尺度的分布誤差；不能據此推論長 horizon 的 raw return error 較小。</w:t>
      </w:r>
    </w:p>
    <w:p>
      <w:pPr>
        <w:pStyle w:val="21"/>
      </w:pPr>
      <w:r>
        <w:t>6.2 q50 與區間校準</w:t>
      </w:r>
    </w:p>
    <w:p>
      <w:pPr>
        <w:pStyle w:val="Decision"/>
        <w:keepNext/>
        <w:spacing w:after="80"/>
      </w:pPr>
      <w:r>
        <w:t xml:space="preserve">表 8｜Raw q50 與區間結果 校準後 q50 不變</w:t>
      </w:r>
    </w:p>
    <w:tbl>
      <w:tblPr>
        <w:tblStyle w:val="BenchmarkTable"/>
        <w:tblW w:w="9360" w:type="dxa"/>
        <w:tblLayout w:type="fixed"/>
      </w:tblPr>
      <w:tblGrid>
        <w:gridCol w:w="700"/>
        <w:gridCol w:w="1600"/>
        <w:gridCol w:w="1650"/>
        <w:gridCol w:w="1650"/>
        <w:gridCol w:w="1800"/>
        <w:gridCol w:w="1960"/>
      </w:tblGrid>
      <w:tr>
        <w:trPr>
          <w:tblHeader/>
        </w:trPr>
        <w:tc>
          <w:tcPr>
            <w:tcW w:w="700" w:type="dxa"/>
            <w:shd w:val="clear" w:fill="DCE6F1"/>
            <w:vAlign w:val="center"/>
          </w:tcPr>
          <w:p>
            <w:pPr>
              <w:pStyle w:val="TableHeader"/>
            </w:pPr>
            <w:r>
              <w:t>H</w:t>
            </w:r>
          </w:p>
        </w:tc>
        <w:tc>
          <w:tcPr>
            <w:tcW w:w="1600" w:type="dxa"/>
            <w:shd w:val="clear" w:fill="DCE6F1"/>
            <w:vAlign w:val="center"/>
          </w:tcPr>
          <w:p>
            <w:pPr>
              <w:pStyle w:val="TableHeader"/>
            </w:pPr>
            <w:r>
              <w:t>q50 Corr.</w:t>
            </w:r>
          </w:p>
        </w:tc>
        <w:tc>
          <w:tcPr>
            <w:tcW w:w="1650" w:type="dxa"/>
            <w:shd w:val="clear" w:fill="DCE6F1"/>
            <w:vAlign w:val="center"/>
          </w:tcPr>
          <w:p>
            <w:pPr>
              <w:pStyle w:val="TableHeader"/>
            </w:pPr>
            <w:r>
              <w:t>方向一致</w:t>
            </w:r>
          </w:p>
        </w:tc>
        <w:tc>
          <w:tcPr>
            <w:tcW w:w="1650" w:type="dxa"/>
            <w:shd w:val="clear" w:fill="DCE6F1"/>
            <w:vAlign w:val="center"/>
          </w:tcPr>
          <w:p>
            <w:pPr>
              <w:pStyle w:val="TableHeader"/>
            </w:pPr>
            <w:r>
              <w:t>Coverage</w:t>
            </w:r>
          </w:p>
        </w:tc>
        <w:tc>
          <w:tcPr>
            <w:tcW w:w="1800" w:type="dxa"/>
            <w:shd w:val="clear" w:fill="DCE6F1"/>
            <w:vAlign w:val="center"/>
          </w:tcPr>
          <w:p>
            <w:pPr>
              <w:pStyle w:val="TableHeader"/>
            </w:pPr>
            <w:r>
              <w:t>低於80% (pp)</w:t>
            </w:r>
          </w:p>
        </w:tc>
        <w:tc>
          <w:tcPr>
            <w:tcW w:w="1960" w:type="dxa"/>
            <w:shd w:val="clear" w:fill="DCE6F1"/>
            <w:vAlign w:val="center"/>
          </w:tcPr>
          <w:p>
            <w:pPr>
              <w:pStyle w:val="TableHeader"/>
            </w:pPr>
            <w:r>
              <w:t>區間寬度</w:t>
            </w:r>
          </w:p>
        </w:tc>
      </w:tr>
      <w:tr>
        <w:trPr>
          <w:cantSplit/>
        </w:trPr>
        <w:tc>
          <w:tcPr>
            <w:tcW w:w="700" w:type="dxa"/>
            <w:vAlign w:val="center"/>
          </w:tcPr>
          <w:p>
            <w:pPr>
              <w:pStyle w:val="TableText"/>
            </w:pPr>
            <w:r>
              <w:t>1d</w:t>
            </w:r>
          </w:p>
        </w:tc>
        <w:tc>
          <w:tcPr>
            <w:tcW w:w="1600" w:type="dxa"/>
            <w:vAlign w:val="center"/>
          </w:tcPr>
          <w:p>
            <w:pPr>
              <w:pStyle w:val="TableNumber"/>
            </w:pPr>
            <w:r>
              <w:t>0.0569</w:t>
            </w:r>
          </w:p>
        </w:tc>
        <w:tc>
          <w:tcPr>
            <w:tcW w:w="1650" w:type="dxa"/>
            <w:vAlign w:val="center"/>
          </w:tcPr>
          <w:p>
            <w:pPr>
              <w:pStyle w:val="TableNumber"/>
            </w:pPr>
            <w:r>
              <w:t>52.59%</w:t>
            </w:r>
          </w:p>
        </w:tc>
        <w:tc>
          <w:tcPr>
            <w:tcW w:w="1650" w:type="dxa"/>
            <w:vAlign w:val="center"/>
          </w:tcPr>
          <w:p>
            <w:pPr>
              <w:pStyle w:val="TableNumber"/>
            </w:pPr>
            <w:r>
              <w:t>78.07%</w:t>
            </w:r>
          </w:p>
        </w:tc>
        <w:tc>
          <w:tcPr>
            <w:tcW w:w="1800" w:type="dxa"/>
            <w:vAlign w:val="center"/>
          </w:tcPr>
          <w:p>
            <w:pPr>
              <w:pStyle w:val="TableNumber"/>
            </w:pPr>
            <w:r>
              <w:t>1.93</w:t>
            </w:r>
          </w:p>
        </w:tc>
        <w:tc>
          <w:tcPr>
            <w:tcW w:w="1960" w:type="dxa"/>
            <w:vAlign w:val="center"/>
          </w:tcPr>
          <w:p>
            <w:pPr>
              <w:pStyle w:val="TableNumber"/>
            </w:pPr>
            <w:r>
              <w:t>0.05955</w:t>
            </w:r>
          </w:p>
        </w:tc>
      </w:tr>
      <w:tr>
        <w:trPr>
          <w:cantSplit/>
        </w:trPr>
        <w:tc>
          <w:tcPr>
            <w:tcW w:w="700" w:type="dxa"/>
            <w:vAlign w:val="center"/>
          </w:tcPr>
          <w:p>
            <w:pPr>
              <w:pStyle w:val="TableText"/>
            </w:pPr>
            <w:r>
              <w:t>2d</w:t>
            </w:r>
          </w:p>
        </w:tc>
        <w:tc>
          <w:tcPr>
            <w:tcW w:w="1600" w:type="dxa"/>
            <w:vAlign w:val="center"/>
          </w:tcPr>
          <w:p>
            <w:pPr>
              <w:pStyle w:val="TableNumber"/>
            </w:pPr>
            <w:r>
              <w:t>0.0614</w:t>
            </w:r>
          </w:p>
        </w:tc>
        <w:tc>
          <w:tcPr>
            <w:tcW w:w="1650" w:type="dxa"/>
            <w:vAlign w:val="center"/>
          </w:tcPr>
          <w:p>
            <w:pPr>
              <w:pStyle w:val="TableNumber"/>
            </w:pPr>
            <w:r>
              <w:t>52.66%</w:t>
            </w:r>
          </w:p>
        </w:tc>
        <w:tc>
          <w:tcPr>
            <w:tcW w:w="1650" w:type="dxa"/>
            <w:vAlign w:val="center"/>
          </w:tcPr>
          <w:p>
            <w:pPr>
              <w:pStyle w:val="TableNumber"/>
            </w:pPr>
            <w:r>
              <w:t>77.19%</w:t>
            </w:r>
          </w:p>
        </w:tc>
        <w:tc>
          <w:tcPr>
            <w:tcW w:w="1800" w:type="dxa"/>
            <w:vAlign w:val="center"/>
          </w:tcPr>
          <w:p>
            <w:pPr>
              <w:pStyle w:val="TableNumber"/>
            </w:pPr>
            <w:r>
              <w:t>2.81</w:t>
            </w:r>
          </w:p>
        </w:tc>
        <w:tc>
          <w:tcPr>
            <w:tcW w:w="1960" w:type="dxa"/>
            <w:vAlign w:val="center"/>
          </w:tcPr>
          <w:p>
            <w:pPr>
              <w:pStyle w:val="TableNumber"/>
            </w:pPr>
            <w:r>
              <w:t>0.08790</w:t>
            </w:r>
          </w:p>
        </w:tc>
      </w:tr>
      <w:tr>
        <w:trPr>
          <w:cantSplit/>
        </w:trPr>
        <w:tc>
          <w:tcPr>
            <w:tcW w:w="700" w:type="dxa"/>
            <w:vAlign w:val="center"/>
          </w:tcPr>
          <w:p>
            <w:pPr>
              <w:pStyle w:val="TableText"/>
            </w:pPr>
            <w:r>
              <w:t>3d</w:t>
            </w:r>
          </w:p>
        </w:tc>
        <w:tc>
          <w:tcPr>
            <w:tcW w:w="1600" w:type="dxa"/>
            <w:vAlign w:val="center"/>
          </w:tcPr>
          <w:p>
            <w:pPr>
              <w:pStyle w:val="TableNumber"/>
            </w:pPr>
            <w:r>
              <w:t>0.0670</w:t>
            </w:r>
          </w:p>
        </w:tc>
        <w:tc>
          <w:tcPr>
            <w:tcW w:w="1650" w:type="dxa"/>
            <w:vAlign w:val="center"/>
          </w:tcPr>
          <w:p>
            <w:pPr>
              <w:pStyle w:val="TableNumber"/>
            </w:pPr>
            <w:r>
              <w:t>52.95%</w:t>
            </w:r>
          </w:p>
        </w:tc>
        <w:tc>
          <w:tcPr>
            <w:tcW w:w="1650" w:type="dxa"/>
            <w:vAlign w:val="center"/>
          </w:tcPr>
          <w:p>
            <w:pPr>
              <w:pStyle w:val="TableNumber"/>
            </w:pPr>
            <w:r>
              <w:t>76.33%</w:t>
            </w:r>
          </w:p>
        </w:tc>
        <w:tc>
          <w:tcPr>
            <w:tcW w:w="1800" w:type="dxa"/>
            <w:vAlign w:val="center"/>
          </w:tcPr>
          <w:p>
            <w:pPr>
              <w:pStyle w:val="TableNumber"/>
            </w:pPr>
            <w:r>
              <w:t>3.67</w:t>
            </w:r>
          </w:p>
        </w:tc>
        <w:tc>
          <w:tcPr>
            <w:tcW w:w="1960" w:type="dxa"/>
            <w:vAlign w:val="center"/>
          </w:tcPr>
          <w:p>
            <w:pPr>
              <w:pStyle w:val="TableNumber"/>
            </w:pPr>
            <w:r>
              <w:t>0.10873</w:t>
            </w:r>
          </w:p>
        </w:tc>
      </w:tr>
      <w:tr>
        <w:trPr>
          <w:cantSplit/>
        </w:trPr>
        <w:tc>
          <w:tcPr>
            <w:tcW w:w="700" w:type="dxa"/>
            <w:vAlign w:val="center"/>
          </w:tcPr>
          <w:p>
            <w:pPr>
              <w:pStyle w:val="TableText"/>
            </w:pPr>
            <w:r>
              <w:t>4d</w:t>
            </w:r>
          </w:p>
        </w:tc>
        <w:tc>
          <w:tcPr>
            <w:tcW w:w="1600" w:type="dxa"/>
            <w:vAlign w:val="center"/>
          </w:tcPr>
          <w:p>
            <w:pPr>
              <w:pStyle w:val="TableNumber"/>
            </w:pPr>
            <w:r>
              <w:t>0.0749</w:t>
            </w:r>
          </w:p>
        </w:tc>
        <w:tc>
          <w:tcPr>
            <w:tcW w:w="1650" w:type="dxa"/>
            <w:vAlign w:val="center"/>
          </w:tcPr>
          <w:p>
            <w:pPr>
              <w:pStyle w:val="TableNumber"/>
            </w:pPr>
            <w:r>
              <w:t>52.91%</w:t>
            </w:r>
          </w:p>
        </w:tc>
        <w:tc>
          <w:tcPr>
            <w:tcW w:w="1650" w:type="dxa"/>
            <w:vAlign w:val="center"/>
          </w:tcPr>
          <w:p>
            <w:pPr>
              <w:pStyle w:val="TableNumber"/>
            </w:pPr>
            <w:r>
              <w:t>76.40%</w:t>
            </w:r>
          </w:p>
        </w:tc>
        <w:tc>
          <w:tcPr>
            <w:tcW w:w="1800" w:type="dxa"/>
            <w:vAlign w:val="center"/>
          </w:tcPr>
          <w:p>
            <w:pPr>
              <w:pStyle w:val="TableNumber"/>
            </w:pPr>
            <w:r>
              <w:t>3.60</w:t>
            </w:r>
          </w:p>
        </w:tc>
        <w:tc>
          <w:tcPr>
            <w:tcW w:w="1960" w:type="dxa"/>
            <w:vAlign w:val="center"/>
          </w:tcPr>
          <w:p>
            <w:pPr>
              <w:pStyle w:val="TableNumber"/>
            </w:pPr>
            <w:r>
              <w:t>0.12864</w:t>
            </w:r>
          </w:p>
        </w:tc>
      </w:tr>
      <w:tr>
        <w:trPr>
          <w:cantSplit/>
        </w:trPr>
        <w:tc>
          <w:tcPr>
            <w:tcW w:w="700" w:type="dxa"/>
            <w:vAlign w:val="center"/>
          </w:tcPr>
          <w:p>
            <w:pPr>
              <w:pStyle w:val="TableText"/>
            </w:pPr>
            <w:r>
              <w:t>5d</w:t>
            </w:r>
          </w:p>
        </w:tc>
        <w:tc>
          <w:tcPr>
            <w:tcW w:w="1600" w:type="dxa"/>
            <w:vAlign w:val="center"/>
          </w:tcPr>
          <w:p>
            <w:pPr>
              <w:pStyle w:val="TableNumber"/>
            </w:pPr>
            <w:r>
              <w:t>0.0833</w:t>
            </w:r>
          </w:p>
        </w:tc>
        <w:tc>
          <w:tcPr>
            <w:tcW w:w="1650" w:type="dxa"/>
            <w:vAlign w:val="center"/>
          </w:tcPr>
          <w:p>
            <w:pPr>
              <w:pStyle w:val="TableNumber"/>
            </w:pPr>
            <w:r>
              <w:t>54.22%</w:t>
            </w:r>
          </w:p>
        </w:tc>
        <w:tc>
          <w:tcPr>
            <w:tcW w:w="1650" w:type="dxa"/>
            <w:vAlign w:val="center"/>
          </w:tcPr>
          <w:p>
            <w:pPr>
              <w:pStyle w:val="TableNumber"/>
            </w:pPr>
            <w:r>
              <w:t>75.88%</w:t>
            </w:r>
          </w:p>
        </w:tc>
        <w:tc>
          <w:tcPr>
            <w:tcW w:w="1800" w:type="dxa"/>
            <w:vAlign w:val="center"/>
          </w:tcPr>
          <w:p>
            <w:pPr>
              <w:pStyle w:val="TableNumber"/>
            </w:pPr>
            <w:r>
              <w:t>4.12</w:t>
            </w:r>
          </w:p>
        </w:tc>
        <w:tc>
          <w:tcPr>
            <w:tcW w:w="1960" w:type="dxa"/>
            <w:vAlign w:val="center"/>
          </w:tcPr>
          <w:p>
            <w:pPr>
              <w:pStyle w:val="TableNumber"/>
            </w:pPr>
            <w:r>
              <w:t>0.14413</w:t>
            </w:r>
          </w:p>
        </w:tc>
      </w:tr>
      <w:tr>
        <w:trPr>
          <w:cantSplit/>
        </w:trPr>
        <w:tc>
          <w:tcPr>
            <w:tcW w:w="700" w:type="dxa"/>
            <w:vAlign w:val="center"/>
          </w:tcPr>
          <w:p>
            <w:pPr>
              <w:pStyle w:val="TableText"/>
            </w:pPr>
            <w:r>
              <w:t>6d</w:t>
            </w:r>
          </w:p>
        </w:tc>
        <w:tc>
          <w:tcPr>
            <w:tcW w:w="1600" w:type="dxa"/>
            <w:vAlign w:val="center"/>
          </w:tcPr>
          <w:p>
            <w:pPr>
              <w:pStyle w:val="TableNumber"/>
            </w:pPr>
            <w:r>
              <w:t>0.0906</w:t>
            </w:r>
          </w:p>
        </w:tc>
        <w:tc>
          <w:tcPr>
            <w:tcW w:w="1650" w:type="dxa"/>
            <w:vAlign w:val="center"/>
          </w:tcPr>
          <w:p>
            <w:pPr>
              <w:pStyle w:val="TableNumber"/>
            </w:pPr>
            <w:r>
              <w:t>54.47%</w:t>
            </w:r>
          </w:p>
        </w:tc>
        <w:tc>
          <w:tcPr>
            <w:tcW w:w="1650" w:type="dxa"/>
            <w:vAlign w:val="center"/>
          </w:tcPr>
          <w:p>
            <w:pPr>
              <w:pStyle w:val="TableNumber"/>
            </w:pPr>
            <w:r>
              <w:t>75.58%</w:t>
            </w:r>
          </w:p>
        </w:tc>
        <w:tc>
          <w:tcPr>
            <w:tcW w:w="1800" w:type="dxa"/>
            <w:vAlign w:val="center"/>
          </w:tcPr>
          <w:p>
            <w:pPr>
              <w:pStyle w:val="TableNumber"/>
            </w:pPr>
            <w:r>
              <w:t>4.42</w:t>
            </w:r>
          </w:p>
        </w:tc>
        <w:tc>
          <w:tcPr>
            <w:tcW w:w="1960" w:type="dxa"/>
            <w:vAlign w:val="center"/>
          </w:tcPr>
          <w:p>
            <w:pPr>
              <w:pStyle w:val="TableNumber"/>
            </w:pPr>
            <w:r>
              <w:t>0.15946</w:t>
            </w:r>
          </w:p>
        </w:tc>
      </w:tr>
      <w:tr>
        <w:trPr>
          <w:cantSplit/>
        </w:trPr>
        <w:tc>
          <w:tcPr>
            <w:tcW w:w="700" w:type="dxa"/>
            <w:vAlign w:val="center"/>
          </w:tcPr>
          <w:p>
            <w:pPr>
              <w:pStyle w:val="TableText"/>
            </w:pPr>
            <w:r>
              <w:t>7d</w:t>
            </w:r>
          </w:p>
        </w:tc>
        <w:tc>
          <w:tcPr>
            <w:tcW w:w="1600" w:type="dxa"/>
            <w:vAlign w:val="center"/>
          </w:tcPr>
          <w:p>
            <w:pPr>
              <w:pStyle w:val="TableNumber"/>
            </w:pPr>
            <w:r>
              <w:t>0.1037</w:t>
            </w:r>
          </w:p>
        </w:tc>
        <w:tc>
          <w:tcPr>
            <w:tcW w:w="1650" w:type="dxa"/>
            <w:vAlign w:val="center"/>
          </w:tcPr>
          <w:p>
            <w:pPr>
              <w:pStyle w:val="TableNumber"/>
            </w:pPr>
            <w:r>
              <w:t>55.13%</w:t>
            </w:r>
          </w:p>
        </w:tc>
        <w:tc>
          <w:tcPr>
            <w:tcW w:w="1650" w:type="dxa"/>
            <w:vAlign w:val="center"/>
          </w:tcPr>
          <w:p>
            <w:pPr>
              <w:pStyle w:val="TableNumber"/>
            </w:pPr>
            <w:r>
              <w:t>74.94%</w:t>
            </w:r>
          </w:p>
        </w:tc>
        <w:tc>
          <w:tcPr>
            <w:tcW w:w="1800" w:type="dxa"/>
            <w:vAlign w:val="center"/>
          </w:tcPr>
          <w:p>
            <w:pPr>
              <w:pStyle w:val="TableNumber"/>
            </w:pPr>
            <w:r>
              <w:t>5.06</w:t>
            </w:r>
          </w:p>
        </w:tc>
        <w:tc>
          <w:tcPr>
            <w:tcW w:w="1960" w:type="dxa"/>
            <w:vAlign w:val="center"/>
          </w:tcPr>
          <w:p>
            <w:pPr>
              <w:pStyle w:val="TableNumber"/>
            </w:pPr>
            <w:r>
              <w:t>0.17197</w:t>
            </w:r>
          </w:p>
        </w:tc>
      </w:tr>
      <w:tr>
        <w:trPr>
          <w:cantSplit/>
        </w:trPr>
        <w:tc>
          <w:tcPr>
            <w:tcW w:w="700" w:type="dxa"/>
            <w:vAlign w:val="center"/>
          </w:tcPr>
          <w:p>
            <w:pPr>
              <w:pStyle w:val="TableText"/>
            </w:pPr>
            <w:r>
              <w:t>8d</w:t>
            </w:r>
          </w:p>
        </w:tc>
        <w:tc>
          <w:tcPr>
            <w:tcW w:w="1600" w:type="dxa"/>
            <w:vAlign w:val="center"/>
          </w:tcPr>
          <w:p>
            <w:pPr>
              <w:pStyle w:val="TableNumber"/>
            </w:pPr>
            <w:r>
              <w:t>0.1081</w:t>
            </w:r>
          </w:p>
        </w:tc>
        <w:tc>
          <w:tcPr>
            <w:tcW w:w="1650" w:type="dxa"/>
            <w:vAlign w:val="center"/>
          </w:tcPr>
          <w:p>
            <w:pPr>
              <w:pStyle w:val="TableNumber"/>
            </w:pPr>
            <w:r>
              <w:t>55.11%</w:t>
            </w:r>
          </w:p>
        </w:tc>
        <w:tc>
          <w:tcPr>
            <w:tcW w:w="1650" w:type="dxa"/>
            <w:vAlign w:val="center"/>
          </w:tcPr>
          <w:p>
            <w:pPr>
              <w:pStyle w:val="TableNumber"/>
            </w:pPr>
            <w:r>
              <w:t>75.58%</w:t>
            </w:r>
          </w:p>
        </w:tc>
        <w:tc>
          <w:tcPr>
            <w:tcW w:w="1800" w:type="dxa"/>
            <w:vAlign w:val="center"/>
          </w:tcPr>
          <w:p>
            <w:pPr>
              <w:pStyle w:val="TableNumber"/>
            </w:pPr>
            <w:r>
              <w:t>4.42</w:t>
            </w:r>
          </w:p>
        </w:tc>
        <w:tc>
          <w:tcPr>
            <w:tcW w:w="1960" w:type="dxa"/>
            <w:vAlign w:val="center"/>
          </w:tcPr>
          <w:p>
            <w:pPr>
              <w:pStyle w:val="TableNumber"/>
            </w:pPr>
            <w:r>
              <w:t>0.18814</w:t>
            </w:r>
          </w:p>
        </w:tc>
      </w:tr>
      <w:tr>
        <w:trPr>
          <w:cantSplit/>
        </w:trPr>
        <w:tc>
          <w:tcPr>
            <w:tcW w:w="700" w:type="dxa"/>
            <w:vAlign w:val="center"/>
          </w:tcPr>
          <w:p>
            <w:pPr>
              <w:pStyle w:val="TableText"/>
            </w:pPr>
            <w:r>
              <w:t>9d</w:t>
            </w:r>
          </w:p>
        </w:tc>
        <w:tc>
          <w:tcPr>
            <w:tcW w:w="1600" w:type="dxa"/>
            <w:vAlign w:val="center"/>
          </w:tcPr>
          <w:p>
            <w:pPr>
              <w:pStyle w:val="TableNumber"/>
            </w:pPr>
            <w:r>
              <w:t>0.1141</w:t>
            </w:r>
          </w:p>
        </w:tc>
        <w:tc>
          <w:tcPr>
            <w:tcW w:w="1650" w:type="dxa"/>
            <w:vAlign w:val="center"/>
          </w:tcPr>
          <w:p>
            <w:pPr>
              <w:pStyle w:val="TableNumber"/>
            </w:pPr>
            <w:r>
              <w:t>55.46%</w:t>
            </w:r>
          </w:p>
        </w:tc>
        <w:tc>
          <w:tcPr>
            <w:tcW w:w="1650" w:type="dxa"/>
            <w:vAlign w:val="center"/>
          </w:tcPr>
          <w:p>
            <w:pPr>
              <w:pStyle w:val="TableNumber"/>
            </w:pPr>
            <w:r>
              <w:t>75.38%</w:t>
            </w:r>
          </w:p>
        </w:tc>
        <w:tc>
          <w:tcPr>
            <w:tcW w:w="1800" w:type="dxa"/>
            <w:vAlign w:val="center"/>
          </w:tcPr>
          <w:p>
            <w:pPr>
              <w:pStyle w:val="TableNumber"/>
            </w:pPr>
            <w:r>
              <w:t>4.62</w:t>
            </w:r>
          </w:p>
        </w:tc>
        <w:tc>
          <w:tcPr>
            <w:tcW w:w="1960" w:type="dxa"/>
            <w:vAlign w:val="center"/>
          </w:tcPr>
          <w:p>
            <w:pPr>
              <w:pStyle w:val="TableNumber"/>
            </w:pPr>
            <w:r>
              <w:t>0.20130</w:t>
            </w:r>
          </w:p>
        </w:tc>
      </w:tr>
      <w:tr>
        <w:trPr>
          <w:cantSplit/>
        </w:trPr>
        <w:tc>
          <w:tcPr>
            <w:tcW w:w="700" w:type="dxa"/>
            <w:vAlign w:val="center"/>
          </w:tcPr>
          <w:p>
            <w:pPr>
              <w:pStyle w:val="TableText"/>
            </w:pPr>
            <w:r>
              <w:t>10d</w:t>
            </w:r>
          </w:p>
        </w:tc>
        <w:tc>
          <w:tcPr>
            <w:tcW w:w="1600" w:type="dxa"/>
            <w:vAlign w:val="center"/>
          </w:tcPr>
          <w:p>
            <w:pPr>
              <w:pStyle w:val="TableNumber"/>
            </w:pPr>
            <w:r>
              <w:t>0.1160</w:t>
            </w:r>
          </w:p>
        </w:tc>
        <w:tc>
          <w:tcPr>
            <w:tcW w:w="1650" w:type="dxa"/>
            <w:vAlign w:val="center"/>
          </w:tcPr>
          <w:p>
            <w:pPr>
              <w:pStyle w:val="TableNumber"/>
            </w:pPr>
            <w:r>
              <w:t>55.51%</w:t>
            </w:r>
          </w:p>
        </w:tc>
        <w:tc>
          <w:tcPr>
            <w:tcW w:w="1650" w:type="dxa"/>
            <w:vAlign w:val="center"/>
          </w:tcPr>
          <w:p>
            <w:pPr>
              <w:pStyle w:val="TableNumber"/>
            </w:pPr>
            <w:r>
              <w:t>75.48%</w:t>
            </w:r>
          </w:p>
        </w:tc>
        <w:tc>
          <w:tcPr>
            <w:tcW w:w="1800" w:type="dxa"/>
            <w:vAlign w:val="center"/>
          </w:tcPr>
          <w:p>
            <w:pPr>
              <w:pStyle w:val="TableNumber"/>
            </w:pPr>
            <w:r>
              <w:t>4.52</w:t>
            </w:r>
          </w:p>
        </w:tc>
        <w:tc>
          <w:tcPr>
            <w:tcW w:w="1960" w:type="dxa"/>
            <w:vAlign w:val="center"/>
          </w:tcPr>
          <w:p>
            <w:pPr>
              <w:pStyle w:val="TableNumber"/>
            </w:pPr>
            <w:r>
              <w:t>0.21398</w:t>
            </w:r>
          </w:p>
        </w:tc>
      </w:tr>
      <w:tr>
        <w:trPr>
          <w:cantSplit/>
        </w:trPr>
        <w:tc>
          <w:tcPr>
            <w:tcW w:w="700" w:type="dxa"/>
            <w:vAlign w:val="center"/>
          </w:tcPr>
          <w:p>
            <w:pPr>
              <w:pStyle w:val="TableText"/>
            </w:pPr>
            <w:r>
              <w:t>11d</w:t>
            </w:r>
          </w:p>
        </w:tc>
        <w:tc>
          <w:tcPr>
            <w:tcW w:w="1600" w:type="dxa"/>
            <w:vAlign w:val="center"/>
          </w:tcPr>
          <w:p>
            <w:pPr>
              <w:pStyle w:val="TableNumber"/>
            </w:pPr>
            <w:r>
              <w:t>0.1207</w:t>
            </w:r>
          </w:p>
        </w:tc>
        <w:tc>
          <w:tcPr>
            <w:tcW w:w="1650" w:type="dxa"/>
            <w:vAlign w:val="center"/>
          </w:tcPr>
          <w:p>
            <w:pPr>
              <w:pStyle w:val="TableNumber"/>
            </w:pPr>
            <w:r>
              <w:t>55.96%</w:t>
            </w:r>
          </w:p>
        </w:tc>
        <w:tc>
          <w:tcPr>
            <w:tcW w:w="1650" w:type="dxa"/>
            <w:vAlign w:val="center"/>
          </w:tcPr>
          <w:p>
            <w:pPr>
              <w:pStyle w:val="TableNumber"/>
            </w:pPr>
            <w:r>
              <w:t>75.43%</w:t>
            </w:r>
          </w:p>
        </w:tc>
        <w:tc>
          <w:tcPr>
            <w:tcW w:w="1800" w:type="dxa"/>
            <w:vAlign w:val="center"/>
          </w:tcPr>
          <w:p>
            <w:pPr>
              <w:pStyle w:val="TableNumber"/>
            </w:pPr>
            <w:r>
              <w:t>4.57</w:t>
            </w:r>
          </w:p>
        </w:tc>
        <w:tc>
          <w:tcPr>
            <w:tcW w:w="1960" w:type="dxa"/>
            <w:vAlign w:val="center"/>
          </w:tcPr>
          <w:p>
            <w:pPr>
              <w:pStyle w:val="TableNumber"/>
            </w:pPr>
            <w:r>
              <w:t>0.22576</w:t>
            </w:r>
          </w:p>
        </w:tc>
      </w:tr>
      <w:tr>
        <w:trPr>
          <w:cantSplit/>
        </w:trPr>
        <w:tc>
          <w:tcPr>
            <w:tcW w:w="700" w:type="dxa"/>
            <w:vAlign w:val="center"/>
          </w:tcPr>
          <w:p>
            <w:pPr>
              <w:pStyle w:val="TableText"/>
            </w:pPr>
            <w:r>
              <w:t>12d</w:t>
            </w:r>
          </w:p>
        </w:tc>
        <w:tc>
          <w:tcPr>
            <w:tcW w:w="1600" w:type="dxa"/>
            <w:vAlign w:val="center"/>
          </w:tcPr>
          <w:p>
            <w:pPr>
              <w:pStyle w:val="TableNumber"/>
            </w:pPr>
            <w:r>
              <w:t>0.1236</w:t>
            </w:r>
          </w:p>
        </w:tc>
        <w:tc>
          <w:tcPr>
            <w:tcW w:w="1650" w:type="dxa"/>
            <w:vAlign w:val="center"/>
          </w:tcPr>
          <w:p>
            <w:pPr>
              <w:pStyle w:val="TableNumber"/>
            </w:pPr>
            <w:r>
              <w:t>55.93%</w:t>
            </w:r>
          </w:p>
        </w:tc>
        <w:tc>
          <w:tcPr>
            <w:tcW w:w="1650" w:type="dxa"/>
            <w:vAlign w:val="center"/>
          </w:tcPr>
          <w:p>
            <w:pPr>
              <w:pStyle w:val="TableNumber"/>
            </w:pPr>
            <w:r>
              <w:t>75.13%</w:t>
            </w:r>
          </w:p>
        </w:tc>
        <w:tc>
          <w:tcPr>
            <w:tcW w:w="1800" w:type="dxa"/>
            <w:vAlign w:val="center"/>
          </w:tcPr>
          <w:p>
            <w:pPr>
              <w:pStyle w:val="TableNumber"/>
            </w:pPr>
            <w:r>
              <w:t>4.87</w:t>
            </w:r>
          </w:p>
        </w:tc>
        <w:tc>
          <w:tcPr>
            <w:tcW w:w="1960" w:type="dxa"/>
            <w:vAlign w:val="center"/>
          </w:tcPr>
          <w:p>
            <w:pPr>
              <w:pStyle w:val="TableNumber"/>
            </w:pPr>
            <w:r>
              <w:t>0.23637</w:t>
            </w:r>
          </w:p>
        </w:tc>
      </w:tr>
      <w:tr>
        <w:trPr>
          <w:cantSplit/>
        </w:trPr>
        <w:tc>
          <w:tcPr>
            <w:tcW w:w="700" w:type="dxa"/>
            <w:vAlign w:val="center"/>
          </w:tcPr>
          <w:p>
            <w:pPr>
              <w:pStyle w:val="TableText"/>
            </w:pPr>
            <w:r>
              <w:t>13d</w:t>
            </w:r>
          </w:p>
        </w:tc>
        <w:tc>
          <w:tcPr>
            <w:tcW w:w="1600" w:type="dxa"/>
            <w:vAlign w:val="center"/>
          </w:tcPr>
          <w:p>
            <w:pPr>
              <w:pStyle w:val="TableNumber"/>
            </w:pPr>
            <w:r>
              <w:t>0.1227</w:t>
            </w:r>
          </w:p>
        </w:tc>
        <w:tc>
          <w:tcPr>
            <w:tcW w:w="1650" w:type="dxa"/>
            <w:vAlign w:val="center"/>
          </w:tcPr>
          <w:p>
            <w:pPr>
              <w:pStyle w:val="TableNumber"/>
            </w:pPr>
            <w:r>
              <w:t>56.43%</w:t>
            </w:r>
          </w:p>
        </w:tc>
        <w:tc>
          <w:tcPr>
            <w:tcW w:w="1650" w:type="dxa"/>
            <w:vAlign w:val="center"/>
          </w:tcPr>
          <w:p>
            <w:pPr>
              <w:pStyle w:val="TableNumber"/>
            </w:pPr>
            <w:r>
              <w:t>74.83%</w:t>
            </w:r>
          </w:p>
        </w:tc>
        <w:tc>
          <w:tcPr>
            <w:tcW w:w="1800" w:type="dxa"/>
            <w:vAlign w:val="center"/>
          </w:tcPr>
          <w:p>
            <w:pPr>
              <w:pStyle w:val="TableNumber"/>
            </w:pPr>
            <w:r>
              <w:t>5.17</w:t>
            </w:r>
          </w:p>
        </w:tc>
        <w:tc>
          <w:tcPr>
            <w:tcW w:w="1960" w:type="dxa"/>
            <w:vAlign w:val="center"/>
          </w:tcPr>
          <w:p>
            <w:pPr>
              <w:pStyle w:val="TableNumber"/>
            </w:pPr>
            <w:r>
              <w:t>0.24662</w:t>
            </w:r>
          </w:p>
        </w:tc>
      </w:tr>
      <w:tr>
        <w:trPr>
          <w:cantSplit/>
        </w:trPr>
        <w:tc>
          <w:tcPr>
            <w:tcW w:w="700" w:type="dxa"/>
            <w:vAlign w:val="center"/>
          </w:tcPr>
          <w:p>
            <w:pPr>
              <w:pStyle w:val="TableText"/>
            </w:pPr>
            <w:r>
              <w:t>14d</w:t>
            </w:r>
          </w:p>
        </w:tc>
        <w:tc>
          <w:tcPr>
            <w:tcW w:w="1600" w:type="dxa"/>
            <w:vAlign w:val="center"/>
          </w:tcPr>
          <w:p>
            <w:pPr>
              <w:pStyle w:val="TableNumber"/>
            </w:pPr>
            <w:r>
              <w:t>0.1268</w:t>
            </w:r>
          </w:p>
        </w:tc>
        <w:tc>
          <w:tcPr>
            <w:tcW w:w="1650" w:type="dxa"/>
            <w:vAlign w:val="center"/>
          </w:tcPr>
          <w:p>
            <w:pPr>
              <w:pStyle w:val="TableNumber"/>
            </w:pPr>
            <w:r>
              <w:t>56.54%</w:t>
            </w:r>
          </w:p>
        </w:tc>
        <w:tc>
          <w:tcPr>
            <w:tcW w:w="1650" w:type="dxa"/>
            <w:vAlign w:val="center"/>
          </w:tcPr>
          <w:p>
            <w:pPr>
              <w:pStyle w:val="TableNumber"/>
            </w:pPr>
            <w:r>
              <w:t>74.96%</w:t>
            </w:r>
          </w:p>
        </w:tc>
        <w:tc>
          <w:tcPr>
            <w:tcW w:w="1800" w:type="dxa"/>
            <w:vAlign w:val="center"/>
          </w:tcPr>
          <w:p>
            <w:pPr>
              <w:pStyle w:val="TableNumber"/>
            </w:pPr>
            <w:r>
              <w:t>5.04</w:t>
            </w:r>
          </w:p>
        </w:tc>
        <w:tc>
          <w:tcPr>
            <w:tcW w:w="1960" w:type="dxa"/>
            <w:vAlign w:val="center"/>
          </w:tcPr>
          <w:p>
            <w:pPr>
              <w:pStyle w:val="TableNumber"/>
            </w:pPr>
            <w:r>
              <w:t>0.25873</w:t>
            </w:r>
          </w:p>
        </w:tc>
      </w:tr>
    </w:tbl>
    <w:p>
      <w:pPr>
        <w:pStyle w:val="a"/>
        <w:spacing w:before="160"/>
      </w:pPr>
      <w:r>
        <w:t xml:space="preserve">表 8 是 raw 結果。下列新增表完整並列 raw 與 calibrated，並加入固定分布 baseline；原始 q50 MAE、correlation 與方向一致率保留且校準後完全相同。不能把區間校準改善解讀成 q50 或方向預測改善。</w:t>
      </w:r>
    </w:p>
    <w:p>
      <w:pPr>
        <w:pStyle w:val="21"/>
      </w:pPr>
      <w:r>
        <w:t xml:space="preserve">6.2a 校準前後的完整分布比較</w:t>
      </w:r>
    </w:p>
    <w:p>
      <w:pPr>
        <w:pStyle w:val="Decision"/>
      </w:pPr>
      <w:r>
        <w:t xml:space="preserve">表 8a｜每格第一行 raw 第二行 calibrated</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pPr>
            <w:r>
              <w:t xml:space="preserve">H</w:t>
            </w:r>
          </w:p>
        </w:tc>
        <w:tc>
          <w:tcPr>
            <w:tcW w:w="2075" w:type="dxa"/>
            <w:shd w:fill="DCE6F1"/>
            <w:vAlign w:val="center"/>
          </w:tcPr>
          <w:p>
            <w:pPr>
              <w:pStyle w:val="TableHeader"/>
            </w:pPr>
            <w:r>
              <w:t xml:space="preserve">N pinball</w:t>
              <w:br/>
              <w:t xml:space="preserve">raw / calibrated</w:t>
            </w:r>
          </w:p>
        </w:tc>
        <w:tc>
          <w:tcPr>
            <w:tcW w:w="2075" w:type="dxa"/>
            <w:shd w:fill="DCE6F1"/>
            <w:vAlign w:val="center"/>
          </w:tcPr>
          <w:p>
            <w:pPr>
              <w:pStyle w:val="TableHeader"/>
            </w:pPr>
            <w:r>
              <w:t xml:space="preserve">Coverage</w:t>
              <w:br/>
              <w:t xml:space="preserve">raw / calibrated</w:t>
            </w:r>
          </w:p>
        </w:tc>
        <w:tc>
          <w:tcPr>
            <w:tcW w:w="2200" w:type="dxa"/>
            <w:shd w:fill="DCE6F1"/>
            <w:vAlign w:val="center"/>
          </w:tcPr>
          <w:p>
            <w:pPr>
              <w:pStyle w:val="TableHeader"/>
            </w:pPr>
            <w:r>
              <w:t xml:space="preserve">Coverage error pp</w:t>
              <w:br/>
              <w:t xml:space="preserve">raw / calibrated</w:t>
            </w:r>
          </w:p>
        </w:tc>
        <w:tc>
          <w:tcPr>
            <w:tcW w:w="2360" w:type="dxa"/>
            <w:shd w:fill="DCE6F1"/>
            <w:vAlign w:val="center"/>
          </w:tcPr>
          <w:p>
            <w:pPr>
              <w:pStyle w:val="TableHeader"/>
            </w:pPr>
            <w:r>
              <w:t xml:space="preserve">區間寬度</w:t>
              <w:br/>
              <w:t xml:space="preserve">raw / calibrated</w:t>
            </w:r>
          </w:p>
        </w:tc>
      </w:tr>
      <w:tr>
        <w:trPr>
          <w:cantSplit/>
        </w:trPr>
        <w:tc>
          <w:tcPr>
            <w:tcW w:w="650" w:type="dxa"/>
            <w:shd w:fill="FFFFFF"/>
            <w:vAlign w:val="center"/>
          </w:tcPr>
          <w:p>
            <w:pPr>
              <w:pStyle w:val="TableNumber"/>
            </w:pPr>
            <w:r>
              <w:t xml:space="preserve">整體</w:t>
            </w:r>
          </w:p>
        </w:tc>
        <w:tc>
          <w:tcPr>
            <w:tcW w:w="2075" w:type="dxa"/>
            <w:shd w:fill="FFFFFF"/>
            <w:vAlign w:val="center"/>
          </w:tcPr>
          <w:p>
            <w:pPr>
              <w:pStyle w:val="TableNumber"/>
            </w:pPr>
            <w:r>
              <w:t xml:space="preserve">0.293823</w:t>
              <w:br/>
              <w:t xml:space="preserve">0.293445</w:t>
            </w:r>
          </w:p>
        </w:tc>
        <w:tc>
          <w:tcPr>
            <w:tcW w:w="2075" w:type="dxa"/>
            <w:shd w:fill="FFFFFF"/>
            <w:vAlign w:val="center"/>
          </w:tcPr>
          <w:p>
            <w:pPr>
              <w:pStyle w:val="TableNumber"/>
            </w:pPr>
            <w:r>
              <w:t xml:space="preserve">75.7978%</w:t>
              <w:br/>
              <w:t xml:space="preserve">77.1449%</w:t>
            </w:r>
          </w:p>
        </w:tc>
        <w:tc>
          <w:tcPr>
            <w:tcW w:w="2200" w:type="dxa"/>
            <w:shd w:fill="FFFFFF"/>
            <w:vAlign w:val="center"/>
          </w:tcPr>
          <w:p>
            <w:pPr>
              <w:pStyle w:val="TableNumber"/>
            </w:pPr>
            <w:r>
              <w:t xml:space="preserve">4.2022</w:t>
              <w:br/>
              <w:t xml:space="preserve">2.8551</w:t>
            </w:r>
          </w:p>
        </w:tc>
        <w:tc>
          <w:tcPr>
            <w:tcW w:w="2360" w:type="dxa"/>
            <w:shd w:fill="FFFFFF"/>
            <w:vAlign w:val="center"/>
          </w:tcPr>
          <w:p>
            <w:pPr>
              <w:pStyle w:val="TableNumber"/>
            </w:pPr>
            <w:r>
              <w:t xml:space="preserve">0.173663</w:t>
              <w:br/>
              <w:t xml:space="preserve">0.178931</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0.289210</w:t>
              <w:br/>
              <w:t xml:space="preserve">0.289274</w:t>
            </w:r>
          </w:p>
        </w:tc>
        <w:tc>
          <w:tcPr>
            <w:tcW w:w="2075" w:type="dxa"/>
            <w:shd w:fill="F7F9FC"/>
            <w:vAlign w:val="center"/>
          </w:tcPr>
          <w:p>
            <w:pPr>
              <w:pStyle w:val="TableNumber"/>
            </w:pPr>
            <w:r>
              <w:t xml:space="preserve">78.0661%</w:t>
              <w:br/>
              <w:t xml:space="preserve">78.9586%</w:t>
            </w:r>
          </w:p>
        </w:tc>
        <w:tc>
          <w:tcPr>
            <w:tcW w:w="2200" w:type="dxa"/>
            <w:shd w:fill="F7F9FC"/>
            <w:vAlign w:val="center"/>
          </w:tcPr>
          <w:p>
            <w:pPr>
              <w:pStyle w:val="TableNumber"/>
            </w:pPr>
            <w:r>
              <w:t xml:space="preserve">1.9339</w:t>
              <w:br/>
              <w:t xml:space="preserve">1.0414</w:t>
            </w:r>
          </w:p>
        </w:tc>
        <w:tc>
          <w:tcPr>
            <w:tcW w:w="2360" w:type="dxa"/>
            <w:shd w:fill="F7F9FC"/>
            <w:vAlign w:val="center"/>
          </w:tcPr>
          <w:p>
            <w:pPr>
              <w:pStyle w:val="TableNumber"/>
            </w:pPr>
            <w:r>
              <w:t xml:space="preserve">0.059548</w:t>
              <w:br/>
              <w:t xml:space="preserve">0.060967</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0.292728</w:t>
              <w:br/>
              <w:t xml:space="preserve">0.292585</w:t>
            </w:r>
          </w:p>
        </w:tc>
        <w:tc>
          <w:tcPr>
            <w:tcW w:w="2075" w:type="dxa"/>
            <w:shd w:fill="FFFFFF"/>
            <w:vAlign w:val="center"/>
          </w:tcPr>
          <w:p>
            <w:pPr>
              <w:pStyle w:val="TableNumber"/>
            </w:pPr>
            <w:r>
              <w:t xml:space="preserve">77.1892%</w:t>
              <w:br/>
              <w:t xml:space="preserve">78.2190%</w:t>
            </w:r>
          </w:p>
        </w:tc>
        <w:tc>
          <w:tcPr>
            <w:tcW w:w="2200" w:type="dxa"/>
            <w:shd w:fill="FFFFFF"/>
            <w:vAlign w:val="center"/>
          </w:tcPr>
          <w:p>
            <w:pPr>
              <w:pStyle w:val="TableNumber"/>
            </w:pPr>
            <w:r>
              <w:t xml:space="preserve">2.8108</w:t>
              <w:br/>
              <w:t xml:space="preserve">1.7810</w:t>
            </w:r>
          </w:p>
        </w:tc>
        <w:tc>
          <w:tcPr>
            <w:tcW w:w="2360" w:type="dxa"/>
            <w:shd w:fill="FFFFFF"/>
            <w:vAlign w:val="center"/>
          </w:tcPr>
          <w:p>
            <w:pPr>
              <w:pStyle w:val="TableNumber"/>
            </w:pPr>
            <w:r>
              <w:t xml:space="preserve">0.087901</w:t>
              <w:br/>
              <w:t xml:space="preserve">0.090198</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0.294884</w:t>
              <w:br/>
              <w:t xml:space="preserve">0.294571</w:t>
            </w:r>
          </w:p>
        </w:tc>
        <w:tc>
          <w:tcPr>
            <w:tcW w:w="2075" w:type="dxa"/>
            <w:shd w:fill="F7F9FC"/>
            <w:vAlign w:val="center"/>
          </w:tcPr>
          <w:p>
            <w:pPr>
              <w:pStyle w:val="TableNumber"/>
            </w:pPr>
            <w:r>
              <w:t xml:space="preserve">76.3345%</w:t>
              <w:br/>
              <w:t xml:space="preserve">77.3545%</w:t>
            </w:r>
          </w:p>
        </w:tc>
        <w:tc>
          <w:tcPr>
            <w:tcW w:w="2200" w:type="dxa"/>
            <w:shd w:fill="F7F9FC"/>
            <w:vAlign w:val="center"/>
          </w:tcPr>
          <w:p>
            <w:pPr>
              <w:pStyle w:val="TableNumber"/>
            </w:pPr>
            <w:r>
              <w:t xml:space="preserve">3.6655</w:t>
              <w:br/>
              <w:t xml:space="preserve">2.6455</w:t>
            </w:r>
          </w:p>
        </w:tc>
        <w:tc>
          <w:tcPr>
            <w:tcW w:w="2360" w:type="dxa"/>
            <w:shd w:fill="F7F9FC"/>
            <w:vAlign w:val="center"/>
          </w:tcPr>
          <w:p>
            <w:pPr>
              <w:pStyle w:val="TableNumber"/>
            </w:pPr>
            <w:r>
              <w:t xml:space="preserve">0.108726</w:t>
              <w:br/>
              <w:t xml:space="preserve">0.111309</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0.293304</w:t>
              <w:br/>
              <w:t xml:space="preserve">0.293024</w:t>
            </w:r>
          </w:p>
        </w:tc>
        <w:tc>
          <w:tcPr>
            <w:tcW w:w="2075" w:type="dxa"/>
            <w:shd w:fill="FFFFFF"/>
            <w:vAlign w:val="center"/>
          </w:tcPr>
          <w:p>
            <w:pPr>
              <w:pStyle w:val="TableNumber"/>
            </w:pPr>
            <w:r>
              <w:t xml:space="preserve">76.3987%</w:t>
              <w:br/>
              <w:t xml:space="preserve">77.3564%</w:t>
            </w:r>
          </w:p>
        </w:tc>
        <w:tc>
          <w:tcPr>
            <w:tcW w:w="2200" w:type="dxa"/>
            <w:shd w:fill="FFFFFF"/>
            <w:vAlign w:val="center"/>
          </w:tcPr>
          <w:p>
            <w:pPr>
              <w:pStyle w:val="TableNumber"/>
            </w:pPr>
            <w:r>
              <w:t xml:space="preserve">3.6013</w:t>
              <w:br/>
              <w:t xml:space="preserve">2.6436</w:t>
            </w:r>
          </w:p>
        </w:tc>
        <w:tc>
          <w:tcPr>
            <w:tcW w:w="2360" w:type="dxa"/>
            <w:shd w:fill="FFFFFF"/>
            <w:vAlign w:val="center"/>
          </w:tcPr>
          <w:p>
            <w:pPr>
              <w:pStyle w:val="TableNumber"/>
            </w:pPr>
            <w:r>
              <w:t xml:space="preserve">0.128641</w:t>
              <w:br/>
              <w:t xml:space="preserve">0.131170</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0.291401</w:t>
              <w:br/>
              <w:t xml:space="preserve">0.290828</w:t>
            </w:r>
          </w:p>
        </w:tc>
        <w:tc>
          <w:tcPr>
            <w:tcW w:w="2075" w:type="dxa"/>
            <w:shd w:fill="F7F9FC"/>
            <w:vAlign w:val="center"/>
          </w:tcPr>
          <w:p>
            <w:pPr>
              <w:pStyle w:val="TableNumber"/>
            </w:pPr>
            <w:r>
              <w:t xml:space="preserve">75.8801%</w:t>
              <w:br/>
              <w:t xml:space="preserve">77.2791%</w:t>
            </w:r>
          </w:p>
        </w:tc>
        <w:tc>
          <w:tcPr>
            <w:tcW w:w="2200" w:type="dxa"/>
            <w:shd w:fill="F7F9FC"/>
            <w:vAlign w:val="center"/>
          </w:tcPr>
          <w:p>
            <w:pPr>
              <w:pStyle w:val="TableNumber"/>
            </w:pPr>
            <w:r>
              <w:t xml:space="preserve">4.1199</w:t>
              <w:br/>
              <w:t xml:space="preserve">2.7209</w:t>
            </w:r>
          </w:p>
        </w:tc>
        <w:tc>
          <w:tcPr>
            <w:tcW w:w="2360" w:type="dxa"/>
            <w:shd w:fill="F7F9FC"/>
            <w:vAlign w:val="center"/>
          </w:tcPr>
          <w:p>
            <w:pPr>
              <w:pStyle w:val="TableNumber"/>
            </w:pPr>
            <w:r>
              <w:t xml:space="preserve">0.144128</w:t>
              <w:br/>
              <w:t xml:space="preserve">0.148808</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0.293895</w:t>
              <w:br/>
              <w:t xml:space="preserve">0.293544</w:t>
            </w:r>
          </w:p>
        </w:tc>
        <w:tc>
          <w:tcPr>
            <w:tcW w:w="2075" w:type="dxa"/>
            <w:shd w:fill="FFFFFF"/>
            <w:vAlign w:val="center"/>
          </w:tcPr>
          <w:p>
            <w:pPr>
              <w:pStyle w:val="TableNumber"/>
            </w:pPr>
            <w:r>
              <w:t xml:space="preserve">75.5769%</w:t>
              <w:br/>
              <w:t xml:space="preserve">76.9619%</w:t>
            </w:r>
          </w:p>
        </w:tc>
        <w:tc>
          <w:tcPr>
            <w:tcW w:w="2200" w:type="dxa"/>
            <w:shd w:fill="FFFFFF"/>
            <w:vAlign w:val="center"/>
          </w:tcPr>
          <w:p>
            <w:pPr>
              <w:pStyle w:val="TableNumber"/>
            </w:pPr>
            <w:r>
              <w:t xml:space="preserve">4.4231</w:t>
              <w:br/>
              <w:t xml:space="preserve">3.0381</w:t>
            </w:r>
          </w:p>
        </w:tc>
        <w:tc>
          <w:tcPr>
            <w:tcW w:w="2360" w:type="dxa"/>
            <w:shd w:fill="FFFFFF"/>
            <w:vAlign w:val="center"/>
          </w:tcPr>
          <w:p>
            <w:pPr>
              <w:pStyle w:val="TableNumber"/>
            </w:pPr>
            <w:r>
              <w:t xml:space="preserve">0.159459</w:t>
              <w:br/>
              <w:t xml:space="preserve">0.164210</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0.294264</w:t>
              <w:br/>
              <w:t xml:space="preserve">0.293744</w:t>
            </w:r>
          </w:p>
        </w:tc>
        <w:tc>
          <w:tcPr>
            <w:tcW w:w="2075" w:type="dxa"/>
            <w:shd w:fill="F7F9FC"/>
            <w:vAlign w:val="center"/>
          </w:tcPr>
          <w:p>
            <w:pPr>
              <w:pStyle w:val="TableNumber"/>
            </w:pPr>
            <w:r>
              <w:t xml:space="preserve">74.9412%</w:t>
              <w:br/>
              <w:t xml:space="preserve">76.6227%</w:t>
            </w:r>
          </w:p>
        </w:tc>
        <w:tc>
          <w:tcPr>
            <w:tcW w:w="2200" w:type="dxa"/>
            <w:shd w:fill="F7F9FC"/>
            <w:vAlign w:val="center"/>
          </w:tcPr>
          <w:p>
            <w:pPr>
              <w:pStyle w:val="TableNumber"/>
            </w:pPr>
            <w:r>
              <w:t xml:space="preserve">5.0588</w:t>
              <w:br/>
              <w:t xml:space="preserve">3.3773</w:t>
            </w:r>
          </w:p>
        </w:tc>
        <w:tc>
          <w:tcPr>
            <w:tcW w:w="2360" w:type="dxa"/>
            <w:shd w:fill="F7F9FC"/>
            <w:vAlign w:val="center"/>
          </w:tcPr>
          <w:p>
            <w:pPr>
              <w:pStyle w:val="TableNumber"/>
            </w:pPr>
            <w:r>
              <w:t xml:space="preserve">0.171965</w:t>
              <w:br/>
              <w:t xml:space="preserve">0.177962</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0.294717</w:t>
              <w:br/>
              <w:t xml:space="preserve">0.294434</w:t>
            </w:r>
          </w:p>
        </w:tc>
        <w:tc>
          <w:tcPr>
            <w:tcW w:w="2075" w:type="dxa"/>
            <w:shd w:fill="FFFFFF"/>
            <w:vAlign w:val="center"/>
          </w:tcPr>
          <w:p>
            <w:pPr>
              <w:pStyle w:val="TableNumber"/>
            </w:pPr>
            <w:r>
              <w:t xml:space="preserve">75.5766%</w:t>
              <w:br/>
              <w:t xml:space="preserve">76.6583%</w:t>
            </w:r>
          </w:p>
        </w:tc>
        <w:tc>
          <w:tcPr>
            <w:tcW w:w="2200" w:type="dxa"/>
            <w:shd w:fill="FFFFFF"/>
            <w:vAlign w:val="center"/>
          </w:tcPr>
          <w:p>
            <w:pPr>
              <w:pStyle w:val="TableNumber"/>
            </w:pPr>
            <w:r>
              <w:t xml:space="preserve">4.4234</w:t>
              <w:br/>
              <w:t xml:space="preserve">3.3417</w:t>
            </w:r>
          </w:p>
        </w:tc>
        <w:tc>
          <w:tcPr>
            <w:tcW w:w="2360" w:type="dxa"/>
            <w:shd w:fill="FFFFFF"/>
            <w:vAlign w:val="center"/>
          </w:tcPr>
          <w:p>
            <w:pPr>
              <w:pStyle w:val="TableNumber"/>
            </w:pPr>
            <w:r>
              <w:t xml:space="preserve">0.188144</w:t>
              <w:br/>
              <w:t xml:space="preserve">0.192074</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0.295575</w:t>
              <w:br/>
              <w:t xml:space="preserve">0.295242</w:t>
            </w:r>
          </w:p>
        </w:tc>
        <w:tc>
          <w:tcPr>
            <w:tcW w:w="2075" w:type="dxa"/>
            <w:shd w:fill="F7F9FC"/>
            <w:vAlign w:val="center"/>
          </w:tcPr>
          <w:p>
            <w:pPr>
              <w:pStyle w:val="TableNumber"/>
            </w:pPr>
            <w:r>
              <w:t xml:space="preserve">75.3842%</w:t>
              <w:br/>
              <w:t xml:space="preserve">76.8226%</w:t>
            </w:r>
          </w:p>
        </w:tc>
        <w:tc>
          <w:tcPr>
            <w:tcW w:w="2200" w:type="dxa"/>
            <w:shd w:fill="F7F9FC"/>
            <w:vAlign w:val="center"/>
          </w:tcPr>
          <w:p>
            <w:pPr>
              <w:pStyle w:val="TableNumber"/>
            </w:pPr>
            <w:r>
              <w:t xml:space="preserve">4.6158</w:t>
              <w:br/>
              <w:t xml:space="preserve">3.1774</w:t>
            </w:r>
          </w:p>
        </w:tc>
        <w:tc>
          <w:tcPr>
            <w:tcW w:w="2360" w:type="dxa"/>
            <w:shd w:fill="F7F9FC"/>
            <w:vAlign w:val="center"/>
          </w:tcPr>
          <w:p>
            <w:pPr>
              <w:pStyle w:val="TableNumber"/>
            </w:pPr>
            <w:r>
              <w:t xml:space="preserve">0.201300</w:t>
              <w:br/>
              <w:t xml:space="preserve">0.207489</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0.294739</w:t>
              <w:br/>
              <w:t xml:space="preserve">0.294293</w:t>
            </w:r>
          </w:p>
        </w:tc>
        <w:tc>
          <w:tcPr>
            <w:tcW w:w="2075" w:type="dxa"/>
            <w:shd w:fill="FFFFFF"/>
            <w:vAlign w:val="center"/>
          </w:tcPr>
          <w:p>
            <w:pPr>
              <w:pStyle w:val="TableNumber"/>
            </w:pPr>
            <w:r>
              <w:t xml:space="preserve">75.4768%</w:t>
              <w:br/>
              <w:t xml:space="preserve">76.8095%</w:t>
            </w:r>
          </w:p>
        </w:tc>
        <w:tc>
          <w:tcPr>
            <w:tcW w:w="2200" w:type="dxa"/>
            <w:shd w:fill="FFFFFF"/>
            <w:vAlign w:val="center"/>
          </w:tcPr>
          <w:p>
            <w:pPr>
              <w:pStyle w:val="TableNumber"/>
            </w:pPr>
            <w:r>
              <w:t xml:space="preserve">4.5232</w:t>
              <w:br/>
              <w:t xml:space="preserve">3.1905</w:t>
            </w:r>
          </w:p>
        </w:tc>
        <w:tc>
          <w:tcPr>
            <w:tcW w:w="2360" w:type="dxa"/>
            <w:shd w:fill="FFFFFF"/>
            <w:vAlign w:val="center"/>
          </w:tcPr>
          <w:p>
            <w:pPr>
              <w:pStyle w:val="TableNumber"/>
            </w:pPr>
            <w:r>
              <w:t xml:space="preserve">0.213983</w:t>
              <w:br/>
              <w:t xml:space="preserve">0.219854</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0.295446</w:t>
              <w:br/>
              <w:t xml:space="preserve">0.295031</w:t>
            </w:r>
          </w:p>
        </w:tc>
        <w:tc>
          <w:tcPr>
            <w:tcW w:w="2075" w:type="dxa"/>
            <w:shd w:fill="F7F9FC"/>
            <w:vAlign w:val="center"/>
          </w:tcPr>
          <w:p>
            <w:pPr>
              <w:pStyle w:val="TableNumber"/>
            </w:pPr>
            <w:r>
              <w:t xml:space="preserve">75.4280%</w:t>
              <w:br/>
              <w:t xml:space="preserve">76.7584%</w:t>
            </w:r>
          </w:p>
        </w:tc>
        <w:tc>
          <w:tcPr>
            <w:tcW w:w="2200" w:type="dxa"/>
            <w:shd w:fill="F7F9FC"/>
            <w:vAlign w:val="center"/>
          </w:tcPr>
          <w:p>
            <w:pPr>
              <w:pStyle w:val="TableNumber"/>
            </w:pPr>
            <w:r>
              <w:t xml:space="preserve">4.5720</w:t>
              <w:br/>
              <w:t xml:space="preserve">3.2416</w:t>
            </w:r>
          </w:p>
        </w:tc>
        <w:tc>
          <w:tcPr>
            <w:tcW w:w="2360" w:type="dxa"/>
            <w:shd w:fill="F7F9FC"/>
            <w:vAlign w:val="center"/>
          </w:tcPr>
          <w:p>
            <w:pPr>
              <w:pStyle w:val="TableNumber"/>
            </w:pPr>
            <w:r>
              <w:t xml:space="preserve">0.225763</w:t>
              <w:br/>
              <w:t xml:space="preserve">0.231847</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0.294296</w:t>
              <w:br/>
              <w:t xml:space="preserve">0.293813</w:t>
            </w:r>
          </w:p>
        </w:tc>
        <w:tc>
          <w:tcPr>
            <w:tcW w:w="2075" w:type="dxa"/>
            <w:shd w:fill="FFFFFF"/>
            <w:vAlign w:val="center"/>
          </w:tcPr>
          <w:p>
            <w:pPr>
              <w:pStyle w:val="TableNumber"/>
            </w:pPr>
            <w:r>
              <w:t xml:space="preserve">75.1310%</w:t>
              <w:br/>
              <w:t xml:space="preserve">76.7938%</w:t>
            </w:r>
          </w:p>
        </w:tc>
        <w:tc>
          <w:tcPr>
            <w:tcW w:w="2200" w:type="dxa"/>
            <w:shd w:fill="FFFFFF"/>
            <w:vAlign w:val="center"/>
          </w:tcPr>
          <w:p>
            <w:pPr>
              <w:pStyle w:val="TableNumber"/>
            </w:pPr>
            <w:r>
              <w:t xml:space="preserve">4.8690</w:t>
              <w:br/>
              <w:t xml:space="preserve">3.2062</w:t>
            </w:r>
          </w:p>
        </w:tc>
        <w:tc>
          <w:tcPr>
            <w:tcW w:w="2360" w:type="dxa"/>
            <w:shd w:fill="FFFFFF"/>
            <w:vAlign w:val="center"/>
          </w:tcPr>
          <w:p>
            <w:pPr>
              <w:pStyle w:val="TableNumber"/>
            </w:pPr>
            <w:r>
              <w:t xml:space="preserve">0.236374</w:t>
              <w:br/>
              <w:t xml:space="preserve">0.244847</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0.293648</w:t>
              <w:br/>
              <w:t xml:space="preserve">0.293042</w:t>
            </w:r>
          </w:p>
        </w:tc>
        <w:tc>
          <w:tcPr>
            <w:tcW w:w="2075" w:type="dxa"/>
            <w:shd w:fill="F7F9FC"/>
            <w:vAlign w:val="center"/>
          </w:tcPr>
          <w:p>
            <w:pPr>
              <w:pStyle w:val="TableNumber"/>
            </w:pPr>
            <w:r>
              <w:t xml:space="preserve">74.8308%</w:t>
              <w:br/>
              <w:t xml:space="preserve">76.6766%</w:t>
            </w:r>
          </w:p>
        </w:tc>
        <w:tc>
          <w:tcPr>
            <w:tcW w:w="2200" w:type="dxa"/>
            <w:shd w:fill="F7F9FC"/>
            <w:vAlign w:val="center"/>
          </w:tcPr>
          <w:p>
            <w:pPr>
              <w:pStyle w:val="TableNumber"/>
            </w:pPr>
            <w:r>
              <w:t xml:space="preserve">5.1692</w:t>
              <w:br/>
              <w:t xml:space="preserve">3.3234</w:t>
            </w:r>
          </w:p>
        </w:tc>
        <w:tc>
          <w:tcPr>
            <w:tcW w:w="2360" w:type="dxa"/>
            <w:shd w:fill="F7F9FC"/>
            <w:vAlign w:val="center"/>
          </w:tcPr>
          <w:p>
            <w:pPr>
              <w:pStyle w:val="TableNumber"/>
            </w:pPr>
            <w:r>
              <w:t xml:space="preserve">0.246618</w:t>
              <w:br/>
              <w:t xml:space="preserve">0.255987</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0.295417</w:t>
              <w:br/>
              <w:t xml:space="preserve">0.294799</w:t>
            </w:r>
          </w:p>
        </w:tc>
        <w:tc>
          <w:tcPr>
            <w:tcW w:w="2075" w:type="dxa"/>
            <w:shd w:fill="FFFFFF"/>
            <w:vAlign w:val="center"/>
          </w:tcPr>
          <w:p>
            <w:pPr>
              <w:pStyle w:val="TableNumber"/>
            </w:pPr>
            <w:r>
              <w:t xml:space="preserve">74.9558%</w:t>
              <w:br/>
              <w:t xml:space="preserve">76.7579%</w:t>
            </w:r>
          </w:p>
        </w:tc>
        <w:tc>
          <w:tcPr>
            <w:tcW w:w="2200" w:type="dxa"/>
            <w:shd w:fill="FFFFFF"/>
            <w:vAlign w:val="center"/>
          </w:tcPr>
          <w:p>
            <w:pPr>
              <w:pStyle w:val="TableNumber"/>
            </w:pPr>
            <w:r>
              <w:t xml:space="preserve">5.0442</w:t>
              <w:br/>
              <w:t xml:space="preserve">3.2421</w:t>
            </w:r>
          </w:p>
        </w:tc>
        <w:tc>
          <w:tcPr>
            <w:tcW w:w="2360" w:type="dxa"/>
            <w:shd w:fill="FFFFFF"/>
            <w:vAlign w:val="center"/>
          </w:tcPr>
          <w:p>
            <w:pPr>
              <w:pStyle w:val="TableNumber"/>
            </w:pPr>
            <w:r>
              <w:t xml:space="preserve">0.258727</w:t>
              <w:br/>
              <w:t xml:space="preserve">0.268318</w:t>
            </w:r>
          </w:p>
        </w:tc>
      </w:tr>
    </w:tbl>
    <w:p>
      <w:pPr>
        <w:pStyle w:val="a"/>
        <w:spacing w:before="160"/>
      </w:pPr>
      <w:r>
        <w:t xml:space="preserve">Coverage 是真實 alpha 落在 q10 至 q90 之間的比例。Coverage error 是各 horizon 的 |coverage−0.8|，以百分點呈現；整體為 14 個 horizon 誤差的平均，不是 |整體 coverage−0.8|。Width 是平均 q90−q10，單位為 alpha log return。JSON 沒有 aggregate interval_width，整體寬度由 14 個已存在的 per_horizon interval_width 等權平均計算，沒有推估缺失值。</w:t>
      </w:r>
    </w:p>
    <w:p>
      <w:pPr>
        <w:pStyle w:val="a"/>
      </w:pPr>
      <w:r>
        <w:t xml:space="preserve">校準方法為市場與 horizon 分組的上下尾非對稱乘數，固定 q50，調整 q50 到 q10／q90 的距離。Fit split=validation，528,315 windows、116 日期；test in_sample_fit=false。整體平均寬度由 0.173663 變為 0.178931。區間變寬可增加 coverage，但必須同時看 normalized pinball，不代表模型本身學會更多方向訊號。</w:t>
      </w:r>
    </w:p>
    <w:p>
      <w:pPr>
        <w:pStyle w:val="21"/>
      </w:pPr>
      <w:r>
        <w:t xml:space="preserve">6.2b 方向一致率與 training 固定分布</w:t>
      </w:r>
    </w:p>
    <w:p>
      <w:pPr>
        <w:pStyle w:val="Decision"/>
      </w:pPr>
      <w:r>
        <w:t xml:space="preserve">表 8b｜相對 benchmark 的方向 差距使用百分點</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670"/>
        <w:gridCol w:w="3370"/>
        <w:gridCol w:w="2670"/>
      </w:tblGrid>
      <w:tr>
        <w:trPr>
          <w:cantSplit/>
          <w:tblHeader/>
        </w:trPr>
        <w:tc>
          <w:tcPr>
            <w:tcW w:w="650" w:type="dxa"/>
            <w:shd w:fill="DCE6F1"/>
            <w:vAlign w:val="center"/>
          </w:tcPr>
          <w:p>
            <w:pPr>
              <w:pStyle w:val="TableHeader"/>
            </w:pPr>
            <w:r>
              <w:t xml:space="preserve">H</w:t>
            </w:r>
          </w:p>
        </w:tc>
        <w:tc>
          <w:tcPr>
            <w:tcW w:w="2670" w:type="dxa"/>
            <w:shd w:fill="DCE6F1"/>
            <w:vAlign w:val="center"/>
          </w:tcPr>
          <w:p>
            <w:pPr>
              <w:pStyle w:val="TableHeader"/>
            </w:pPr>
            <w:r>
              <w:t xml:space="preserve">主模型</w:t>
            </w:r>
          </w:p>
        </w:tc>
        <w:tc>
          <w:tcPr>
            <w:tcW w:w="3370" w:type="dxa"/>
            <w:shd w:fill="DCE6F1"/>
            <w:vAlign w:val="center"/>
          </w:tcPr>
          <w:p>
            <w:pPr>
              <w:pStyle w:val="TableHeader"/>
            </w:pPr>
            <w:r>
              <w:t xml:space="preserve">Training 固定分布</w:t>
            </w:r>
          </w:p>
        </w:tc>
        <w:tc>
          <w:tcPr>
            <w:tcW w:w="2670" w:type="dxa"/>
            <w:shd w:fill="DCE6F1"/>
            <w:vAlign w:val="center"/>
          </w:tcPr>
          <w:p>
            <w:pPr>
              <w:pStyle w:val="TableHeader"/>
            </w:pPr>
            <w:r>
              <w:t xml:space="preserve">差距 pp</w:t>
            </w:r>
          </w:p>
        </w:tc>
      </w:tr>
      <w:tr>
        <w:trPr>
          <w:cantSplit/>
        </w:trPr>
        <w:tc>
          <w:tcPr>
            <w:tcW w:w="650" w:type="dxa"/>
            <w:shd w:fill="FFFFFF"/>
            <w:vAlign w:val="center"/>
          </w:tcPr>
          <w:p>
            <w:pPr>
              <w:pStyle w:val="TableNumber"/>
            </w:pPr>
            <w:r>
              <w:t xml:space="preserve">1d</w:t>
            </w:r>
          </w:p>
        </w:tc>
        <w:tc>
          <w:tcPr>
            <w:tcW w:w="2670" w:type="dxa"/>
            <w:shd w:fill="FFFFFF"/>
            <w:vAlign w:val="center"/>
          </w:tcPr>
          <w:p>
            <w:pPr>
              <w:pStyle w:val="TableNumber"/>
            </w:pPr>
            <w:r>
              <w:t xml:space="preserve">52.5888%</w:t>
            </w:r>
          </w:p>
        </w:tc>
        <w:tc>
          <w:tcPr>
            <w:tcW w:w="3370" w:type="dxa"/>
            <w:shd w:fill="FFFFFF"/>
            <w:vAlign w:val="center"/>
          </w:tcPr>
          <w:p>
            <w:pPr>
              <w:pStyle w:val="TableNumber"/>
            </w:pPr>
            <w:r>
              <w:t xml:space="preserve">52.3833%</w:t>
            </w:r>
          </w:p>
        </w:tc>
        <w:tc>
          <w:tcPr>
            <w:tcW w:w="2670" w:type="dxa"/>
            <w:shd w:fill="FFFFFF"/>
            <w:vAlign w:val="center"/>
          </w:tcPr>
          <w:p>
            <w:pPr>
              <w:pStyle w:val="TableNumber"/>
            </w:pPr>
            <w:r>
              <w:t xml:space="preserve">+0.2055</w:t>
            </w:r>
          </w:p>
        </w:tc>
      </w:tr>
      <w:tr>
        <w:trPr>
          <w:cantSplit/>
        </w:trPr>
        <w:tc>
          <w:tcPr>
            <w:tcW w:w="650" w:type="dxa"/>
            <w:shd w:fill="F7F9FC"/>
            <w:vAlign w:val="center"/>
          </w:tcPr>
          <w:p>
            <w:pPr>
              <w:pStyle w:val="TableNumber"/>
            </w:pPr>
            <w:r>
              <w:t xml:space="preserve">2d</w:t>
            </w:r>
          </w:p>
        </w:tc>
        <w:tc>
          <w:tcPr>
            <w:tcW w:w="2670" w:type="dxa"/>
            <w:shd w:fill="F7F9FC"/>
            <w:vAlign w:val="center"/>
          </w:tcPr>
          <w:p>
            <w:pPr>
              <w:pStyle w:val="TableNumber"/>
            </w:pPr>
            <w:r>
              <w:t xml:space="preserve">52.6642%</w:t>
            </w:r>
          </w:p>
        </w:tc>
        <w:tc>
          <w:tcPr>
            <w:tcW w:w="3370" w:type="dxa"/>
            <w:shd w:fill="F7F9FC"/>
            <w:vAlign w:val="center"/>
          </w:tcPr>
          <w:p>
            <w:pPr>
              <w:pStyle w:val="TableNumber"/>
            </w:pPr>
            <w:r>
              <w:t xml:space="preserve">53.0537%</w:t>
            </w:r>
          </w:p>
        </w:tc>
        <w:tc>
          <w:tcPr>
            <w:tcW w:w="2670" w:type="dxa"/>
            <w:shd w:fill="F7F9FC"/>
            <w:vAlign w:val="center"/>
          </w:tcPr>
          <w:p>
            <w:pPr>
              <w:pStyle w:val="TableNumber"/>
            </w:pPr>
            <w:r>
              <w:t xml:space="preserve">-0.3895</w:t>
            </w:r>
          </w:p>
        </w:tc>
      </w:tr>
      <w:tr>
        <w:trPr>
          <w:cantSplit/>
        </w:trPr>
        <w:tc>
          <w:tcPr>
            <w:tcW w:w="650" w:type="dxa"/>
            <w:shd w:fill="FFFFFF"/>
            <w:vAlign w:val="center"/>
          </w:tcPr>
          <w:p>
            <w:pPr>
              <w:pStyle w:val="TableNumber"/>
            </w:pPr>
            <w:r>
              <w:t xml:space="preserve">3d</w:t>
            </w:r>
          </w:p>
        </w:tc>
        <w:tc>
          <w:tcPr>
            <w:tcW w:w="2670" w:type="dxa"/>
            <w:shd w:fill="FFFFFF"/>
            <w:vAlign w:val="center"/>
          </w:tcPr>
          <w:p>
            <w:pPr>
              <w:pStyle w:val="TableNumber"/>
            </w:pPr>
            <w:r>
              <w:t xml:space="preserve">52.9483%</w:t>
            </w:r>
          </w:p>
        </w:tc>
        <w:tc>
          <w:tcPr>
            <w:tcW w:w="3370" w:type="dxa"/>
            <w:shd w:fill="FFFFFF"/>
            <w:vAlign w:val="center"/>
          </w:tcPr>
          <w:p>
            <w:pPr>
              <w:pStyle w:val="TableNumber"/>
            </w:pPr>
            <w:r>
              <w:t xml:space="preserve">53.7281%</w:t>
            </w:r>
          </w:p>
        </w:tc>
        <w:tc>
          <w:tcPr>
            <w:tcW w:w="2670" w:type="dxa"/>
            <w:shd w:fill="FFFFFF"/>
            <w:vAlign w:val="center"/>
          </w:tcPr>
          <w:p>
            <w:pPr>
              <w:pStyle w:val="TableNumber"/>
            </w:pPr>
            <w:r>
              <w:t xml:space="preserve">-0.7799</w:t>
            </w:r>
          </w:p>
        </w:tc>
      </w:tr>
      <w:tr>
        <w:trPr>
          <w:cantSplit/>
        </w:trPr>
        <w:tc>
          <w:tcPr>
            <w:tcW w:w="650" w:type="dxa"/>
            <w:shd w:fill="F7F9FC"/>
            <w:vAlign w:val="center"/>
          </w:tcPr>
          <w:p>
            <w:pPr>
              <w:pStyle w:val="TableNumber"/>
            </w:pPr>
            <w:r>
              <w:t xml:space="preserve">4d</w:t>
            </w:r>
          </w:p>
        </w:tc>
        <w:tc>
          <w:tcPr>
            <w:tcW w:w="2670" w:type="dxa"/>
            <w:shd w:fill="F7F9FC"/>
            <w:vAlign w:val="center"/>
          </w:tcPr>
          <w:p>
            <w:pPr>
              <w:pStyle w:val="TableNumber"/>
            </w:pPr>
            <w:r>
              <w:t xml:space="preserve">52.9079%</w:t>
            </w:r>
          </w:p>
        </w:tc>
        <w:tc>
          <w:tcPr>
            <w:tcW w:w="3370" w:type="dxa"/>
            <w:shd w:fill="F7F9FC"/>
            <w:vAlign w:val="center"/>
          </w:tcPr>
          <w:p>
            <w:pPr>
              <w:pStyle w:val="TableNumber"/>
            </w:pPr>
            <w:r>
              <w:t xml:space="preserve">54.1013%</w:t>
            </w:r>
          </w:p>
        </w:tc>
        <w:tc>
          <w:tcPr>
            <w:tcW w:w="2670" w:type="dxa"/>
            <w:shd w:fill="F7F9FC"/>
            <w:vAlign w:val="center"/>
          </w:tcPr>
          <w:p>
            <w:pPr>
              <w:pStyle w:val="TableNumber"/>
            </w:pPr>
            <w:r>
              <w:t xml:space="preserve">-1.1935</w:t>
            </w:r>
          </w:p>
        </w:tc>
      </w:tr>
      <w:tr>
        <w:trPr>
          <w:cantSplit/>
        </w:trPr>
        <w:tc>
          <w:tcPr>
            <w:tcW w:w="650" w:type="dxa"/>
            <w:shd w:fill="FFFFFF"/>
            <w:vAlign w:val="center"/>
          </w:tcPr>
          <w:p>
            <w:pPr>
              <w:pStyle w:val="TableNumber"/>
            </w:pPr>
            <w:r>
              <w:t xml:space="preserve">5d</w:t>
            </w:r>
          </w:p>
        </w:tc>
        <w:tc>
          <w:tcPr>
            <w:tcW w:w="2670" w:type="dxa"/>
            <w:shd w:fill="FFFFFF"/>
            <w:vAlign w:val="center"/>
          </w:tcPr>
          <w:p>
            <w:pPr>
              <w:pStyle w:val="TableNumber"/>
            </w:pPr>
            <w:r>
              <w:t xml:space="preserve">54.2194%</w:t>
            </w:r>
          </w:p>
        </w:tc>
        <w:tc>
          <w:tcPr>
            <w:tcW w:w="3370" w:type="dxa"/>
            <w:shd w:fill="FFFFFF"/>
            <w:vAlign w:val="center"/>
          </w:tcPr>
          <w:p>
            <w:pPr>
              <w:pStyle w:val="TableNumber"/>
            </w:pPr>
            <w:r>
              <w:t xml:space="preserve">54.5765%</w:t>
            </w:r>
          </w:p>
        </w:tc>
        <w:tc>
          <w:tcPr>
            <w:tcW w:w="2670" w:type="dxa"/>
            <w:shd w:fill="FFFFFF"/>
            <w:vAlign w:val="center"/>
          </w:tcPr>
          <w:p>
            <w:pPr>
              <w:pStyle w:val="TableNumber"/>
            </w:pPr>
            <w:r>
              <w:t xml:space="preserve">-0.3571</w:t>
            </w:r>
          </w:p>
        </w:tc>
      </w:tr>
      <w:tr>
        <w:trPr>
          <w:cantSplit/>
        </w:trPr>
        <w:tc>
          <w:tcPr>
            <w:tcW w:w="650" w:type="dxa"/>
            <w:shd w:fill="F7F9FC"/>
            <w:vAlign w:val="center"/>
          </w:tcPr>
          <w:p>
            <w:pPr>
              <w:pStyle w:val="TableNumber"/>
            </w:pPr>
            <w:r>
              <w:t xml:space="preserve">6d</w:t>
            </w:r>
          </w:p>
        </w:tc>
        <w:tc>
          <w:tcPr>
            <w:tcW w:w="2670" w:type="dxa"/>
            <w:shd w:fill="F7F9FC"/>
            <w:vAlign w:val="center"/>
          </w:tcPr>
          <w:p>
            <w:pPr>
              <w:pStyle w:val="TableNumber"/>
            </w:pPr>
            <w:r>
              <w:t xml:space="preserve">54.4708%</w:t>
            </w:r>
          </w:p>
        </w:tc>
        <w:tc>
          <w:tcPr>
            <w:tcW w:w="3370" w:type="dxa"/>
            <w:shd w:fill="F7F9FC"/>
            <w:vAlign w:val="center"/>
          </w:tcPr>
          <w:p>
            <w:pPr>
              <w:pStyle w:val="TableNumber"/>
            </w:pPr>
            <w:r>
              <w:t xml:space="preserve">54.8162%</w:t>
            </w:r>
          </w:p>
        </w:tc>
        <w:tc>
          <w:tcPr>
            <w:tcW w:w="2670" w:type="dxa"/>
            <w:shd w:fill="F7F9FC"/>
            <w:vAlign w:val="center"/>
          </w:tcPr>
          <w:p>
            <w:pPr>
              <w:pStyle w:val="TableNumber"/>
            </w:pPr>
            <w:r>
              <w:t xml:space="preserve">-0.3455</w:t>
            </w:r>
          </w:p>
        </w:tc>
      </w:tr>
      <w:tr>
        <w:trPr>
          <w:cantSplit/>
        </w:trPr>
        <w:tc>
          <w:tcPr>
            <w:tcW w:w="650" w:type="dxa"/>
            <w:shd w:fill="FFFFFF"/>
            <w:vAlign w:val="center"/>
          </w:tcPr>
          <w:p>
            <w:pPr>
              <w:pStyle w:val="TableNumber"/>
            </w:pPr>
            <w:r>
              <w:t xml:space="preserve">7d</w:t>
            </w:r>
          </w:p>
        </w:tc>
        <w:tc>
          <w:tcPr>
            <w:tcW w:w="2670" w:type="dxa"/>
            <w:shd w:fill="FFFFFF"/>
            <w:vAlign w:val="center"/>
          </w:tcPr>
          <w:p>
            <w:pPr>
              <w:pStyle w:val="TableNumber"/>
            </w:pPr>
            <w:r>
              <w:t xml:space="preserve">55.1256%</w:t>
            </w:r>
          </w:p>
        </w:tc>
        <w:tc>
          <w:tcPr>
            <w:tcW w:w="3370" w:type="dxa"/>
            <w:shd w:fill="FFFFFF"/>
            <w:vAlign w:val="center"/>
          </w:tcPr>
          <w:p>
            <w:pPr>
              <w:pStyle w:val="TableNumber"/>
            </w:pPr>
            <w:r>
              <w:t xml:space="preserve">55.0255%</w:t>
            </w:r>
          </w:p>
        </w:tc>
        <w:tc>
          <w:tcPr>
            <w:tcW w:w="2670" w:type="dxa"/>
            <w:shd w:fill="FFFFFF"/>
            <w:vAlign w:val="center"/>
          </w:tcPr>
          <w:p>
            <w:pPr>
              <w:pStyle w:val="TableNumber"/>
            </w:pPr>
            <w:r>
              <w:t xml:space="preserve">+0.1001</w:t>
            </w:r>
          </w:p>
        </w:tc>
      </w:tr>
      <w:tr>
        <w:trPr>
          <w:cantSplit/>
        </w:trPr>
        <w:tc>
          <w:tcPr>
            <w:tcW w:w="650" w:type="dxa"/>
            <w:shd w:fill="F7F9FC"/>
            <w:vAlign w:val="center"/>
          </w:tcPr>
          <w:p>
            <w:pPr>
              <w:pStyle w:val="TableNumber"/>
            </w:pPr>
            <w:r>
              <w:t xml:space="preserve">8d</w:t>
            </w:r>
          </w:p>
        </w:tc>
        <w:tc>
          <w:tcPr>
            <w:tcW w:w="2670" w:type="dxa"/>
            <w:shd w:fill="F7F9FC"/>
            <w:vAlign w:val="center"/>
          </w:tcPr>
          <w:p>
            <w:pPr>
              <w:pStyle w:val="TableNumber"/>
            </w:pPr>
            <w:r>
              <w:t xml:space="preserve">55.1058%</w:t>
            </w:r>
          </w:p>
        </w:tc>
        <w:tc>
          <w:tcPr>
            <w:tcW w:w="3370" w:type="dxa"/>
            <w:shd w:fill="F7F9FC"/>
            <w:vAlign w:val="center"/>
          </w:tcPr>
          <w:p>
            <w:pPr>
              <w:pStyle w:val="TableNumber"/>
            </w:pPr>
            <w:r>
              <w:t xml:space="preserve">55.2461%</w:t>
            </w:r>
          </w:p>
        </w:tc>
        <w:tc>
          <w:tcPr>
            <w:tcW w:w="2670" w:type="dxa"/>
            <w:shd w:fill="F7F9FC"/>
            <w:vAlign w:val="center"/>
          </w:tcPr>
          <w:p>
            <w:pPr>
              <w:pStyle w:val="TableNumber"/>
            </w:pPr>
            <w:r>
              <w:t xml:space="preserve">-0.1404</w:t>
            </w:r>
          </w:p>
        </w:tc>
      </w:tr>
      <w:tr>
        <w:trPr>
          <w:cantSplit/>
        </w:trPr>
        <w:tc>
          <w:tcPr>
            <w:tcW w:w="650" w:type="dxa"/>
            <w:shd w:fill="FFFFFF"/>
            <w:vAlign w:val="center"/>
          </w:tcPr>
          <w:p>
            <w:pPr>
              <w:pStyle w:val="TableNumber"/>
            </w:pPr>
            <w:r>
              <w:t xml:space="preserve">9d</w:t>
            </w:r>
          </w:p>
        </w:tc>
        <w:tc>
          <w:tcPr>
            <w:tcW w:w="2670" w:type="dxa"/>
            <w:shd w:fill="FFFFFF"/>
            <w:vAlign w:val="center"/>
          </w:tcPr>
          <w:p>
            <w:pPr>
              <w:pStyle w:val="TableNumber"/>
            </w:pPr>
            <w:r>
              <w:t xml:space="preserve">55.4606%</w:t>
            </w:r>
          </w:p>
        </w:tc>
        <w:tc>
          <w:tcPr>
            <w:tcW w:w="3370" w:type="dxa"/>
            <w:shd w:fill="FFFFFF"/>
            <w:vAlign w:val="center"/>
          </w:tcPr>
          <w:p>
            <w:pPr>
              <w:pStyle w:val="TableNumber"/>
            </w:pPr>
            <w:r>
              <w:t xml:space="preserve">55.3874%</w:t>
            </w:r>
          </w:p>
        </w:tc>
        <w:tc>
          <w:tcPr>
            <w:tcW w:w="2670" w:type="dxa"/>
            <w:shd w:fill="FFFFFF"/>
            <w:vAlign w:val="center"/>
          </w:tcPr>
          <w:p>
            <w:pPr>
              <w:pStyle w:val="TableNumber"/>
            </w:pPr>
            <w:r>
              <w:t xml:space="preserve">+0.0732</w:t>
            </w:r>
          </w:p>
        </w:tc>
      </w:tr>
      <w:tr>
        <w:trPr>
          <w:cantSplit/>
        </w:trPr>
        <w:tc>
          <w:tcPr>
            <w:tcW w:w="650" w:type="dxa"/>
            <w:shd w:fill="F7F9FC"/>
            <w:vAlign w:val="center"/>
          </w:tcPr>
          <w:p>
            <w:pPr>
              <w:pStyle w:val="TableNumber"/>
            </w:pPr>
            <w:r>
              <w:t xml:space="preserve">10d</w:t>
            </w:r>
          </w:p>
        </w:tc>
        <w:tc>
          <w:tcPr>
            <w:tcW w:w="2670" w:type="dxa"/>
            <w:shd w:fill="F7F9FC"/>
            <w:vAlign w:val="center"/>
          </w:tcPr>
          <w:p>
            <w:pPr>
              <w:pStyle w:val="TableNumber"/>
            </w:pPr>
            <w:r>
              <w:t xml:space="preserve">55.5093%</w:t>
            </w:r>
          </w:p>
        </w:tc>
        <w:tc>
          <w:tcPr>
            <w:tcW w:w="3370" w:type="dxa"/>
            <w:shd w:fill="F7F9FC"/>
            <w:vAlign w:val="center"/>
          </w:tcPr>
          <w:p>
            <w:pPr>
              <w:pStyle w:val="TableNumber"/>
            </w:pPr>
            <w:r>
              <w:t xml:space="preserve">55.6775%</w:t>
            </w:r>
          </w:p>
        </w:tc>
        <w:tc>
          <w:tcPr>
            <w:tcW w:w="2670" w:type="dxa"/>
            <w:shd w:fill="F7F9FC"/>
            <w:vAlign w:val="center"/>
          </w:tcPr>
          <w:p>
            <w:pPr>
              <w:pStyle w:val="TableNumber"/>
            </w:pPr>
            <w:r>
              <w:t xml:space="preserve">-0.1682</w:t>
            </w:r>
          </w:p>
        </w:tc>
      </w:tr>
      <w:tr>
        <w:trPr>
          <w:cantSplit/>
        </w:trPr>
        <w:tc>
          <w:tcPr>
            <w:tcW w:w="650" w:type="dxa"/>
            <w:shd w:fill="FFFFFF"/>
            <w:vAlign w:val="center"/>
          </w:tcPr>
          <w:p>
            <w:pPr>
              <w:pStyle w:val="TableNumber"/>
            </w:pPr>
            <w:r>
              <w:t xml:space="preserve">11d</w:t>
            </w:r>
          </w:p>
        </w:tc>
        <w:tc>
          <w:tcPr>
            <w:tcW w:w="2670" w:type="dxa"/>
            <w:shd w:fill="FFFFFF"/>
            <w:vAlign w:val="center"/>
          </w:tcPr>
          <w:p>
            <w:pPr>
              <w:pStyle w:val="TableNumber"/>
            </w:pPr>
            <w:r>
              <w:t xml:space="preserve">55.9575%</w:t>
            </w:r>
          </w:p>
        </w:tc>
        <w:tc>
          <w:tcPr>
            <w:tcW w:w="3370" w:type="dxa"/>
            <w:shd w:fill="FFFFFF"/>
            <w:vAlign w:val="center"/>
          </w:tcPr>
          <w:p>
            <w:pPr>
              <w:pStyle w:val="TableNumber"/>
            </w:pPr>
            <w:r>
              <w:t xml:space="preserve">55.8903%</w:t>
            </w:r>
          </w:p>
        </w:tc>
        <w:tc>
          <w:tcPr>
            <w:tcW w:w="2670" w:type="dxa"/>
            <w:shd w:fill="FFFFFF"/>
            <w:vAlign w:val="center"/>
          </w:tcPr>
          <w:p>
            <w:pPr>
              <w:pStyle w:val="TableNumber"/>
            </w:pPr>
            <w:r>
              <w:t xml:space="preserve">+0.0672</w:t>
            </w:r>
          </w:p>
        </w:tc>
      </w:tr>
      <w:tr>
        <w:trPr>
          <w:cantSplit/>
        </w:trPr>
        <w:tc>
          <w:tcPr>
            <w:tcW w:w="650" w:type="dxa"/>
            <w:shd w:fill="F7F9FC"/>
            <w:vAlign w:val="center"/>
          </w:tcPr>
          <w:p>
            <w:pPr>
              <w:pStyle w:val="TableNumber"/>
            </w:pPr>
            <w:r>
              <w:t xml:space="preserve">12d</w:t>
            </w:r>
          </w:p>
        </w:tc>
        <w:tc>
          <w:tcPr>
            <w:tcW w:w="2670" w:type="dxa"/>
            <w:shd w:fill="F7F9FC"/>
            <w:vAlign w:val="center"/>
          </w:tcPr>
          <w:p>
            <w:pPr>
              <w:pStyle w:val="TableNumber"/>
            </w:pPr>
            <w:r>
              <w:t xml:space="preserve">55.9281%</w:t>
            </w:r>
          </w:p>
        </w:tc>
        <w:tc>
          <w:tcPr>
            <w:tcW w:w="3370" w:type="dxa"/>
            <w:shd w:fill="F7F9FC"/>
            <w:vAlign w:val="center"/>
          </w:tcPr>
          <w:p>
            <w:pPr>
              <w:pStyle w:val="TableNumber"/>
            </w:pPr>
            <w:r>
              <w:t xml:space="preserve">56.0936%</w:t>
            </w:r>
          </w:p>
        </w:tc>
        <w:tc>
          <w:tcPr>
            <w:tcW w:w="2670" w:type="dxa"/>
            <w:shd w:fill="F7F9FC"/>
            <w:vAlign w:val="center"/>
          </w:tcPr>
          <w:p>
            <w:pPr>
              <w:pStyle w:val="TableNumber"/>
            </w:pPr>
            <w:r>
              <w:t xml:space="preserve">-0.1654</w:t>
            </w:r>
          </w:p>
        </w:tc>
      </w:tr>
      <w:tr>
        <w:trPr>
          <w:cantSplit/>
        </w:trPr>
        <w:tc>
          <w:tcPr>
            <w:tcW w:w="650" w:type="dxa"/>
            <w:shd w:fill="FFFFFF"/>
            <w:vAlign w:val="center"/>
          </w:tcPr>
          <w:p>
            <w:pPr>
              <w:pStyle w:val="TableNumber"/>
            </w:pPr>
            <w:r>
              <w:t xml:space="preserve">13d</w:t>
            </w:r>
          </w:p>
        </w:tc>
        <w:tc>
          <w:tcPr>
            <w:tcW w:w="2670" w:type="dxa"/>
            <w:shd w:fill="FFFFFF"/>
            <w:vAlign w:val="center"/>
          </w:tcPr>
          <w:p>
            <w:pPr>
              <w:pStyle w:val="TableNumber"/>
            </w:pPr>
            <w:r>
              <w:t xml:space="preserve">56.4338%</w:t>
            </w:r>
          </w:p>
        </w:tc>
        <w:tc>
          <w:tcPr>
            <w:tcW w:w="3370" w:type="dxa"/>
            <w:shd w:fill="FFFFFF"/>
            <w:vAlign w:val="center"/>
          </w:tcPr>
          <w:p>
            <w:pPr>
              <w:pStyle w:val="TableNumber"/>
            </w:pPr>
            <w:r>
              <w:t xml:space="preserve">56.3617%</w:t>
            </w:r>
          </w:p>
        </w:tc>
        <w:tc>
          <w:tcPr>
            <w:tcW w:w="2670" w:type="dxa"/>
            <w:shd w:fill="FFFFFF"/>
            <w:vAlign w:val="center"/>
          </w:tcPr>
          <w:p>
            <w:pPr>
              <w:pStyle w:val="TableNumber"/>
            </w:pPr>
            <w:r>
              <w:t xml:space="preserve">+0.0721</w:t>
            </w:r>
          </w:p>
        </w:tc>
      </w:tr>
      <w:tr>
        <w:trPr>
          <w:cantSplit/>
        </w:trPr>
        <w:tc>
          <w:tcPr>
            <w:tcW w:w="650" w:type="dxa"/>
            <w:shd w:fill="F7F9FC"/>
            <w:vAlign w:val="center"/>
          </w:tcPr>
          <w:p>
            <w:pPr>
              <w:pStyle w:val="TableNumber"/>
            </w:pPr>
            <w:r>
              <w:t xml:space="preserve">14d</w:t>
            </w:r>
          </w:p>
        </w:tc>
        <w:tc>
          <w:tcPr>
            <w:tcW w:w="2670" w:type="dxa"/>
            <w:shd w:fill="F7F9FC"/>
            <w:vAlign w:val="center"/>
          </w:tcPr>
          <w:p>
            <w:pPr>
              <w:pStyle w:val="TableNumber"/>
            </w:pPr>
            <w:r>
              <w:t xml:space="preserve">56.5350%</w:t>
            </w:r>
          </w:p>
        </w:tc>
        <w:tc>
          <w:tcPr>
            <w:tcW w:w="3370" w:type="dxa"/>
            <w:shd w:fill="F7F9FC"/>
            <w:vAlign w:val="center"/>
          </w:tcPr>
          <w:p>
            <w:pPr>
              <w:pStyle w:val="TableNumber"/>
            </w:pPr>
            <w:r>
              <w:t xml:space="preserve">56.6013%</w:t>
            </w:r>
          </w:p>
        </w:tc>
        <w:tc>
          <w:tcPr>
            <w:tcW w:w="2670" w:type="dxa"/>
            <w:shd w:fill="F7F9FC"/>
            <w:vAlign w:val="center"/>
          </w:tcPr>
          <w:p>
            <w:pPr>
              <w:pStyle w:val="TableNumber"/>
            </w:pPr>
            <w:r>
              <w:t xml:space="preserve">-0.0663</w:t>
            </w:r>
          </w:p>
        </w:tc>
      </w:tr>
    </w:tbl>
    <w:p>
      <w:pPr>
        <w:pStyle w:val="a"/>
        <w:spacing w:before="160"/>
      </w:pPr>
      <w:r>
        <w:t xml:space="preserve">方向一致率是同一筆樣本預測 q50 與真實 alpha 的正負相同筆數，除以評估筆數。差距=(主模型比例−baseline 比例)×100。Training 標籤先擬合每個 horizon 的固定無條件 q10/q50/q90，之後不再變動；這可反映 alpha 分布本來的方向偏態。超過 50% 不足以證明額外預測能力。</w:t>
      </w:r>
    </w:p>
    <w:p>
      <w:pPr>
        <w:pStyle w:val="a"/>
      </w:pPr>
      <w:r>
        <w:t xml:space="preserve">always_buy 的 location 加上 train residual quantiles，會回到 training targets 的無條件分位數；zero_return 的 location=0，也得到同一組分位數。已核實兩者完整 metrics 完全相同。報告保留原始名稱供追溯，但只計為同一種固定分布對照；不是「永遠看多」與「永遠預測零」兩種不同方向策略，也沒有用 test 分布事後選最有利方向。</w:t>
      </w:r>
    </w:p>
    <w:p>
      <w:pPr>
        <w:pStyle w:val="21"/>
      </w:pPr>
      <w:r>
        <w:t xml:space="preserve">6.3 q50 排序與待修正的策略診斷</w:t>
      </w:r>
    </w:p>
    <w:p>
      <w:pPr>
        <w:pStyle w:val="Decision"/>
        <w:keepNext/>
        <w:spacing w:after="80"/>
      </w:pPr>
      <w:r>
        <w:t xml:space="preserve">表 9｜q50 跨市場排序與舊版策略診斷 不作可靠策略績效結論</w:t>
      </w:r>
    </w:p>
    <w:tbl>
      <w:tblPr>
        <w:tblStyle w:val="BenchmarkTable"/>
        <w:tblW w:w="9360" w:type="dxa"/>
        <w:tblLayout w:type="fixed"/>
      </w:tblPr>
      <w:tblGrid>
        <w:gridCol w:w="650"/>
        <w:gridCol w:w="1900"/>
        <w:gridCol w:w="1100"/>
        <w:gridCol w:w="1500"/>
        <w:gridCol w:w="1650"/>
        <w:gridCol w:w="1600"/>
        <w:gridCol w:w="960"/>
      </w:tblGrid>
      <w:tr>
        <w:trPr>
          <w:tblHeader/>
        </w:trPr>
        <w:tc>
          <w:tcPr>
            <w:tcW w:w="650" w:type="dxa"/>
            <w:shd w:val="clear" w:fill="DCE6F1"/>
            <w:vAlign w:val="center"/>
          </w:tcPr>
          <w:p>
            <w:pPr>
              <w:pStyle w:val="TableHeader"/>
            </w:pPr>
            <w:r>
              <w:t>H</w:t>
            </w:r>
          </w:p>
        </w:tc>
        <w:tc>
          <w:tcPr>
            <w:tcW w:w="1900" w:type="dxa"/>
            <w:shd w:val="clear" w:fill="DCE6F1"/>
            <w:vAlign w:val="center"/>
          </w:tcPr>
          <w:p>
            <w:pPr>
              <w:pStyle w:val="TableHeader"/>
            </w:pPr>
            <w:r>
              <w:t>RankIC (排名)</w:t>
            </w:r>
          </w:p>
        </w:tc>
        <w:tc>
          <w:tcPr>
            <w:tcW w:w="1100" w:type="dxa"/>
            <w:shd w:val="clear" w:fill="DCE6F1"/>
            <w:vAlign w:val="center"/>
          </w:tcPr>
          <w:p>
            <w:pPr>
              <w:pStyle w:val="TableHeader"/>
            </w:pPr>
            <w:r>
              <w:t>ICIR</w:t>
            </w:r>
          </w:p>
        </w:tc>
        <w:tc>
          <w:tcPr>
            <w:tcW w:w="1500" w:type="dxa"/>
            <w:shd w:val="clear" w:fill="DCE6F1"/>
            <w:vAlign w:val="center"/>
          </w:tcPr>
          <w:p>
            <w:pPr>
              <w:pStyle w:val="TableHeader"/>
            </w:pPr>
            <w:r>
              <w:t>淨 log 報酬</w:t>
            </w:r>
          </w:p>
        </w:tc>
        <w:tc>
          <w:tcPr>
            <w:tcW w:w="1650" w:type="dxa"/>
            <w:shd w:val="clear" w:fill="DCE6F1"/>
            <w:vAlign w:val="center"/>
          </w:tcPr>
          <w:p>
            <w:pPr>
              <w:pStyle w:val="TableHeader"/>
            </w:pPr>
            <w:r>
              <w:t>Sharpe (排名)</w:t>
            </w:r>
          </w:p>
        </w:tc>
        <w:tc>
          <w:tcPr>
            <w:tcW w:w="1600" w:type="dxa"/>
            <w:shd w:val="clear" w:fill="DCE6F1"/>
            <w:vAlign w:val="center"/>
          </w:tcPr>
          <w:p>
            <w:pPr>
              <w:pStyle w:val="TableHeader"/>
            </w:pPr>
            <w:r>
              <w:t>MDD (排名)</w:t>
            </w:r>
          </w:p>
        </w:tc>
        <w:tc>
          <w:tcPr>
            <w:tcW w:w="960" w:type="dxa"/>
            <w:shd w:val="clear" w:fill="DCE6F1"/>
            <w:vAlign w:val="center"/>
          </w:tcPr>
          <w:p>
            <w:pPr>
              <w:pStyle w:val="TableHeader"/>
            </w:pPr>
            <w:r>
              <w:t>Turnover</w:t>
            </w:r>
          </w:p>
        </w:tc>
      </w:tr>
      <w:tr>
        <w:trPr>
          <w:cantSplit/>
        </w:trPr>
        <w:tc>
          <w:tcPr>
            <w:tcW w:w="650" w:type="dxa"/>
            <w:vAlign w:val="center"/>
          </w:tcPr>
          <w:p>
            <w:pPr>
              <w:pStyle w:val="TableText"/>
            </w:pPr>
            <w:r>
              <w:t>1d</w:t>
            </w:r>
          </w:p>
        </w:tc>
        <w:tc>
          <w:tcPr>
            <w:tcW w:w="1900" w:type="dxa"/>
            <w:vAlign w:val="center"/>
          </w:tcPr>
          <w:p>
            <w:pPr>
              <w:pStyle w:val="TableNumber"/>
            </w:pPr>
            <w:r>
              <w:t>0.0765 (2/13)</w:t>
            </w:r>
          </w:p>
        </w:tc>
        <w:tc>
          <w:tcPr>
            <w:tcW w:w="1100" w:type="dxa"/>
            <w:vAlign w:val="center"/>
          </w:tcPr>
          <w:p>
            <w:pPr>
              <w:pStyle w:val="TableNumber"/>
            </w:pPr>
            <w:r>
              <w:t>0.479</w:t>
            </w:r>
          </w:p>
        </w:tc>
        <w:tc>
          <w:tcPr>
            <w:tcW w:w="1500" w:type="dxa"/>
            <w:vAlign w:val="center"/>
          </w:tcPr>
          <w:p>
            <w:pPr>
              <w:pStyle w:val="TableNumber"/>
            </w:pPr>
            <w:r>
              <w:t>0.42%</w:t>
            </w:r>
          </w:p>
        </w:tc>
        <w:tc>
          <w:tcPr>
            <w:tcW w:w="1650" w:type="dxa"/>
            <w:vAlign w:val="center"/>
          </w:tcPr>
          <w:p>
            <w:pPr>
              <w:pStyle w:val="TableNumber"/>
            </w:pPr>
            <w:r>
              <w:t>5.120 (2/13)</w:t>
            </w:r>
          </w:p>
        </w:tc>
        <w:tc>
          <w:tcPr>
            <w:tcW w:w="1600" w:type="dxa"/>
            <w:vAlign w:val="center"/>
          </w:tcPr>
          <w:p>
            <w:pPr>
              <w:pStyle w:val="TableNumber"/>
            </w:pPr>
            <w:r>
              <w:t>-9.23% (9/13)</w:t>
            </w:r>
          </w:p>
        </w:tc>
        <w:tc>
          <w:tcPr>
            <w:tcW w:w="960" w:type="dxa"/>
            <w:vAlign w:val="center"/>
          </w:tcPr>
          <w:p>
            <w:pPr>
              <w:pStyle w:val="TableNumber"/>
            </w:pPr>
            <w:r>
              <w:t>0.295</w:t>
            </w:r>
          </w:p>
        </w:tc>
      </w:tr>
      <w:tr>
        <w:trPr>
          <w:cantSplit/>
        </w:trPr>
        <w:tc>
          <w:tcPr>
            <w:tcW w:w="650" w:type="dxa"/>
            <w:vAlign w:val="center"/>
          </w:tcPr>
          <w:p>
            <w:pPr>
              <w:pStyle w:val="TableText"/>
            </w:pPr>
            <w:r>
              <w:t>2d</w:t>
            </w:r>
          </w:p>
        </w:tc>
        <w:tc>
          <w:tcPr>
            <w:tcW w:w="1900" w:type="dxa"/>
            <w:vAlign w:val="center"/>
          </w:tcPr>
          <w:p>
            <w:pPr>
              <w:pStyle w:val="TableNumber"/>
            </w:pPr>
            <w:r>
              <w:t>0.0831 (2/13)</w:t>
            </w:r>
          </w:p>
        </w:tc>
        <w:tc>
          <w:tcPr>
            <w:tcW w:w="1100" w:type="dxa"/>
            <w:vAlign w:val="center"/>
          </w:tcPr>
          <w:p>
            <w:pPr>
              <w:pStyle w:val="TableNumber"/>
            </w:pPr>
            <w:r>
              <w:t>0.555</w:t>
            </w:r>
          </w:p>
        </w:tc>
        <w:tc>
          <w:tcPr>
            <w:tcW w:w="1500" w:type="dxa"/>
            <w:vAlign w:val="center"/>
          </w:tcPr>
          <w:p>
            <w:pPr>
              <w:pStyle w:val="TableNumber"/>
            </w:pPr>
            <w:r>
              <w:t>0.66%</w:t>
            </w:r>
          </w:p>
        </w:tc>
        <w:tc>
          <w:tcPr>
            <w:tcW w:w="1650" w:type="dxa"/>
            <w:vAlign w:val="center"/>
          </w:tcPr>
          <w:p>
            <w:pPr>
              <w:pStyle w:val="TableNumber"/>
            </w:pPr>
            <w:r>
              <w:t>4.005 (1/13)</w:t>
            </w:r>
          </w:p>
        </w:tc>
        <w:tc>
          <w:tcPr>
            <w:tcW w:w="1600" w:type="dxa"/>
            <w:vAlign w:val="center"/>
          </w:tcPr>
          <w:p>
            <w:pPr>
              <w:pStyle w:val="TableNumber"/>
            </w:pPr>
            <w:r>
              <w:t>-10.64% (7/13)</w:t>
            </w:r>
          </w:p>
        </w:tc>
        <w:tc>
          <w:tcPr>
            <w:tcW w:w="960" w:type="dxa"/>
            <w:vAlign w:val="center"/>
          </w:tcPr>
          <w:p>
            <w:pPr>
              <w:pStyle w:val="TableNumber"/>
            </w:pPr>
            <w:r>
              <w:t>0.290</w:t>
            </w:r>
          </w:p>
        </w:tc>
      </w:tr>
      <w:tr>
        <w:trPr>
          <w:cantSplit/>
        </w:trPr>
        <w:tc>
          <w:tcPr>
            <w:tcW w:w="650" w:type="dxa"/>
            <w:vAlign w:val="center"/>
          </w:tcPr>
          <w:p>
            <w:pPr>
              <w:pStyle w:val="TableText"/>
            </w:pPr>
            <w:r>
              <w:t>3d</w:t>
            </w:r>
          </w:p>
        </w:tc>
        <w:tc>
          <w:tcPr>
            <w:tcW w:w="1900" w:type="dxa"/>
            <w:vAlign w:val="center"/>
          </w:tcPr>
          <w:p>
            <w:pPr>
              <w:pStyle w:val="TableNumber"/>
            </w:pPr>
            <w:r>
              <w:t>0.0839 (1/13)</w:t>
            </w:r>
          </w:p>
        </w:tc>
        <w:tc>
          <w:tcPr>
            <w:tcW w:w="1100" w:type="dxa"/>
            <w:vAlign w:val="center"/>
          </w:tcPr>
          <w:p>
            <w:pPr>
              <w:pStyle w:val="TableNumber"/>
            </w:pPr>
            <w:r>
              <w:t>0.563</w:t>
            </w:r>
          </w:p>
        </w:tc>
        <w:tc>
          <w:tcPr>
            <w:tcW w:w="1500" w:type="dxa"/>
            <w:vAlign w:val="center"/>
          </w:tcPr>
          <w:p>
            <w:pPr>
              <w:pStyle w:val="TableNumber"/>
            </w:pPr>
            <w:r>
              <w:t>0.78%</w:t>
            </w:r>
          </w:p>
        </w:tc>
        <w:tc>
          <w:tcPr>
            <w:tcW w:w="1650" w:type="dxa"/>
            <w:vAlign w:val="center"/>
          </w:tcPr>
          <w:p>
            <w:pPr>
              <w:pStyle w:val="TableNumber"/>
            </w:pPr>
            <w:r>
              <w:t>3.049 (1/13)</w:t>
            </w:r>
          </w:p>
        </w:tc>
        <w:tc>
          <w:tcPr>
            <w:tcW w:w="1600" w:type="dxa"/>
            <w:vAlign w:val="center"/>
          </w:tcPr>
          <w:p>
            <w:pPr>
              <w:pStyle w:val="TableNumber"/>
            </w:pPr>
            <w:r>
              <w:t>-15.53% (6/13)</w:t>
            </w:r>
          </w:p>
        </w:tc>
        <w:tc>
          <w:tcPr>
            <w:tcW w:w="960" w:type="dxa"/>
            <w:vAlign w:val="center"/>
          </w:tcPr>
          <w:p>
            <w:pPr>
              <w:pStyle w:val="TableNumber"/>
            </w:pPr>
            <w:r>
              <w:t>0.299</w:t>
            </w:r>
          </w:p>
        </w:tc>
      </w:tr>
      <w:tr>
        <w:trPr>
          <w:cantSplit/>
        </w:trPr>
        <w:tc>
          <w:tcPr>
            <w:tcW w:w="650" w:type="dxa"/>
            <w:vAlign w:val="center"/>
          </w:tcPr>
          <w:p>
            <w:pPr>
              <w:pStyle w:val="TableText"/>
            </w:pPr>
            <w:r>
              <w:t>4d</w:t>
            </w:r>
          </w:p>
        </w:tc>
        <w:tc>
          <w:tcPr>
            <w:tcW w:w="1900" w:type="dxa"/>
            <w:vAlign w:val="center"/>
          </w:tcPr>
          <w:p>
            <w:pPr>
              <w:pStyle w:val="TableNumber"/>
            </w:pPr>
            <w:r>
              <w:t>0.0918 (1/13)</w:t>
            </w:r>
          </w:p>
        </w:tc>
        <w:tc>
          <w:tcPr>
            <w:tcW w:w="1100" w:type="dxa"/>
            <w:vAlign w:val="center"/>
          </w:tcPr>
          <w:p>
            <w:pPr>
              <w:pStyle w:val="TableNumber"/>
            </w:pPr>
            <w:r>
              <w:t>0.626</w:t>
            </w:r>
          </w:p>
        </w:tc>
        <w:tc>
          <w:tcPr>
            <w:tcW w:w="1500" w:type="dxa"/>
            <w:vAlign w:val="center"/>
          </w:tcPr>
          <w:p>
            <w:pPr>
              <w:pStyle w:val="TableNumber"/>
            </w:pPr>
            <w:r>
              <w:t>1.03%</w:t>
            </w:r>
          </w:p>
        </w:tc>
        <w:tc>
          <w:tcPr>
            <w:tcW w:w="1650" w:type="dxa"/>
            <w:vAlign w:val="center"/>
          </w:tcPr>
          <w:p>
            <w:pPr>
              <w:pStyle w:val="TableNumber"/>
            </w:pPr>
            <w:r>
              <w:t>3.013 (1/13)</w:t>
            </w:r>
          </w:p>
        </w:tc>
        <w:tc>
          <w:tcPr>
            <w:tcW w:w="1600" w:type="dxa"/>
            <w:vAlign w:val="center"/>
          </w:tcPr>
          <w:p>
            <w:pPr>
              <w:pStyle w:val="TableNumber"/>
            </w:pPr>
            <w:r>
              <w:t>-17.30% (7/13)</w:t>
            </w:r>
          </w:p>
        </w:tc>
        <w:tc>
          <w:tcPr>
            <w:tcW w:w="960" w:type="dxa"/>
            <w:vAlign w:val="center"/>
          </w:tcPr>
          <w:p>
            <w:pPr>
              <w:pStyle w:val="TableNumber"/>
            </w:pPr>
            <w:r>
              <w:t>0.299</w:t>
            </w:r>
          </w:p>
        </w:tc>
      </w:tr>
      <w:tr>
        <w:trPr>
          <w:cantSplit/>
        </w:trPr>
        <w:tc>
          <w:tcPr>
            <w:tcW w:w="650" w:type="dxa"/>
            <w:vAlign w:val="center"/>
          </w:tcPr>
          <w:p>
            <w:pPr>
              <w:pStyle w:val="TableText"/>
            </w:pPr>
            <w:r>
              <w:t>5d</w:t>
            </w:r>
          </w:p>
        </w:tc>
        <w:tc>
          <w:tcPr>
            <w:tcW w:w="1900" w:type="dxa"/>
            <w:vAlign w:val="center"/>
          </w:tcPr>
          <w:p>
            <w:pPr>
              <w:pStyle w:val="TableNumber"/>
            </w:pPr>
            <w:r>
              <w:t>0.0936 (1/13)</w:t>
            </w:r>
          </w:p>
        </w:tc>
        <w:tc>
          <w:tcPr>
            <w:tcW w:w="1100" w:type="dxa"/>
            <w:vAlign w:val="center"/>
          </w:tcPr>
          <w:p>
            <w:pPr>
              <w:pStyle w:val="TableNumber"/>
            </w:pPr>
            <w:r>
              <w:t>0.658</w:t>
            </w:r>
          </w:p>
        </w:tc>
        <w:tc>
          <w:tcPr>
            <w:tcW w:w="1500" w:type="dxa"/>
            <w:vAlign w:val="center"/>
          </w:tcPr>
          <w:p>
            <w:pPr>
              <w:pStyle w:val="TableNumber"/>
            </w:pPr>
            <w:r>
              <w:t>1.15%</w:t>
            </w:r>
          </w:p>
        </w:tc>
        <w:tc>
          <w:tcPr>
            <w:tcW w:w="1650" w:type="dxa"/>
            <w:vAlign w:val="center"/>
          </w:tcPr>
          <w:p>
            <w:pPr>
              <w:pStyle w:val="TableNumber"/>
            </w:pPr>
            <w:r>
              <w:t>2.674 (1/13)</w:t>
            </w:r>
          </w:p>
        </w:tc>
        <w:tc>
          <w:tcPr>
            <w:tcW w:w="1600" w:type="dxa"/>
            <w:vAlign w:val="center"/>
          </w:tcPr>
          <w:p>
            <w:pPr>
              <w:pStyle w:val="TableNumber"/>
            </w:pPr>
            <w:r>
              <w:t>-17.30% (5/13)</w:t>
            </w:r>
          </w:p>
        </w:tc>
        <w:tc>
          <w:tcPr>
            <w:tcW w:w="960" w:type="dxa"/>
            <w:vAlign w:val="center"/>
          </w:tcPr>
          <w:p>
            <w:pPr>
              <w:pStyle w:val="TableNumber"/>
            </w:pPr>
            <w:r>
              <w:t>0.304</w:t>
            </w:r>
          </w:p>
        </w:tc>
      </w:tr>
      <w:tr>
        <w:trPr>
          <w:cantSplit/>
        </w:trPr>
        <w:tc>
          <w:tcPr>
            <w:tcW w:w="650" w:type="dxa"/>
            <w:vAlign w:val="center"/>
          </w:tcPr>
          <w:p>
            <w:pPr>
              <w:pStyle w:val="TableText"/>
            </w:pPr>
            <w:r>
              <w:t>6d</w:t>
            </w:r>
          </w:p>
        </w:tc>
        <w:tc>
          <w:tcPr>
            <w:tcW w:w="1900" w:type="dxa"/>
            <w:vAlign w:val="center"/>
          </w:tcPr>
          <w:p>
            <w:pPr>
              <w:pStyle w:val="TableNumber"/>
            </w:pPr>
            <w:r>
              <w:t>0.0996 (1/13)</w:t>
            </w:r>
          </w:p>
        </w:tc>
        <w:tc>
          <w:tcPr>
            <w:tcW w:w="1100" w:type="dxa"/>
            <w:vAlign w:val="center"/>
          </w:tcPr>
          <w:p>
            <w:pPr>
              <w:pStyle w:val="TableNumber"/>
            </w:pPr>
            <w:r>
              <w:t>0.704</w:t>
            </w:r>
          </w:p>
        </w:tc>
        <w:tc>
          <w:tcPr>
            <w:tcW w:w="1500" w:type="dxa"/>
            <w:vAlign w:val="center"/>
          </w:tcPr>
          <w:p>
            <w:pPr>
              <w:pStyle w:val="TableNumber"/>
            </w:pPr>
            <w:r>
              <w:t>1.41%</w:t>
            </w:r>
          </w:p>
        </w:tc>
        <w:tc>
          <w:tcPr>
            <w:tcW w:w="1650" w:type="dxa"/>
            <w:vAlign w:val="center"/>
          </w:tcPr>
          <w:p>
            <w:pPr>
              <w:pStyle w:val="TableNumber"/>
            </w:pPr>
            <w:r>
              <w:t>2.690 (1/13)</w:t>
            </w:r>
          </w:p>
        </w:tc>
        <w:tc>
          <w:tcPr>
            <w:tcW w:w="1600" w:type="dxa"/>
            <w:vAlign w:val="center"/>
          </w:tcPr>
          <w:p>
            <w:pPr>
              <w:pStyle w:val="TableNumber"/>
            </w:pPr>
            <w:r>
              <w:t>-19.52% (5/13)</w:t>
            </w:r>
          </w:p>
        </w:tc>
        <w:tc>
          <w:tcPr>
            <w:tcW w:w="960" w:type="dxa"/>
            <w:vAlign w:val="center"/>
          </w:tcPr>
          <w:p>
            <w:pPr>
              <w:pStyle w:val="TableNumber"/>
            </w:pPr>
            <w:r>
              <w:t>0.302</w:t>
            </w:r>
          </w:p>
        </w:tc>
      </w:tr>
      <w:tr>
        <w:trPr>
          <w:cantSplit/>
        </w:trPr>
        <w:tc>
          <w:tcPr>
            <w:tcW w:w="650" w:type="dxa"/>
            <w:vAlign w:val="center"/>
          </w:tcPr>
          <w:p>
            <w:pPr>
              <w:pStyle w:val="TableText"/>
            </w:pPr>
            <w:r>
              <w:t>7d</w:t>
            </w:r>
          </w:p>
        </w:tc>
        <w:tc>
          <w:tcPr>
            <w:tcW w:w="1900" w:type="dxa"/>
            <w:vAlign w:val="center"/>
          </w:tcPr>
          <w:p>
            <w:pPr>
              <w:pStyle w:val="TableNumber"/>
            </w:pPr>
            <w:r>
              <w:t>0.1046 (1/13)</w:t>
            </w:r>
          </w:p>
        </w:tc>
        <w:tc>
          <w:tcPr>
            <w:tcW w:w="1100" w:type="dxa"/>
            <w:vAlign w:val="center"/>
          </w:tcPr>
          <w:p>
            <w:pPr>
              <w:pStyle w:val="TableNumber"/>
            </w:pPr>
            <w:r>
              <w:t>0.747</w:t>
            </w:r>
          </w:p>
        </w:tc>
        <w:tc>
          <w:tcPr>
            <w:tcW w:w="1500" w:type="dxa"/>
            <w:vAlign w:val="center"/>
          </w:tcPr>
          <w:p>
            <w:pPr>
              <w:pStyle w:val="TableNumber"/>
            </w:pPr>
            <w:r>
              <w:t>1.64%</w:t>
            </w:r>
          </w:p>
        </w:tc>
        <w:tc>
          <w:tcPr>
            <w:tcW w:w="1650" w:type="dxa"/>
            <w:vAlign w:val="center"/>
          </w:tcPr>
          <w:p>
            <w:pPr>
              <w:pStyle w:val="TableNumber"/>
            </w:pPr>
            <w:r>
              <w:t>2.626 (1/13)</w:t>
            </w:r>
          </w:p>
        </w:tc>
        <w:tc>
          <w:tcPr>
            <w:tcW w:w="1600" w:type="dxa"/>
            <w:vAlign w:val="center"/>
          </w:tcPr>
          <w:p>
            <w:pPr>
              <w:pStyle w:val="TableNumber"/>
            </w:pPr>
            <w:r>
              <w:t>-22.30% (5/13)</w:t>
            </w:r>
          </w:p>
        </w:tc>
        <w:tc>
          <w:tcPr>
            <w:tcW w:w="960" w:type="dxa"/>
            <w:vAlign w:val="center"/>
          </w:tcPr>
          <w:p>
            <w:pPr>
              <w:pStyle w:val="TableNumber"/>
            </w:pPr>
            <w:r>
              <w:t>0.301</w:t>
            </w:r>
          </w:p>
        </w:tc>
      </w:tr>
      <w:tr>
        <w:trPr>
          <w:cantSplit/>
        </w:trPr>
        <w:tc>
          <w:tcPr>
            <w:tcW w:w="650" w:type="dxa"/>
            <w:vAlign w:val="center"/>
          </w:tcPr>
          <w:p>
            <w:pPr>
              <w:pStyle w:val="TableText"/>
            </w:pPr>
            <w:r>
              <w:t>8d</w:t>
            </w:r>
          </w:p>
        </w:tc>
        <w:tc>
          <w:tcPr>
            <w:tcW w:w="1900" w:type="dxa"/>
            <w:vAlign w:val="center"/>
          </w:tcPr>
          <w:p>
            <w:pPr>
              <w:pStyle w:val="TableNumber"/>
            </w:pPr>
            <w:r>
              <w:t>0.1029 (1/13)</w:t>
            </w:r>
          </w:p>
        </w:tc>
        <w:tc>
          <w:tcPr>
            <w:tcW w:w="1100" w:type="dxa"/>
            <w:vAlign w:val="center"/>
          </w:tcPr>
          <w:p>
            <w:pPr>
              <w:pStyle w:val="TableNumber"/>
            </w:pPr>
            <w:r>
              <w:t>0.749</w:t>
            </w:r>
          </w:p>
        </w:tc>
        <w:tc>
          <w:tcPr>
            <w:tcW w:w="1500" w:type="dxa"/>
            <w:vAlign w:val="center"/>
          </w:tcPr>
          <w:p>
            <w:pPr>
              <w:pStyle w:val="TableNumber"/>
            </w:pPr>
            <w:r>
              <w:t>1.79%</w:t>
            </w:r>
          </w:p>
        </w:tc>
        <w:tc>
          <w:tcPr>
            <w:tcW w:w="1650" w:type="dxa"/>
            <w:vAlign w:val="center"/>
          </w:tcPr>
          <w:p>
            <w:pPr>
              <w:pStyle w:val="TableNumber"/>
            </w:pPr>
            <w:r>
              <w:t>2.483 (1/13)</w:t>
            </w:r>
          </w:p>
        </w:tc>
        <w:tc>
          <w:tcPr>
            <w:tcW w:w="1600" w:type="dxa"/>
            <w:vAlign w:val="center"/>
          </w:tcPr>
          <w:p>
            <w:pPr>
              <w:pStyle w:val="TableNumber"/>
            </w:pPr>
            <w:r>
              <w:t>-23.97% (5/13)</w:t>
            </w:r>
          </w:p>
        </w:tc>
        <w:tc>
          <w:tcPr>
            <w:tcW w:w="960" w:type="dxa"/>
            <w:vAlign w:val="center"/>
          </w:tcPr>
          <w:p>
            <w:pPr>
              <w:pStyle w:val="TableNumber"/>
            </w:pPr>
            <w:r>
              <w:t>0.299</w:t>
            </w:r>
          </w:p>
        </w:tc>
      </w:tr>
      <w:tr>
        <w:trPr>
          <w:cantSplit/>
        </w:trPr>
        <w:tc>
          <w:tcPr>
            <w:tcW w:w="650" w:type="dxa"/>
            <w:vAlign w:val="center"/>
          </w:tcPr>
          <w:p>
            <w:pPr>
              <w:pStyle w:val="TableText"/>
            </w:pPr>
            <w:r>
              <w:t>9d</w:t>
            </w:r>
          </w:p>
        </w:tc>
        <w:tc>
          <w:tcPr>
            <w:tcW w:w="1900" w:type="dxa"/>
            <w:vAlign w:val="center"/>
          </w:tcPr>
          <w:p>
            <w:pPr>
              <w:pStyle w:val="TableNumber"/>
            </w:pPr>
            <w:r>
              <w:t>0.1052 (1/13)</w:t>
            </w:r>
          </w:p>
        </w:tc>
        <w:tc>
          <w:tcPr>
            <w:tcW w:w="1100" w:type="dxa"/>
            <w:vAlign w:val="center"/>
          </w:tcPr>
          <w:p>
            <w:pPr>
              <w:pStyle w:val="TableNumber"/>
            </w:pPr>
            <w:r>
              <w:t>0.757</w:t>
            </w:r>
          </w:p>
        </w:tc>
        <w:tc>
          <w:tcPr>
            <w:tcW w:w="1500" w:type="dxa"/>
            <w:vAlign w:val="center"/>
          </w:tcPr>
          <w:p>
            <w:pPr>
              <w:pStyle w:val="TableNumber"/>
            </w:pPr>
            <w:r>
              <w:t>1.99%</w:t>
            </w:r>
          </w:p>
        </w:tc>
        <w:tc>
          <w:tcPr>
            <w:tcW w:w="1650" w:type="dxa"/>
            <w:vAlign w:val="center"/>
          </w:tcPr>
          <w:p>
            <w:pPr>
              <w:pStyle w:val="TableNumber"/>
            </w:pPr>
            <w:r>
              <w:t>2.397 (1/13)</w:t>
            </w:r>
          </w:p>
        </w:tc>
        <w:tc>
          <w:tcPr>
            <w:tcW w:w="1600" w:type="dxa"/>
            <w:vAlign w:val="center"/>
          </w:tcPr>
          <w:p>
            <w:pPr>
              <w:pStyle w:val="TableNumber"/>
            </w:pPr>
            <w:r>
              <w:t>-23.67% (5/13)</w:t>
            </w:r>
          </w:p>
        </w:tc>
        <w:tc>
          <w:tcPr>
            <w:tcW w:w="960" w:type="dxa"/>
            <w:vAlign w:val="center"/>
          </w:tcPr>
          <w:p>
            <w:pPr>
              <w:pStyle w:val="TableNumber"/>
            </w:pPr>
            <w:r>
              <w:t>0.298</w:t>
            </w:r>
          </w:p>
        </w:tc>
      </w:tr>
      <w:tr>
        <w:trPr>
          <w:cantSplit/>
        </w:trPr>
        <w:tc>
          <w:tcPr>
            <w:tcW w:w="650" w:type="dxa"/>
            <w:vAlign w:val="center"/>
          </w:tcPr>
          <w:p>
            <w:pPr>
              <w:pStyle w:val="TableText"/>
            </w:pPr>
            <w:r>
              <w:t>10d</w:t>
            </w:r>
          </w:p>
        </w:tc>
        <w:tc>
          <w:tcPr>
            <w:tcW w:w="1900" w:type="dxa"/>
            <w:vAlign w:val="center"/>
          </w:tcPr>
          <w:p>
            <w:pPr>
              <w:pStyle w:val="TableNumber"/>
            </w:pPr>
            <w:r>
              <w:t>0.1050 (1/13)</w:t>
            </w:r>
          </w:p>
        </w:tc>
        <w:tc>
          <w:tcPr>
            <w:tcW w:w="1100" w:type="dxa"/>
            <w:vAlign w:val="center"/>
          </w:tcPr>
          <w:p>
            <w:pPr>
              <w:pStyle w:val="TableNumber"/>
            </w:pPr>
            <w:r>
              <w:t>0.744</w:t>
            </w:r>
          </w:p>
        </w:tc>
        <w:tc>
          <w:tcPr>
            <w:tcW w:w="1500" w:type="dxa"/>
            <w:vAlign w:val="center"/>
          </w:tcPr>
          <w:p>
            <w:pPr>
              <w:pStyle w:val="TableNumber"/>
            </w:pPr>
            <w:r>
              <w:t>2.14%</w:t>
            </w:r>
          </w:p>
        </w:tc>
        <w:tc>
          <w:tcPr>
            <w:tcW w:w="1650" w:type="dxa"/>
            <w:vAlign w:val="center"/>
          </w:tcPr>
          <w:p>
            <w:pPr>
              <w:pStyle w:val="TableNumber"/>
            </w:pPr>
            <w:r>
              <w:t>2.252 (2/13)</w:t>
            </w:r>
          </w:p>
        </w:tc>
        <w:tc>
          <w:tcPr>
            <w:tcW w:w="1600" w:type="dxa"/>
            <w:vAlign w:val="center"/>
          </w:tcPr>
          <w:p>
            <w:pPr>
              <w:pStyle w:val="TableNumber"/>
            </w:pPr>
            <w:r>
              <w:t>-31.36% (6/13)</w:t>
            </w:r>
          </w:p>
        </w:tc>
        <w:tc>
          <w:tcPr>
            <w:tcW w:w="960" w:type="dxa"/>
            <w:vAlign w:val="center"/>
          </w:tcPr>
          <w:p>
            <w:pPr>
              <w:pStyle w:val="TableNumber"/>
            </w:pPr>
            <w:r>
              <w:t>0.296</w:t>
            </w:r>
          </w:p>
        </w:tc>
      </w:tr>
      <w:tr>
        <w:trPr>
          <w:cantSplit/>
        </w:trPr>
        <w:tc>
          <w:tcPr>
            <w:tcW w:w="650" w:type="dxa"/>
            <w:vAlign w:val="center"/>
          </w:tcPr>
          <w:p>
            <w:pPr>
              <w:pStyle w:val="TableText"/>
            </w:pPr>
            <w:r>
              <w:t>11d</w:t>
            </w:r>
          </w:p>
        </w:tc>
        <w:tc>
          <w:tcPr>
            <w:tcW w:w="1900" w:type="dxa"/>
            <w:vAlign w:val="center"/>
          </w:tcPr>
          <w:p>
            <w:pPr>
              <w:pStyle w:val="TableNumber"/>
            </w:pPr>
            <w:r>
              <w:t>0.1066 (1/13)</w:t>
            </w:r>
          </w:p>
        </w:tc>
        <w:tc>
          <w:tcPr>
            <w:tcW w:w="1100" w:type="dxa"/>
            <w:vAlign w:val="center"/>
          </w:tcPr>
          <w:p>
            <w:pPr>
              <w:pStyle w:val="TableNumber"/>
            </w:pPr>
            <w:r>
              <w:t>0.740</w:t>
            </w:r>
          </w:p>
        </w:tc>
        <w:tc>
          <w:tcPr>
            <w:tcW w:w="1500" w:type="dxa"/>
            <w:vAlign w:val="center"/>
          </w:tcPr>
          <w:p>
            <w:pPr>
              <w:pStyle w:val="TableNumber"/>
            </w:pPr>
            <w:r>
              <w:t>2.29%</w:t>
            </w:r>
          </w:p>
        </w:tc>
        <w:tc>
          <w:tcPr>
            <w:tcW w:w="1650" w:type="dxa"/>
            <w:vAlign w:val="center"/>
          </w:tcPr>
          <w:p>
            <w:pPr>
              <w:pStyle w:val="TableNumber"/>
            </w:pPr>
            <w:r>
              <w:t>2.151 (2/13)</w:t>
            </w:r>
          </w:p>
        </w:tc>
        <w:tc>
          <w:tcPr>
            <w:tcW w:w="1600" w:type="dxa"/>
            <w:vAlign w:val="center"/>
          </w:tcPr>
          <w:p>
            <w:pPr>
              <w:pStyle w:val="TableNumber"/>
            </w:pPr>
            <w:r>
              <w:t>-37.59% (6/13)</w:t>
            </w:r>
          </w:p>
        </w:tc>
        <w:tc>
          <w:tcPr>
            <w:tcW w:w="960" w:type="dxa"/>
            <w:vAlign w:val="center"/>
          </w:tcPr>
          <w:p>
            <w:pPr>
              <w:pStyle w:val="TableNumber"/>
            </w:pPr>
            <w:r>
              <w:t>0.292</w:t>
            </w:r>
          </w:p>
        </w:tc>
      </w:tr>
      <w:tr>
        <w:trPr>
          <w:cantSplit/>
        </w:trPr>
        <w:tc>
          <w:tcPr>
            <w:tcW w:w="650" w:type="dxa"/>
            <w:vAlign w:val="center"/>
          </w:tcPr>
          <w:p>
            <w:pPr>
              <w:pStyle w:val="TableText"/>
            </w:pPr>
            <w:r>
              <w:t>12d</w:t>
            </w:r>
          </w:p>
        </w:tc>
        <w:tc>
          <w:tcPr>
            <w:tcW w:w="1900" w:type="dxa"/>
            <w:vAlign w:val="center"/>
          </w:tcPr>
          <w:p>
            <w:pPr>
              <w:pStyle w:val="TableNumber"/>
            </w:pPr>
            <w:r>
              <w:t>0.1070 (1/13)</w:t>
            </w:r>
          </w:p>
        </w:tc>
        <w:tc>
          <w:tcPr>
            <w:tcW w:w="1100" w:type="dxa"/>
            <w:vAlign w:val="center"/>
          </w:tcPr>
          <w:p>
            <w:pPr>
              <w:pStyle w:val="TableNumber"/>
            </w:pPr>
            <w:r>
              <w:t>0.732</w:t>
            </w:r>
          </w:p>
        </w:tc>
        <w:tc>
          <w:tcPr>
            <w:tcW w:w="1500" w:type="dxa"/>
            <w:vAlign w:val="center"/>
          </w:tcPr>
          <w:p>
            <w:pPr>
              <w:pStyle w:val="TableNumber"/>
            </w:pPr>
            <w:r>
              <w:t>2.44%</w:t>
            </w:r>
          </w:p>
        </w:tc>
        <w:tc>
          <w:tcPr>
            <w:tcW w:w="1650" w:type="dxa"/>
            <w:vAlign w:val="center"/>
          </w:tcPr>
          <w:p>
            <w:pPr>
              <w:pStyle w:val="TableNumber"/>
            </w:pPr>
            <w:r>
              <w:t>2.069 (3/13)</w:t>
            </w:r>
          </w:p>
        </w:tc>
        <w:tc>
          <w:tcPr>
            <w:tcW w:w="1600" w:type="dxa"/>
            <w:vAlign w:val="center"/>
          </w:tcPr>
          <w:p>
            <w:pPr>
              <w:pStyle w:val="TableNumber"/>
            </w:pPr>
            <w:r>
              <w:t>-42.44% (7/13)</w:t>
            </w:r>
          </w:p>
        </w:tc>
        <w:tc>
          <w:tcPr>
            <w:tcW w:w="960" w:type="dxa"/>
            <w:vAlign w:val="center"/>
          </w:tcPr>
          <w:p>
            <w:pPr>
              <w:pStyle w:val="TableNumber"/>
            </w:pPr>
            <w:r>
              <w:t>0.293</w:t>
            </w:r>
          </w:p>
        </w:tc>
      </w:tr>
      <w:tr>
        <w:trPr>
          <w:cantSplit/>
        </w:trPr>
        <w:tc>
          <w:tcPr>
            <w:tcW w:w="650" w:type="dxa"/>
            <w:vAlign w:val="center"/>
          </w:tcPr>
          <w:p>
            <w:pPr>
              <w:pStyle w:val="TableText"/>
            </w:pPr>
            <w:r>
              <w:t>13d</w:t>
            </w:r>
          </w:p>
        </w:tc>
        <w:tc>
          <w:tcPr>
            <w:tcW w:w="1900" w:type="dxa"/>
            <w:vAlign w:val="center"/>
          </w:tcPr>
          <w:p>
            <w:pPr>
              <w:pStyle w:val="TableNumber"/>
            </w:pPr>
            <w:r>
              <w:t>0.1042 (1/13)</w:t>
            </w:r>
          </w:p>
        </w:tc>
        <w:tc>
          <w:tcPr>
            <w:tcW w:w="1100" w:type="dxa"/>
            <w:vAlign w:val="center"/>
          </w:tcPr>
          <w:p>
            <w:pPr>
              <w:pStyle w:val="TableNumber"/>
            </w:pPr>
            <w:r>
              <w:t>0.705</w:t>
            </w:r>
          </w:p>
        </w:tc>
        <w:tc>
          <w:tcPr>
            <w:tcW w:w="1500" w:type="dxa"/>
            <w:vAlign w:val="center"/>
          </w:tcPr>
          <w:p>
            <w:pPr>
              <w:pStyle w:val="TableNumber"/>
            </w:pPr>
            <w:r>
              <w:t>2.43%</w:t>
            </w:r>
          </w:p>
        </w:tc>
        <w:tc>
          <w:tcPr>
            <w:tcW w:w="1650" w:type="dxa"/>
            <w:vAlign w:val="center"/>
          </w:tcPr>
          <w:p>
            <w:pPr>
              <w:pStyle w:val="TableNumber"/>
            </w:pPr>
            <w:r>
              <w:t>1.873 (3/13)</w:t>
            </w:r>
          </w:p>
        </w:tc>
        <w:tc>
          <w:tcPr>
            <w:tcW w:w="1600" w:type="dxa"/>
            <w:vAlign w:val="center"/>
          </w:tcPr>
          <w:p>
            <w:pPr>
              <w:pStyle w:val="TableNumber"/>
            </w:pPr>
            <w:r>
              <w:t>-50.21% (8/13)</w:t>
            </w:r>
          </w:p>
        </w:tc>
        <w:tc>
          <w:tcPr>
            <w:tcW w:w="960" w:type="dxa"/>
            <w:vAlign w:val="center"/>
          </w:tcPr>
          <w:p>
            <w:pPr>
              <w:pStyle w:val="TableNumber"/>
            </w:pPr>
            <w:r>
              <w:t>0.286</w:t>
            </w:r>
          </w:p>
        </w:tc>
      </w:tr>
      <w:tr>
        <w:trPr>
          <w:cantSplit/>
        </w:trPr>
        <w:tc>
          <w:tcPr>
            <w:tcW w:w="650" w:type="dxa"/>
            <w:vAlign w:val="center"/>
          </w:tcPr>
          <w:p>
            <w:pPr>
              <w:pStyle w:val="TableText"/>
            </w:pPr>
            <w:r>
              <w:t>14d</w:t>
            </w:r>
          </w:p>
        </w:tc>
        <w:tc>
          <w:tcPr>
            <w:tcW w:w="1900" w:type="dxa"/>
            <w:vAlign w:val="center"/>
          </w:tcPr>
          <w:p>
            <w:pPr>
              <w:pStyle w:val="TableNumber"/>
            </w:pPr>
            <w:r>
              <w:t>0.1043 (1/13)</w:t>
            </w:r>
          </w:p>
        </w:tc>
        <w:tc>
          <w:tcPr>
            <w:tcW w:w="1100" w:type="dxa"/>
            <w:vAlign w:val="center"/>
          </w:tcPr>
          <w:p>
            <w:pPr>
              <w:pStyle w:val="TableNumber"/>
            </w:pPr>
            <w:r>
              <w:t>0.701</w:t>
            </w:r>
          </w:p>
        </w:tc>
        <w:tc>
          <w:tcPr>
            <w:tcW w:w="1500" w:type="dxa"/>
            <w:vAlign w:val="center"/>
          </w:tcPr>
          <w:p>
            <w:pPr>
              <w:pStyle w:val="TableNumber"/>
            </w:pPr>
            <w:r>
              <w:t>2.60%</w:t>
            </w:r>
          </w:p>
        </w:tc>
        <w:tc>
          <w:tcPr>
            <w:tcW w:w="1650" w:type="dxa"/>
            <w:vAlign w:val="center"/>
          </w:tcPr>
          <w:p>
            <w:pPr>
              <w:pStyle w:val="TableNumber"/>
            </w:pPr>
            <w:r>
              <w:t>1.827 (3/13)</w:t>
            </w:r>
          </w:p>
        </w:tc>
        <w:tc>
          <w:tcPr>
            <w:tcW w:w="1600" w:type="dxa"/>
            <w:vAlign w:val="center"/>
          </w:tcPr>
          <w:p>
            <w:pPr>
              <w:pStyle w:val="TableNumber"/>
            </w:pPr>
            <w:r>
              <w:t>-54.49% (7/13)</w:t>
            </w:r>
          </w:p>
        </w:tc>
        <w:tc>
          <w:tcPr>
            <w:tcW w:w="960" w:type="dxa"/>
            <w:vAlign w:val="center"/>
          </w:tcPr>
          <w:p>
            <w:pPr>
              <w:pStyle w:val="TableNumber"/>
            </w:pPr>
            <w:r>
              <w:t>0.287</w:t>
            </w:r>
          </w:p>
        </w:tc>
      </w:tr>
    </w:tbl>
    <w:p>
      <w:pPr>
        <w:pStyle w:val="a"/>
        <w:spacing w:before="160"/>
      </w:pPr>
      <w:r>
        <w:t xml:space="preserve">表 9 的 q50 RankIC 與 ICIR 是同日股票排序診斷，不受資金尺度錯誤影響。淨 log 報酬、Sharpe、最大回撤與其原排名只保留追溯資訊。舊版簡化診斷；資金／成本尺度未對齊，不作可靠策略績效結論。不能據此宣稱可部署、穩定獲利，或用來支持模型策略優劣。</w:t>
      </w:r>
    </w:p>
    <w:p>
      <w:pPr>
        <w:pStyle w:val="Note"/>
      </w:pPr>
      <w:r>
        <w:t xml:space="preserve">目前多頭持倉合計 +0.5、空頭 −0.5，turnover 與成本使用這個尺度；gross return 卻為 mean(long)−mean(short)，少了同尺度的 0.5。成本固定 10 bps×turnover，Sharpe 仍以 sqrt(252/h) 年化。不得直接把 Sharpe 或最大回撤除以二；需統一持倉、報酬與成本後重算完整序列。之後還要處理多日持有重疊、alpha/log return 與實際投資組合損益、借券、容量、滑價、衝擊與稅費。此限制同樣適用獨立 ranking head 的舊經濟診斷，不影響 pinball、coverage、q50 correlation、方向一致率或 RankIC。</w:t>
      </w:r>
    </w:p>
    <w:p>
      <w:pPr>
        <w:pStyle w:val="21"/>
      </w:pPr>
      <w:r>
        <w:t xml:space="preserve">6.3a 獨立 ranking head 的市場別選股能力</w:t>
      </w:r>
    </w:p>
    <w:p>
      <w:pPr>
        <w:pStyle w:val="Decision"/>
      </w:pPr>
      <w:r>
        <w:t xml:space="preserve">表 9a｜每格第一行 RankIC 第二行 ICIR 日期為有效評估日</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00"/>
        <w:gridCol w:w="2030"/>
        <w:gridCol w:w="890"/>
        <w:gridCol w:w="2030"/>
        <w:gridCol w:w="890"/>
        <w:gridCol w:w="2030"/>
        <w:gridCol w:w="890"/>
      </w:tblGrid>
      <w:tr>
        <w:trPr>
          <w:cantSplit/>
          <w:tblHeader/>
        </w:trPr>
        <w:tc>
          <w:tcPr>
            <w:tcW w:w="600" w:type="dxa"/>
            <w:shd w:fill="DCE6F1"/>
            <w:vAlign w:val="center"/>
          </w:tcPr>
          <w:p>
            <w:pPr>
              <w:pStyle w:val="TableHeader"/>
            </w:pPr>
            <w:r>
              <w:t xml:space="preserve">H</w:t>
            </w:r>
          </w:p>
        </w:tc>
        <w:tc>
          <w:tcPr>
            <w:tcW w:w="2030" w:type="dxa"/>
            <w:shd w:fill="DCE6F1"/>
            <w:vAlign w:val="center"/>
          </w:tcPr>
          <w:p>
            <w:pPr>
              <w:pStyle w:val="TableHeader"/>
            </w:pPr>
            <w:r>
              <w:t xml:space="preserve">US</w:t>
              <w:br/>
              <w:t xml:space="preserve">RankIC / ICIR</w:t>
            </w:r>
          </w:p>
        </w:tc>
        <w:tc>
          <w:tcPr>
            <w:tcW w:w="890" w:type="dxa"/>
            <w:shd w:fill="DCE6F1"/>
            <w:vAlign w:val="center"/>
          </w:tcPr>
          <w:p>
            <w:pPr>
              <w:pStyle w:val="TableHeader"/>
            </w:pPr>
            <w:r>
              <w:t xml:space="preserve">日期</w:t>
            </w:r>
          </w:p>
        </w:tc>
        <w:tc>
          <w:tcPr>
            <w:tcW w:w="2030" w:type="dxa"/>
            <w:shd w:fill="DCE6F1"/>
            <w:vAlign w:val="center"/>
          </w:tcPr>
          <w:p>
            <w:pPr>
              <w:pStyle w:val="TableHeader"/>
            </w:pPr>
            <w:r>
              <w:t xml:space="preserve">TWSE</w:t>
              <w:br/>
              <w:t xml:space="preserve">RankIC / ICIR</w:t>
            </w:r>
          </w:p>
        </w:tc>
        <w:tc>
          <w:tcPr>
            <w:tcW w:w="890" w:type="dxa"/>
            <w:shd w:fill="DCE6F1"/>
            <w:vAlign w:val="center"/>
          </w:tcPr>
          <w:p>
            <w:pPr>
              <w:pStyle w:val="TableHeader"/>
            </w:pPr>
            <w:r>
              <w:t xml:space="preserve">日期</w:t>
            </w:r>
          </w:p>
        </w:tc>
        <w:tc>
          <w:tcPr>
            <w:tcW w:w="2030" w:type="dxa"/>
            <w:shd w:fill="DCE6F1"/>
            <w:vAlign w:val="center"/>
          </w:tcPr>
          <w:p>
            <w:pPr>
              <w:pStyle w:val="TableHeader"/>
            </w:pPr>
            <w:r>
              <w:t xml:space="preserve">TPEX</w:t>
              <w:br/>
              <w:t xml:space="preserve">RankIC / ICIR</w:t>
            </w:r>
          </w:p>
        </w:tc>
        <w:tc>
          <w:tcPr>
            <w:tcW w:w="890" w:type="dxa"/>
            <w:shd w:fill="DCE6F1"/>
            <w:vAlign w:val="center"/>
          </w:tcPr>
          <w:p>
            <w:pPr>
              <w:pStyle w:val="TableHeader"/>
            </w:pPr>
            <w:r>
              <w:t xml:space="preserve">日期</w:t>
            </w:r>
          </w:p>
        </w:tc>
      </w:tr>
      <w:tr>
        <w:trPr>
          <w:cantSplit/>
        </w:trPr>
        <w:tc>
          <w:tcPr>
            <w:tcW w:w="600" w:type="dxa"/>
            <w:shd w:fill="FFFFFF"/>
            <w:vAlign w:val="center"/>
          </w:tcPr>
          <w:p>
            <w:pPr>
              <w:pStyle w:val="TableNumber"/>
            </w:pPr>
            <w:r>
              <w:t xml:space="preserve">1d</w:t>
            </w:r>
          </w:p>
        </w:tc>
        <w:tc>
          <w:tcPr>
            <w:tcW w:w="2030" w:type="dxa"/>
            <w:shd w:fill="FFFFFF"/>
            <w:vAlign w:val="center"/>
          </w:tcPr>
          <w:p>
            <w:pPr>
              <w:pStyle w:val="TableNumber"/>
            </w:pPr>
            <w:r>
              <w:t xml:space="preserve">0.024688</w:t>
              <w:br/>
              <w:t xml:space="preserve">0.182723</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0.072745</w:t>
              <w:br/>
              <w:t xml:space="preserve">0.396263</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0.049925</w:t>
              <w:br/>
              <w:t xml:space="preserve">0.364780</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2d</w:t>
            </w:r>
          </w:p>
        </w:tc>
        <w:tc>
          <w:tcPr>
            <w:tcW w:w="2030" w:type="dxa"/>
            <w:shd w:fill="F7F9FC"/>
            <w:vAlign w:val="center"/>
          </w:tcPr>
          <w:p>
            <w:pPr>
              <w:pStyle w:val="TableNumber"/>
            </w:pPr>
            <w:r>
              <w:t xml:space="preserve">0.036930</w:t>
              <w:br/>
              <w:t xml:space="preserve">0.273265</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0.057332</w:t>
              <w:br/>
              <w:t xml:space="preserve">0.337491</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0.047080</w:t>
              <w:br/>
              <w:t xml:space="preserve">0.353765</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3d</w:t>
            </w:r>
          </w:p>
        </w:tc>
        <w:tc>
          <w:tcPr>
            <w:tcW w:w="2030" w:type="dxa"/>
            <w:shd w:fill="FFFFFF"/>
            <w:vAlign w:val="center"/>
          </w:tcPr>
          <w:p>
            <w:pPr>
              <w:pStyle w:val="TableNumber"/>
            </w:pPr>
            <w:r>
              <w:t xml:space="preserve">0.045630</w:t>
              <w:br/>
              <w:t xml:space="preserve">0.338742</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0.055210</w:t>
              <w:br/>
              <w:t xml:space="preserve">0.329292</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0.043475</w:t>
              <w:br/>
              <w:t xml:space="preserve">0.314012</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4d</w:t>
            </w:r>
          </w:p>
        </w:tc>
        <w:tc>
          <w:tcPr>
            <w:tcW w:w="2030" w:type="dxa"/>
            <w:shd w:fill="F7F9FC"/>
            <w:vAlign w:val="center"/>
          </w:tcPr>
          <w:p>
            <w:pPr>
              <w:pStyle w:val="TableNumber"/>
            </w:pPr>
            <w:r>
              <w:t xml:space="preserve">0.052134</w:t>
              <w:br/>
              <w:t xml:space="preserve">0.383014</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0.055705</w:t>
              <w:br/>
              <w:t xml:space="preserve">0.313218</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0.043156</w:t>
              <w:br/>
              <w:t xml:space="preserve">0.300967</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5d</w:t>
            </w:r>
          </w:p>
        </w:tc>
        <w:tc>
          <w:tcPr>
            <w:tcW w:w="2030" w:type="dxa"/>
            <w:shd w:fill="FFFFFF"/>
            <w:vAlign w:val="center"/>
          </w:tcPr>
          <w:p>
            <w:pPr>
              <w:pStyle w:val="TableNumber"/>
            </w:pPr>
            <w:r>
              <w:t xml:space="preserve">0.058563</w:t>
              <w:br/>
              <w:t xml:space="preserve">0.444653</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0.056728</w:t>
              <w:br/>
              <w:t xml:space="preserve">0.337300</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0.047753</w:t>
              <w:br/>
              <w:t xml:space="preserve">0.335465</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6d</w:t>
            </w:r>
          </w:p>
        </w:tc>
        <w:tc>
          <w:tcPr>
            <w:tcW w:w="2030" w:type="dxa"/>
            <w:shd w:fill="F7F9FC"/>
            <w:vAlign w:val="center"/>
          </w:tcPr>
          <w:p>
            <w:pPr>
              <w:pStyle w:val="TableNumber"/>
            </w:pPr>
            <w:r>
              <w:t xml:space="preserve">0.064533</w:t>
              <w:br/>
              <w:t xml:space="preserve">0.503175</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0.053800</w:t>
              <w:br/>
              <w:t xml:space="preserve">0.324734</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0.034578</w:t>
              <w:br/>
              <w:t xml:space="preserve">0.238278</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7d</w:t>
            </w:r>
          </w:p>
        </w:tc>
        <w:tc>
          <w:tcPr>
            <w:tcW w:w="2030" w:type="dxa"/>
            <w:shd w:fill="FFFFFF"/>
            <w:vAlign w:val="center"/>
          </w:tcPr>
          <w:p>
            <w:pPr>
              <w:pStyle w:val="TableNumber"/>
            </w:pPr>
            <w:r>
              <w:t xml:space="preserve">0.065230</w:t>
              <w:br/>
              <w:t xml:space="preserve">0.504487</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0.052341</w:t>
              <w:br/>
              <w:t xml:space="preserve">0.317427</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0.035133</w:t>
              <w:br/>
              <w:t xml:space="preserve">0.245324</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8d</w:t>
            </w:r>
          </w:p>
        </w:tc>
        <w:tc>
          <w:tcPr>
            <w:tcW w:w="2030" w:type="dxa"/>
            <w:shd w:fill="F7F9FC"/>
            <w:vAlign w:val="center"/>
          </w:tcPr>
          <w:p>
            <w:pPr>
              <w:pStyle w:val="TableNumber"/>
            </w:pPr>
            <w:r>
              <w:t xml:space="preserve">0.068810</w:t>
              <w:br/>
              <w:t xml:space="preserve">0.546050</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0.050559</w:t>
              <w:br/>
              <w:t xml:space="preserve">0.320906</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0.036943</w:t>
              <w:br/>
              <w:t xml:space="preserve">0.263342</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9d</w:t>
            </w:r>
          </w:p>
        </w:tc>
        <w:tc>
          <w:tcPr>
            <w:tcW w:w="2030" w:type="dxa"/>
            <w:shd w:fill="FFFFFF"/>
            <w:vAlign w:val="center"/>
          </w:tcPr>
          <w:p>
            <w:pPr>
              <w:pStyle w:val="TableNumber"/>
            </w:pPr>
            <w:r>
              <w:t xml:space="preserve">0.071293</w:t>
              <w:br/>
              <w:t xml:space="preserve">0.561839</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0.044526</w:t>
              <w:br/>
              <w:t xml:space="preserve">0.290754</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0.036370</w:t>
              <w:br/>
              <w:t xml:space="preserve">0.268395</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10d</w:t>
            </w:r>
          </w:p>
        </w:tc>
        <w:tc>
          <w:tcPr>
            <w:tcW w:w="2030" w:type="dxa"/>
            <w:shd w:fill="F7F9FC"/>
            <w:vAlign w:val="center"/>
          </w:tcPr>
          <w:p>
            <w:pPr>
              <w:pStyle w:val="TableNumber"/>
            </w:pPr>
            <w:r>
              <w:t xml:space="preserve">0.069937</w:t>
              <w:br/>
              <w:t xml:space="preserve">0.528945</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0.038785</w:t>
              <w:br/>
              <w:t xml:space="preserve">0.253952</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0.030432</w:t>
              <w:br/>
              <w:t xml:space="preserve">0.229117</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11d</w:t>
            </w:r>
          </w:p>
        </w:tc>
        <w:tc>
          <w:tcPr>
            <w:tcW w:w="2030" w:type="dxa"/>
            <w:shd w:fill="FFFFFF"/>
            <w:vAlign w:val="center"/>
          </w:tcPr>
          <w:p>
            <w:pPr>
              <w:pStyle w:val="TableNumber"/>
            </w:pPr>
            <w:r>
              <w:t xml:space="preserve">0.069512</w:t>
              <w:br/>
              <w:t xml:space="preserve">0.507140</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0.034163</w:t>
              <w:br/>
              <w:t xml:space="preserve">0.223909</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0.026246</w:t>
              <w:br/>
              <w:t xml:space="preserve">0.201787</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12d</w:t>
            </w:r>
          </w:p>
        </w:tc>
        <w:tc>
          <w:tcPr>
            <w:tcW w:w="2030" w:type="dxa"/>
            <w:shd w:fill="F7F9FC"/>
            <w:vAlign w:val="center"/>
          </w:tcPr>
          <w:p>
            <w:pPr>
              <w:pStyle w:val="TableNumber"/>
            </w:pPr>
            <w:r>
              <w:t xml:space="preserve">0.067319</w:t>
              <w:br/>
              <w:t xml:space="preserve">0.472955</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0.035283</w:t>
              <w:br/>
              <w:t xml:space="preserve">0.242543</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0.029089</w:t>
              <w:br/>
              <w:t xml:space="preserve">0.233661</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13d</w:t>
            </w:r>
          </w:p>
        </w:tc>
        <w:tc>
          <w:tcPr>
            <w:tcW w:w="2030" w:type="dxa"/>
            <w:shd w:fill="FFFFFF"/>
            <w:vAlign w:val="center"/>
          </w:tcPr>
          <w:p>
            <w:pPr>
              <w:pStyle w:val="TableNumber"/>
            </w:pPr>
            <w:r>
              <w:t xml:space="preserve">0.063871</w:t>
              <w:br/>
              <w:t xml:space="preserve">0.448880</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0.030632</w:t>
              <w:br/>
              <w:t xml:space="preserve">0.215625</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0.024958</w:t>
              <w:br/>
              <w:t xml:space="preserve">0.199526</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14d</w:t>
            </w:r>
          </w:p>
        </w:tc>
        <w:tc>
          <w:tcPr>
            <w:tcW w:w="2030" w:type="dxa"/>
            <w:shd w:fill="F7F9FC"/>
            <w:vAlign w:val="center"/>
          </w:tcPr>
          <w:p>
            <w:pPr>
              <w:pStyle w:val="TableNumber"/>
            </w:pPr>
            <w:r>
              <w:t xml:space="preserve">0.066183</w:t>
              <w:br/>
              <w:t xml:space="preserve">0.441299</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0.028739</w:t>
              <w:br/>
              <w:t xml:space="preserve">0.202730</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0.028777</w:t>
              <w:br/>
              <w:t xml:space="preserve">0.235582</w:t>
            </w:r>
          </w:p>
        </w:tc>
        <w:tc>
          <w:tcPr>
            <w:tcW w:w="890" w:type="dxa"/>
            <w:shd w:fill="F7F9FC"/>
            <w:vAlign w:val="center"/>
          </w:tcPr>
          <w:p>
            <w:pPr>
              <w:pStyle w:val="TableNumber"/>
            </w:pPr>
            <w:r>
              <w:t xml:space="preserve">103</w:t>
            </w:r>
          </w:p>
        </w:tc>
      </w:tr>
    </w:tbl>
    <w:p>
      <w:pPr>
        <w:pStyle w:val="a"/>
        <w:spacing w:before="160"/>
      </w:pPr>
      <w:r>
        <w:t xml:space="preserve">q50 correlation 問的是預測 alpha 數值與實際 alpha 是否一起變動；q50 RankIC 是同日以 q50 排股票後，是否與實際 alpha 排名相近；獨立 head RankIC 則改用專門訓練的 ranking score。每日期先做 Spearman 排名相關，rank_ic_mean 為有效日期的平均，ICIR 為平均除以日期間樣本標準差，未年化。正值表示預測排前的股票平均也較常在實際 alpha 排前，不是獲利幅度。</w:t>
      </w:r>
    </w:p>
    <w:p>
      <w:pPr>
        <w:pStyle w:val="a"/>
      </w:pPr>
      <w:r>
        <w:t xml:space="preserve">獨立 score 沒有報酬率單位，不能當預期報酬、不能以正負判斷股價或 alpha 方向。q50 cross_sectional_by_horizon 目前跨市場混合，而 independent_ranking 是市場別；兩者不能直接比較。尚缺同市場、同有效日期集合的 q50 對照，故不宣稱獨立 head 勝出。US 有 110 日期、TWSE/TPEX 各 103，與完整 test 的 112 日期不同；少於 3 檔、非有限值或排序分數無變化的日期不進入此指標。</w:t>
      </w:r>
    </w:p>
    <w:p>
      <w:pPr>
        <w:pStyle w:val="11"/>
      </w:pPr>
      <w:r>
        <w:t>7. 一至十四日衍生訊號分布</w:t>
      </w:r>
    </w:p>
    <w:p>
      <w:pPr>
        <w:pStyle w:val="Decision"/>
        <w:keepNext/>
        <w:spacing w:after="80"/>
      </w:pPr>
      <w:r>
        <w:t>表 10｜threshold 等於 0 的後處理標籤</w:t>
      </w:r>
    </w:p>
    <w:tbl>
      <w:tblPr>
        <w:tblStyle w:val="BenchmarkTable"/>
        <w:tblW w:w="9360" w:type="dxa"/>
        <w:tblLayout w:type="fixed"/>
      </w:tblPr>
      <w:tblGrid>
        <w:gridCol w:w="900"/>
        <w:gridCol w:w="1800"/>
        <w:gridCol w:w="1800"/>
        <w:gridCol w:w="1800"/>
        <w:gridCol w:w="3060"/>
      </w:tblGrid>
      <w:tr>
        <w:trPr>
          <w:tblHeader/>
        </w:trPr>
        <w:tc>
          <w:tcPr>
            <w:tcW w:w="900" w:type="dxa"/>
            <w:shd w:val="clear" w:fill="DCE6F1"/>
            <w:vAlign w:val="center"/>
          </w:tcPr>
          <w:p>
            <w:pPr>
              <w:pStyle w:val="TableHeader"/>
            </w:pPr>
            <w:r>
              <w:t>H</w:t>
            </w:r>
          </w:p>
        </w:tc>
        <w:tc>
          <w:tcPr>
            <w:tcW w:w="1800" w:type="dxa"/>
            <w:shd w:val="clear" w:fill="DCE6F1"/>
            <w:vAlign w:val="center"/>
          </w:tcPr>
          <w:p>
            <w:pPr>
              <w:pStyle w:val="TableHeader"/>
            </w:pPr>
            <w:r>
              <w:t>Bearish</w:t>
            </w:r>
          </w:p>
        </w:tc>
        <w:tc>
          <w:tcPr>
            <w:tcW w:w="1800" w:type="dxa"/>
            <w:shd w:val="clear" w:fill="DCE6F1"/>
            <w:vAlign w:val="center"/>
          </w:tcPr>
          <w:p>
            <w:pPr>
              <w:pStyle w:val="TableHeader"/>
            </w:pPr>
            <w:r>
              <w:t>Neutral</w:t>
            </w:r>
          </w:p>
        </w:tc>
        <w:tc>
          <w:tcPr>
            <w:tcW w:w="1800" w:type="dxa"/>
            <w:shd w:val="clear" w:fill="DCE6F1"/>
            <w:vAlign w:val="center"/>
          </w:tcPr>
          <w:p>
            <w:pPr>
              <w:pStyle w:val="TableHeader"/>
            </w:pPr>
            <w:r>
              <w:t>Bullish</w:t>
            </w:r>
          </w:p>
        </w:tc>
        <w:tc>
          <w:tcPr>
            <w:tcW w:w="3060" w:type="dxa"/>
            <w:shd w:val="clear" w:fill="DCE6F1"/>
            <w:vAlign w:val="center"/>
          </w:tcPr>
          <w:p>
            <w:pPr>
              <w:pStyle w:val="TableHeader"/>
            </w:pPr>
            <w:r>
              <w:t>強空／強多（筆）</w:t>
            </w:r>
          </w:p>
        </w:tc>
      </w:tr>
      <w:tr>
        <w:trPr>
          <w:cantSplit/>
        </w:trPr>
        <w:tc>
          <w:tcPr>
            <w:tcW w:w="900" w:type="dxa"/>
            <w:vAlign w:val="center"/>
          </w:tcPr>
          <w:p>
            <w:pPr>
              <w:pStyle w:val="TableText"/>
            </w:pPr>
            <w:r>
              <w:t>1d</w:t>
            </w:r>
          </w:p>
        </w:tc>
        <w:tc>
          <w:tcPr>
            <w:tcW w:w="1800" w:type="dxa"/>
            <w:vAlign w:val="center"/>
          </w:tcPr>
          <w:p>
            <w:pPr>
              <w:pStyle w:val="TableNumber"/>
            </w:pPr>
            <w:r>
              <w:t>61.14%</w:t>
            </w:r>
          </w:p>
        </w:tc>
        <w:tc>
          <w:tcPr>
            <w:tcW w:w="1800" w:type="dxa"/>
            <w:vAlign w:val="center"/>
          </w:tcPr>
          <w:p>
            <w:pPr>
              <w:pStyle w:val="TableNumber"/>
            </w:pPr>
            <w:r>
              <w:t>0.00%</w:t>
            </w:r>
          </w:p>
        </w:tc>
        <w:tc>
          <w:tcPr>
            <w:tcW w:w="1800" w:type="dxa"/>
            <w:vAlign w:val="center"/>
          </w:tcPr>
          <w:p>
            <w:pPr>
              <w:pStyle w:val="TableNumber"/>
            </w:pPr>
            <w:r>
              <w:t>38.86%</w:t>
            </w:r>
          </w:p>
        </w:tc>
        <w:tc>
          <w:tcPr>
            <w:tcW w:w="3060" w:type="dxa"/>
            <w:vAlign w:val="center"/>
          </w:tcPr>
          <w:p>
            <w:pPr>
              <w:pStyle w:val="TableNumber"/>
            </w:pPr>
            <w:r>
              <w:t>0／23</w:t>
            </w:r>
          </w:p>
        </w:tc>
      </w:tr>
      <w:tr>
        <w:trPr>
          <w:cantSplit/>
        </w:trPr>
        <w:tc>
          <w:tcPr>
            <w:tcW w:w="900" w:type="dxa"/>
            <w:vAlign w:val="center"/>
          </w:tcPr>
          <w:p>
            <w:pPr>
              <w:pStyle w:val="TableText"/>
            </w:pPr>
            <w:r>
              <w:t>2d</w:t>
            </w:r>
          </w:p>
        </w:tc>
        <w:tc>
          <w:tcPr>
            <w:tcW w:w="1800" w:type="dxa"/>
            <w:vAlign w:val="center"/>
          </w:tcPr>
          <w:p>
            <w:pPr>
              <w:pStyle w:val="TableNumber"/>
            </w:pPr>
            <w:r>
              <w:t>57.95%</w:t>
            </w:r>
          </w:p>
        </w:tc>
        <w:tc>
          <w:tcPr>
            <w:tcW w:w="1800" w:type="dxa"/>
            <w:vAlign w:val="center"/>
          </w:tcPr>
          <w:p>
            <w:pPr>
              <w:pStyle w:val="TableNumber"/>
            </w:pPr>
            <w:r>
              <w:t>0.00%</w:t>
            </w:r>
          </w:p>
        </w:tc>
        <w:tc>
          <w:tcPr>
            <w:tcW w:w="1800" w:type="dxa"/>
            <w:vAlign w:val="center"/>
          </w:tcPr>
          <w:p>
            <w:pPr>
              <w:pStyle w:val="TableNumber"/>
            </w:pPr>
            <w:r>
              <w:t>42.05%</w:t>
            </w:r>
          </w:p>
        </w:tc>
        <w:tc>
          <w:tcPr>
            <w:tcW w:w="3060" w:type="dxa"/>
            <w:vAlign w:val="center"/>
          </w:tcPr>
          <w:p>
            <w:pPr>
              <w:pStyle w:val="TableNumber"/>
            </w:pPr>
            <w:r>
              <w:t>0／12</w:t>
            </w:r>
          </w:p>
        </w:tc>
      </w:tr>
      <w:tr>
        <w:trPr>
          <w:cantSplit/>
        </w:trPr>
        <w:tc>
          <w:tcPr>
            <w:tcW w:w="900" w:type="dxa"/>
            <w:vAlign w:val="center"/>
          </w:tcPr>
          <w:p>
            <w:pPr>
              <w:pStyle w:val="TableText"/>
            </w:pPr>
            <w:r>
              <w:t>3d</w:t>
            </w:r>
          </w:p>
        </w:tc>
        <w:tc>
          <w:tcPr>
            <w:tcW w:w="1800" w:type="dxa"/>
            <w:vAlign w:val="center"/>
          </w:tcPr>
          <w:p>
            <w:pPr>
              <w:pStyle w:val="TableNumber"/>
            </w:pPr>
            <w:r>
              <w:t>64.62%</w:t>
            </w:r>
          </w:p>
        </w:tc>
        <w:tc>
          <w:tcPr>
            <w:tcW w:w="1800" w:type="dxa"/>
            <w:vAlign w:val="center"/>
          </w:tcPr>
          <w:p>
            <w:pPr>
              <w:pStyle w:val="TableNumber"/>
            </w:pPr>
            <w:r>
              <w:t>0.00%</w:t>
            </w:r>
          </w:p>
        </w:tc>
        <w:tc>
          <w:tcPr>
            <w:tcW w:w="1800" w:type="dxa"/>
            <w:vAlign w:val="center"/>
          </w:tcPr>
          <w:p>
            <w:pPr>
              <w:pStyle w:val="TableNumber"/>
            </w:pPr>
            <w:r>
              <w:t>35.38%</w:t>
            </w:r>
          </w:p>
        </w:tc>
        <w:tc>
          <w:tcPr>
            <w:tcW w:w="3060" w:type="dxa"/>
            <w:vAlign w:val="center"/>
          </w:tcPr>
          <w:p>
            <w:pPr>
              <w:pStyle w:val="TableNumber"/>
            </w:pPr>
            <w:r>
              <w:t>0／12</w:t>
            </w:r>
          </w:p>
        </w:tc>
      </w:tr>
      <w:tr>
        <w:trPr>
          <w:cantSplit/>
        </w:trPr>
        <w:tc>
          <w:tcPr>
            <w:tcW w:w="900" w:type="dxa"/>
            <w:vAlign w:val="center"/>
          </w:tcPr>
          <w:p>
            <w:pPr>
              <w:pStyle w:val="TableText"/>
            </w:pPr>
            <w:r>
              <w:t>4d</w:t>
            </w:r>
          </w:p>
        </w:tc>
        <w:tc>
          <w:tcPr>
            <w:tcW w:w="1800" w:type="dxa"/>
            <w:vAlign w:val="center"/>
          </w:tcPr>
          <w:p>
            <w:pPr>
              <w:pStyle w:val="TableNumber"/>
            </w:pPr>
            <w:r>
              <w:t>57.05%</w:t>
            </w:r>
          </w:p>
        </w:tc>
        <w:tc>
          <w:tcPr>
            <w:tcW w:w="1800" w:type="dxa"/>
            <w:vAlign w:val="center"/>
          </w:tcPr>
          <w:p>
            <w:pPr>
              <w:pStyle w:val="TableNumber"/>
            </w:pPr>
            <w:r>
              <w:t>0.00%</w:t>
            </w:r>
          </w:p>
        </w:tc>
        <w:tc>
          <w:tcPr>
            <w:tcW w:w="1800" w:type="dxa"/>
            <w:vAlign w:val="center"/>
          </w:tcPr>
          <w:p>
            <w:pPr>
              <w:pStyle w:val="TableNumber"/>
            </w:pPr>
            <w:r>
              <w:t>42.95%</w:t>
            </w:r>
          </w:p>
        </w:tc>
        <w:tc>
          <w:tcPr>
            <w:tcW w:w="3060" w:type="dxa"/>
            <w:vAlign w:val="center"/>
          </w:tcPr>
          <w:p>
            <w:pPr>
              <w:pStyle w:val="TableNumber"/>
            </w:pPr>
            <w:r>
              <w:t>0／36</w:t>
            </w:r>
          </w:p>
        </w:tc>
      </w:tr>
      <w:tr>
        <w:trPr>
          <w:cantSplit/>
        </w:trPr>
        <w:tc>
          <w:tcPr>
            <w:tcW w:w="900" w:type="dxa"/>
            <w:vAlign w:val="center"/>
          </w:tcPr>
          <w:p>
            <w:pPr>
              <w:pStyle w:val="TableText"/>
            </w:pPr>
            <w:r>
              <w:t>5d</w:t>
            </w:r>
          </w:p>
        </w:tc>
        <w:tc>
          <w:tcPr>
            <w:tcW w:w="1800" w:type="dxa"/>
            <w:vAlign w:val="center"/>
          </w:tcPr>
          <w:p>
            <w:pPr>
              <w:pStyle w:val="TableNumber"/>
            </w:pPr>
            <w:r>
              <w:t>67.53%</w:t>
            </w:r>
          </w:p>
        </w:tc>
        <w:tc>
          <w:tcPr>
            <w:tcW w:w="1800" w:type="dxa"/>
            <w:vAlign w:val="center"/>
          </w:tcPr>
          <w:p>
            <w:pPr>
              <w:pStyle w:val="TableNumber"/>
            </w:pPr>
            <w:r>
              <w:t>0.00%</w:t>
            </w:r>
          </w:p>
        </w:tc>
        <w:tc>
          <w:tcPr>
            <w:tcW w:w="1800" w:type="dxa"/>
            <w:vAlign w:val="center"/>
          </w:tcPr>
          <w:p>
            <w:pPr>
              <w:pStyle w:val="TableNumber"/>
            </w:pPr>
            <w:r>
              <w:t>32.47%</w:t>
            </w:r>
          </w:p>
        </w:tc>
        <w:tc>
          <w:tcPr>
            <w:tcW w:w="3060" w:type="dxa"/>
            <w:vAlign w:val="center"/>
          </w:tcPr>
          <w:p>
            <w:pPr>
              <w:pStyle w:val="TableNumber"/>
            </w:pPr>
            <w:r>
              <w:t>0／15</w:t>
            </w:r>
          </w:p>
        </w:tc>
      </w:tr>
      <w:tr>
        <w:trPr>
          <w:cantSplit/>
        </w:trPr>
        <w:tc>
          <w:tcPr>
            <w:tcW w:w="900" w:type="dxa"/>
            <w:vAlign w:val="center"/>
          </w:tcPr>
          <w:p>
            <w:pPr>
              <w:pStyle w:val="TableText"/>
            </w:pPr>
            <w:r>
              <w:t>6d</w:t>
            </w:r>
          </w:p>
        </w:tc>
        <w:tc>
          <w:tcPr>
            <w:tcW w:w="1800" w:type="dxa"/>
            <w:vAlign w:val="center"/>
          </w:tcPr>
          <w:p>
            <w:pPr>
              <w:pStyle w:val="TableNumber"/>
            </w:pPr>
            <w:r>
              <w:t>66.06%</w:t>
            </w:r>
          </w:p>
        </w:tc>
        <w:tc>
          <w:tcPr>
            <w:tcW w:w="1800" w:type="dxa"/>
            <w:vAlign w:val="center"/>
          </w:tcPr>
          <w:p>
            <w:pPr>
              <w:pStyle w:val="TableNumber"/>
            </w:pPr>
            <w:r>
              <w:t>0.00%</w:t>
            </w:r>
          </w:p>
        </w:tc>
        <w:tc>
          <w:tcPr>
            <w:tcW w:w="1800" w:type="dxa"/>
            <w:vAlign w:val="center"/>
          </w:tcPr>
          <w:p>
            <w:pPr>
              <w:pStyle w:val="TableNumber"/>
            </w:pPr>
            <w:r>
              <w:t>33.94%</w:t>
            </w:r>
          </w:p>
        </w:tc>
        <w:tc>
          <w:tcPr>
            <w:tcW w:w="3060" w:type="dxa"/>
            <w:vAlign w:val="center"/>
          </w:tcPr>
          <w:p>
            <w:pPr>
              <w:pStyle w:val="TableNumber"/>
            </w:pPr>
            <w:r>
              <w:t>0／45</w:t>
            </w:r>
          </w:p>
        </w:tc>
      </w:tr>
      <w:tr>
        <w:trPr>
          <w:cantSplit/>
        </w:trPr>
        <w:tc>
          <w:tcPr>
            <w:tcW w:w="900" w:type="dxa"/>
            <w:vAlign w:val="center"/>
          </w:tcPr>
          <w:p>
            <w:pPr>
              <w:pStyle w:val="TableText"/>
            </w:pPr>
            <w:r>
              <w:t>7d</w:t>
            </w:r>
          </w:p>
        </w:tc>
        <w:tc>
          <w:tcPr>
            <w:tcW w:w="1800" w:type="dxa"/>
            <w:vAlign w:val="center"/>
          </w:tcPr>
          <w:p>
            <w:pPr>
              <w:pStyle w:val="TableNumber"/>
            </w:pPr>
            <w:r>
              <w:t>59.93%</w:t>
            </w:r>
          </w:p>
        </w:tc>
        <w:tc>
          <w:tcPr>
            <w:tcW w:w="1800" w:type="dxa"/>
            <w:vAlign w:val="center"/>
          </w:tcPr>
          <w:p>
            <w:pPr>
              <w:pStyle w:val="TableNumber"/>
            </w:pPr>
            <w:r>
              <w:t>0.00%</w:t>
            </w:r>
          </w:p>
        </w:tc>
        <w:tc>
          <w:tcPr>
            <w:tcW w:w="1800" w:type="dxa"/>
            <w:vAlign w:val="center"/>
          </w:tcPr>
          <w:p>
            <w:pPr>
              <w:pStyle w:val="TableNumber"/>
            </w:pPr>
            <w:r>
              <w:t>40.07%</w:t>
            </w:r>
          </w:p>
        </w:tc>
        <w:tc>
          <w:tcPr>
            <w:tcW w:w="3060" w:type="dxa"/>
            <w:vAlign w:val="center"/>
          </w:tcPr>
          <w:p>
            <w:pPr>
              <w:pStyle w:val="TableNumber"/>
            </w:pPr>
            <w:r>
              <w:t>2／143</w:t>
            </w:r>
          </w:p>
        </w:tc>
      </w:tr>
      <w:tr>
        <w:trPr>
          <w:cantSplit/>
        </w:trPr>
        <w:tc>
          <w:tcPr>
            <w:tcW w:w="900" w:type="dxa"/>
            <w:vAlign w:val="center"/>
          </w:tcPr>
          <w:p>
            <w:pPr>
              <w:pStyle w:val="TableText"/>
            </w:pPr>
            <w:r>
              <w:t>8d</w:t>
            </w:r>
          </w:p>
        </w:tc>
        <w:tc>
          <w:tcPr>
            <w:tcW w:w="1800" w:type="dxa"/>
            <w:vAlign w:val="center"/>
          </w:tcPr>
          <w:p>
            <w:pPr>
              <w:pStyle w:val="TableNumber"/>
            </w:pPr>
            <w:r>
              <w:t>62.76%</w:t>
            </w:r>
          </w:p>
        </w:tc>
        <w:tc>
          <w:tcPr>
            <w:tcW w:w="1800" w:type="dxa"/>
            <w:vAlign w:val="center"/>
          </w:tcPr>
          <w:p>
            <w:pPr>
              <w:pStyle w:val="TableNumber"/>
            </w:pPr>
            <w:r>
              <w:t>0.00%</w:t>
            </w:r>
          </w:p>
        </w:tc>
        <w:tc>
          <w:tcPr>
            <w:tcW w:w="1800" w:type="dxa"/>
            <w:vAlign w:val="center"/>
          </w:tcPr>
          <w:p>
            <w:pPr>
              <w:pStyle w:val="TableNumber"/>
            </w:pPr>
            <w:r>
              <w:t>37.24%</w:t>
            </w:r>
          </w:p>
        </w:tc>
        <w:tc>
          <w:tcPr>
            <w:tcW w:w="3060" w:type="dxa"/>
            <w:vAlign w:val="center"/>
          </w:tcPr>
          <w:p>
            <w:pPr>
              <w:pStyle w:val="TableNumber"/>
            </w:pPr>
            <w:r>
              <w:t>6／120</w:t>
            </w:r>
          </w:p>
        </w:tc>
      </w:tr>
      <w:tr>
        <w:trPr>
          <w:cantSplit/>
        </w:trPr>
        <w:tc>
          <w:tcPr>
            <w:tcW w:w="900" w:type="dxa"/>
            <w:vAlign w:val="center"/>
          </w:tcPr>
          <w:p>
            <w:pPr>
              <w:pStyle w:val="TableText"/>
            </w:pPr>
            <w:r>
              <w:t>9d</w:t>
            </w:r>
          </w:p>
        </w:tc>
        <w:tc>
          <w:tcPr>
            <w:tcW w:w="1800" w:type="dxa"/>
            <w:vAlign w:val="center"/>
          </w:tcPr>
          <w:p>
            <w:pPr>
              <w:pStyle w:val="TableNumber"/>
            </w:pPr>
            <w:r>
              <w:t>60.57%</w:t>
            </w:r>
          </w:p>
        </w:tc>
        <w:tc>
          <w:tcPr>
            <w:tcW w:w="1800" w:type="dxa"/>
            <w:vAlign w:val="center"/>
          </w:tcPr>
          <w:p>
            <w:pPr>
              <w:pStyle w:val="TableNumber"/>
            </w:pPr>
            <w:r>
              <w:t>0.00%</w:t>
            </w:r>
          </w:p>
        </w:tc>
        <w:tc>
          <w:tcPr>
            <w:tcW w:w="1800" w:type="dxa"/>
            <w:vAlign w:val="center"/>
          </w:tcPr>
          <w:p>
            <w:pPr>
              <w:pStyle w:val="TableNumber"/>
            </w:pPr>
            <w:r>
              <w:t>39.43%</w:t>
            </w:r>
          </w:p>
        </w:tc>
        <w:tc>
          <w:tcPr>
            <w:tcW w:w="3060" w:type="dxa"/>
            <w:vAlign w:val="center"/>
          </w:tcPr>
          <w:p>
            <w:pPr>
              <w:pStyle w:val="TableNumber"/>
            </w:pPr>
            <w:r>
              <w:t>10／153</w:t>
            </w:r>
          </w:p>
        </w:tc>
      </w:tr>
      <w:tr>
        <w:trPr>
          <w:cantSplit/>
        </w:trPr>
        <w:tc>
          <w:tcPr>
            <w:tcW w:w="900" w:type="dxa"/>
            <w:vAlign w:val="center"/>
          </w:tcPr>
          <w:p>
            <w:pPr>
              <w:pStyle w:val="TableText"/>
            </w:pPr>
            <w:r>
              <w:t>10d</w:t>
            </w:r>
          </w:p>
        </w:tc>
        <w:tc>
          <w:tcPr>
            <w:tcW w:w="1800" w:type="dxa"/>
            <w:vAlign w:val="center"/>
          </w:tcPr>
          <w:p>
            <w:pPr>
              <w:pStyle w:val="TableNumber"/>
            </w:pPr>
            <w:r>
              <w:t>63.02%</w:t>
            </w:r>
          </w:p>
        </w:tc>
        <w:tc>
          <w:tcPr>
            <w:tcW w:w="1800" w:type="dxa"/>
            <w:vAlign w:val="center"/>
          </w:tcPr>
          <w:p>
            <w:pPr>
              <w:pStyle w:val="TableNumber"/>
            </w:pPr>
            <w:r>
              <w:t>0.00%</w:t>
            </w:r>
          </w:p>
        </w:tc>
        <w:tc>
          <w:tcPr>
            <w:tcW w:w="1800" w:type="dxa"/>
            <w:vAlign w:val="center"/>
          </w:tcPr>
          <w:p>
            <w:pPr>
              <w:pStyle w:val="TableNumber"/>
            </w:pPr>
            <w:r>
              <w:t>36.98%</w:t>
            </w:r>
          </w:p>
        </w:tc>
        <w:tc>
          <w:tcPr>
            <w:tcW w:w="3060" w:type="dxa"/>
            <w:vAlign w:val="center"/>
          </w:tcPr>
          <w:p>
            <w:pPr>
              <w:pStyle w:val="TableNumber"/>
            </w:pPr>
            <w:r>
              <w:t>16／93</w:t>
            </w:r>
          </w:p>
        </w:tc>
      </w:tr>
      <w:tr>
        <w:trPr>
          <w:cantSplit/>
        </w:trPr>
        <w:tc>
          <w:tcPr>
            <w:tcW w:w="900" w:type="dxa"/>
            <w:vAlign w:val="center"/>
          </w:tcPr>
          <w:p>
            <w:pPr>
              <w:pStyle w:val="TableText"/>
            </w:pPr>
            <w:r>
              <w:t>11d</w:t>
            </w:r>
          </w:p>
        </w:tc>
        <w:tc>
          <w:tcPr>
            <w:tcW w:w="1800" w:type="dxa"/>
            <w:vAlign w:val="center"/>
          </w:tcPr>
          <w:p>
            <w:pPr>
              <w:pStyle w:val="TableNumber"/>
            </w:pPr>
            <w:r>
              <w:t>64.40%</w:t>
            </w:r>
          </w:p>
        </w:tc>
        <w:tc>
          <w:tcPr>
            <w:tcW w:w="1800" w:type="dxa"/>
            <w:vAlign w:val="center"/>
          </w:tcPr>
          <w:p>
            <w:pPr>
              <w:pStyle w:val="TableNumber"/>
            </w:pPr>
            <w:r>
              <w:t>0.00%</w:t>
            </w:r>
          </w:p>
        </w:tc>
        <w:tc>
          <w:tcPr>
            <w:tcW w:w="1800" w:type="dxa"/>
            <w:vAlign w:val="center"/>
          </w:tcPr>
          <w:p>
            <w:pPr>
              <w:pStyle w:val="TableNumber"/>
            </w:pPr>
            <w:r>
              <w:t>35.60%</w:t>
            </w:r>
          </w:p>
        </w:tc>
        <w:tc>
          <w:tcPr>
            <w:tcW w:w="3060" w:type="dxa"/>
            <w:vAlign w:val="center"/>
          </w:tcPr>
          <w:p>
            <w:pPr>
              <w:pStyle w:val="TableNumber"/>
            </w:pPr>
            <w:r>
              <w:t>21／122</w:t>
            </w:r>
          </w:p>
        </w:tc>
      </w:tr>
      <w:tr>
        <w:trPr>
          <w:cantSplit/>
        </w:trPr>
        <w:tc>
          <w:tcPr>
            <w:tcW w:w="900" w:type="dxa"/>
            <w:vAlign w:val="center"/>
          </w:tcPr>
          <w:p>
            <w:pPr>
              <w:pStyle w:val="TableText"/>
            </w:pPr>
            <w:r>
              <w:t>12d</w:t>
            </w:r>
          </w:p>
        </w:tc>
        <w:tc>
          <w:tcPr>
            <w:tcW w:w="1800" w:type="dxa"/>
            <w:vAlign w:val="center"/>
          </w:tcPr>
          <w:p>
            <w:pPr>
              <w:pStyle w:val="TableNumber"/>
            </w:pPr>
            <w:r>
              <w:t>63.75%</w:t>
            </w:r>
          </w:p>
        </w:tc>
        <w:tc>
          <w:tcPr>
            <w:tcW w:w="1800" w:type="dxa"/>
            <w:vAlign w:val="center"/>
          </w:tcPr>
          <w:p>
            <w:pPr>
              <w:pStyle w:val="TableNumber"/>
            </w:pPr>
            <w:r>
              <w:t>0.00%</w:t>
            </w:r>
          </w:p>
        </w:tc>
        <w:tc>
          <w:tcPr>
            <w:tcW w:w="1800" w:type="dxa"/>
            <w:vAlign w:val="center"/>
          </w:tcPr>
          <w:p>
            <w:pPr>
              <w:pStyle w:val="TableNumber"/>
            </w:pPr>
            <w:r>
              <w:t>36.25%</w:t>
            </w:r>
          </w:p>
        </w:tc>
        <w:tc>
          <w:tcPr>
            <w:tcW w:w="3060" w:type="dxa"/>
            <w:vAlign w:val="center"/>
          </w:tcPr>
          <w:p>
            <w:pPr>
              <w:pStyle w:val="TableNumber"/>
            </w:pPr>
            <w:r>
              <w:t>30／138</w:t>
            </w:r>
          </w:p>
        </w:tc>
      </w:tr>
      <w:tr>
        <w:trPr>
          <w:cantSplit/>
        </w:trPr>
        <w:tc>
          <w:tcPr>
            <w:tcW w:w="900" w:type="dxa"/>
            <w:vAlign w:val="center"/>
          </w:tcPr>
          <w:p>
            <w:pPr>
              <w:pStyle w:val="TableText"/>
            </w:pPr>
            <w:r>
              <w:t>13d</w:t>
            </w:r>
          </w:p>
        </w:tc>
        <w:tc>
          <w:tcPr>
            <w:tcW w:w="1800" w:type="dxa"/>
            <w:vAlign w:val="center"/>
          </w:tcPr>
          <w:p>
            <w:pPr>
              <w:pStyle w:val="TableNumber"/>
            </w:pPr>
            <w:r>
              <w:t>65.37%</w:t>
            </w:r>
          </w:p>
        </w:tc>
        <w:tc>
          <w:tcPr>
            <w:tcW w:w="1800" w:type="dxa"/>
            <w:vAlign w:val="center"/>
          </w:tcPr>
          <w:p>
            <w:pPr>
              <w:pStyle w:val="TableNumber"/>
            </w:pPr>
            <w:r>
              <w:t>0.00%</w:t>
            </w:r>
          </w:p>
        </w:tc>
        <w:tc>
          <w:tcPr>
            <w:tcW w:w="1800" w:type="dxa"/>
            <w:vAlign w:val="center"/>
          </w:tcPr>
          <w:p>
            <w:pPr>
              <w:pStyle w:val="TableNumber"/>
            </w:pPr>
            <w:r>
              <w:t>34.63%</w:t>
            </w:r>
          </w:p>
        </w:tc>
        <w:tc>
          <w:tcPr>
            <w:tcW w:w="3060" w:type="dxa"/>
            <w:vAlign w:val="center"/>
          </w:tcPr>
          <w:p>
            <w:pPr>
              <w:pStyle w:val="TableNumber"/>
            </w:pPr>
            <w:r>
              <w:t>39／146</w:t>
            </w:r>
          </w:p>
        </w:tc>
      </w:tr>
      <w:tr>
        <w:trPr>
          <w:cantSplit/>
        </w:trPr>
        <w:tc>
          <w:tcPr>
            <w:tcW w:w="900" w:type="dxa"/>
            <w:vAlign w:val="center"/>
          </w:tcPr>
          <w:p>
            <w:pPr>
              <w:pStyle w:val="TableText"/>
            </w:pPr>
            <w:r>
              <w:t>14d</w:t>
            </w:r>
          </w:p>
        </w:tc>
        <w:tc>
          <w:tcPr>
            <w:tcW w:w="1800" w:type="dxa"/>
            <w:vAlign w:val="center"/>
          </w:tcPr>
          <w:p>
            <w:pPr>
              <w:pStyle w:val="TableNumber"/>
            </w:pPr>
            <w:r>
              <w:t>64.76%</w:t>
            </w:r>
          </w:p>
        </w:tc>
        <w:tc>
          <w:tcPr>
            <w:tcW w:w="1800" w:type="dxa"/>
            <w:vAlign w:val="center"/>
          </w:tcPr>
          <w:p>
            <w:pPr>
              <w:pStyle w:val="TableNumber"/>
            </w:pPr>
            <w:r>
              <w:t>0.00%</w:t>
            </w:r>
          </w:p>
        </w:tc>
        <w:tc>
          <w:tcPr>
            <w:tcW w:w="1800" w:type="dxa"/>
            <w:vAlign w:val="center"/>
          </w:tcPr>
          <w:p>
            <w:pPr>
              <w:pStyle w:val="TableNumber"/>
            </w:pPr>
            <w:r>
              <w:t>35.24%</w:t>
            </w:r>
          </w:p>
        </w:tc>
        <w:tc>
          <w:tcPr>
            <w:tcW w:w="3060" w:type="dxa"/>
            <w:vAlign w:val="center"/>
          </w:tcPr>
          <w:p>
            <w:pPr>
              <w:pStyle w:val="TableNumber"/>
            </w:pPr>
            <w:r>
              <w:t>50／134</w:t>
            </w:r>
          </w:p>
        </w:tc>
      </w:tr>
    </w:tbl>
    <w:p>
      <w:pPr>
        <w:pStyle w:val="a"/>
        <w:spacing w:before="160"/>
      </w:pPr>
      <w:r>
        <w:t>Bearish 標籤佔比為 57.05% 至 67.53%；neutral 佔比為 0.00% 至 0.00%。全部 14 個 horizon 的 strong_bearish／strong_bullish 標籤合計為 174／1,192。這些是 q10、q50、q90 與零門檻比較後的規則標籤，不是上漲或下跌機率。</w:t>
      </w:r>
    </w:p>
    <w:p>
      <w:pPr>
        <w:pStyle w:val="11"/>
      </w:pPr>
      <w:r>
        <w:t>8. Provider 與年度穩定性</w:t>
      </w:r>
    </w:p>
    <w:p>
      <w:pPr>
        <w:pStyle w:val="21"/>
      </w:pPr>
      <w:r>
        <w:t>8.1 Provider 切片</w:t>
      </w:r>
    </w:p>
    <w:tbl>
      <w:tblPr>
        <w:tblStyle w:val="BenchmarkTable"/>
        <w:tblW w:w="9360" w:type="dxa"/>
        <w:tblLayout w:type="fixed"/>
      </w:tblPr>
      <w:tblGrid>
        <w:gridCol w:w="1500"/>
        <w:gridCol w:w="1100"/>
        <w:gridCol w:w="1300"/>
        <w:gridCol w:w="1400"/>
        <w:gridCol w:w="1800"/>
        <w:gridCol w:w="1250"/>
        <w:gridCol w:w="1010"/>
      </w:tblGrid>
      <w:tr>
        <w:trPr>
          <w:tblHeader/>
        </w:trPr>
        <w:tc>
          <w:tcPr>
            <w:tcW w:w="1500" w:type="dxa"/>
            <w:shd w:val="clear" w:fill="DCE6F1"/>
            <w:vAlign w:val="center"/>
          </w:tcPr>
          <w:p>
            <w:pPr>
              <w:pStyle w:val="TableHeader"/>
            </w:pPr>
            <w:r>
              <w:t>Provider</w:t>
            </w:r>
          </w:p>
        </w:tc>
        <w:tc>
          <w:tcPr>
            <w:tcW w:w="1100" w:type="dxa"/>
            <w:shd w:val="clear" w:fill="DCE6F1"/>
            <w:vAlign w:val="center"/>
          </w:tcPr>
          <w:p>
            <w:pPr>
              <w:pStyle w:val="TableHeader"/>
            </w:pPr>
            <w:r>
              <w:t>n</w:t>
            </w:r>
          </w:p>
        </w:tc>
        <w:tc>
          <w:tcPr>
            <w:tcW w:w="1300" w:type="dxa"/>
            <w:shd w:val="clear" w:fill="DCE6F1"/>
            <w:vAlign w:val="center"/>
          </w:tcPr>
          <w:p>
            <w:pPr>
              <w:pStyle w:val="TableHeader"/>
            </w:pPr>
            <w:r>
              <w:t>14H score</w:t>
            </w:r>
          </w:p>
        </w:tc>
        <w:tc>
          <w:tcPr>
            <w:tcW w:w="1400" w:type="dxa"/>
            <w:shd w:val="clear" w:fill="DCE6F1"/>
            <w:vAlign w:val="center"/>
          </w:tcPr>
          <w:p>
            <w:pPr>
              <w:pStyle w:val="TableHeader"/>
            </w:pPr>
            <w:r>
              <w:t>平均 q50 Corr.</w:t>
            </w:r>
          </w:p>
        </w:tc>
        <w:tc>
          <w:tcPr>
            <w:tcW w:w="1800" w:type="dxa"/>
            <w:shd w:val="clear" w:fill="DCE6F1"/>
            <w:vAlign w:val="center"/>
          </w:tcPr>
          <w:p>
            <w:pPr>
              <w:pStyle w:val="TableHeader"/>
            </w:pPr>
            <w:r>
              <w:t>Corr. 範圍</w:t>
            </w:r>
          </w:p>
        </w:tc>
        <w:tc>
          <w:tcPr>
            <w:tcW w:w="1250" w:type="dxa"/>
            <w:shd w:val="clear" w:fill="DCE6F1"/>
            <w:vAlign w:val="center"/>
          </w:tcPr>
          <w:p>
            <w:pPr>
              <w:pStyle w:val="TableHeader"/>
            </w:pPr>
            <w:r>
              <w:t>平均方向</w:t>
            </w:r>
          </w:p>
        </w:tc>
        <w:tc>
          <w:tcPr>
            <w:tcW w:w="1010" w:type="dxa"/>
            <w:shd w:val="clear" w:fill="DCE6F1"/>
            <w:vAlign w:val="center"/>
          </w:tcPr>
          <w:p>
            <w:pPr>
              <w:pStyle w:val="TableHeader"/>
            </w:pPr>
            <w:r>
              <w:t>平均 Coverage</w:t>
            </w:r>
          </w:p>
        </w:tc>
      </w:tr>
      <w:tr>
        <w:trPr>
          <w:cantSplit/>
        </w:trPr>
        <w:tc>
          <w:tcPr>
            <w:tcW w:w="1500" w:type="dxa"/>
            <w:vAlign w:val="center"/>
          </w:tcPr>
          <w:p>
            <w:pPr>
              <w:pStyle w:val="TableText"/>
            </w:pPr>
            <w:r>
              <w:t>EODHD / US</w:t>
            </w:r>
          </w:p>
        </w:tc>
        <w:tc>
          <w:tcPr>
            <w:tcW w:w="1100" w:type="dxa"/>
            <w:vAlign w:val="center"/>
          </w:tcPr>
          <w:p>
            <w:pPr>
              <w:pStyle w:val="TableNumber"/>
            </w:pPr>
            <w:r>
              <w:t>439,729</w:t>
            </w:r>
          </w:p>
        </w:tc>
        <w:tc>
          <w:tcPr>
            <w:tcW w:w="1300" w:type="dxa"/>
            <w:vAlign w:val="center"/>
          </w:tcPr>
          <w:p>
            <w:pPr>
              <w:pStyle w:val="TableNumber"/>
            </w:pPr>
            <w:r>
              <w:t>0.292837</w:t>
            </w:r>
          </w:p>
        </w:tc>
        <w:tc>
          <w:tcPr>
            <w:tcW w:w="1400" w:type="dxa"/>
            <w:vAlign w:val="center"/>
          </w:tcPr>
          <w:p>
            <w:pPr>
              <w:pStyle w:val="TableNumber"/>
            </w:pPr>
            <w:r>
              <w:t>0.0973</w:t>
            </w:r>
          </w:p>
        </w:tc>
        <w:tc>
          <w:tcPr>
            <w:tcW w:w="1800" w:type="dxa"/>
            <w:vAlign w:val="center"/>
          </w:tcPr>
          <w:p>
            <w:pPr>
              <w:pStyle w:val="TableNumber"/>
            </w:pPr>
            <w:r>
              <w:t>0.0346 至 0.1342</w:t>
            </w:r>
          </w:p>
        </w:tc>
        <w:tc>
          <w:tcPr>
            <w:tcW w:w="1250" w:type="dxa"/>
            <w:vAlign w:val="center"/>
          </w:tcPr>
          <w:p>
            <w:pPr>
              <w:pStyle w:val="TableNumber"/>
            </w:pPr>
            <w:r>
              <w:t>52.23%</w:t>
            </w:r>
          </w:p>
        </w:tc>
        <w:tc>
          <w:tcPr>
            <w:tcW w:w="1010" w:type="dxa"/>
            <w:vAlign w:val="center"/>
          </w:tcPr>
          <w:p>
            <w:pPr>
              <w:pStyle w:val="TableNumber"/>
            </w:pPr>
            <w:r>
              <w:t>77.05%</w:t>
            </w:r>
          </w:p>
        </w:tc>
      </w:tr>
      <w:tr>
        <w:trPr>
          <w:cantSplit/>
        </w:trPr>
        <w:tc>
          <w:tcPr>
            <w:tcW w:w="1500" w:type="dxa"/>
            <w:vAlign w:val="center"/>
          </w:tcPr>
          <w:p>
            <w:pPr>
              <w:pStyle w:val="TableText"/>
            </w:pPr>
            <w:r>
              <w:t>TPEx</w:t>
            </w:r>
          </w:p>
        </w:tc>
        <w:tc>
          <w:tcPr>
            <w:tcW w:w="1100" w:type="dxa"/>
            <w:vAlign w:val="center"/>
          </w:tcPr>
          <w:p>
            <w:pPr>
              <w:pStyle w:val="TableNumber"/>
            </w:pPr>
            <w:r>
              <w:t>31,285</w:t>
            </w:r>
          </w:p>
        </w:tc>
        <w:tc>
          <w:tcPr>
            <w:tcW w:w="1300" w:type="dxa"/>
            <w:vAlign w:val="center"/>
          </w:tcPr>
          <w:p>
            <w:pPr>
              <w:pStyle w:val="TableNumber"/>
            </w:pPr>
            <w:r>
              <w:t>0.322516</w:t>
            </w:r>
          </w:p>
        </w:tc>
        <w:tc>
          <w:tcPr>
            <w:tcW w:w="1400" w:type="dxa"/>
            <w:vAlign w:val="center"/>
          </w:tcPr>
          <w:p>
            <w:pPr>
              <w:pStyle w:val="TableNumber"/>
            </w:pPr>
            <w:r>
              <w:t>-0.0130</w:t>
            </w:r>
          </w:p>
        </w:tc>
        <w:tc>
          <w:tcPr>
            <w:tcW w:w="1800" w:type="dxa"/>
            <w:vAlign w:val="center"/>
          </w:tcPr>
          <w:p>
            <w:pPr>
              <w:pStyle w:val="TableNumber"/>
            </w:pPr>
            <w:r>
              <w:t>-0.0348 至 0.0177</w:t>
            </w:r>
          </w:p>
        </w:tc>
        <w:tc>
          <w:tcPr>
            <w:tcW w:w="1250" w:type="dxa"/>
            <w:vAlign w:val="center"/>
          </w:tcPr>
          <w:p>
            <w:pPr>
              <w:pStyle w:val="TableNumber"/>
            </w:pPr>
            <w:r>
              <w:t>66.56%</w:t>
            </w:r>
          </w:p>
        </w:tc>
        <w:tc>
          <w:tcPr>
            <w:tcW w:w="1010" w:type="dxa"/>
            <w:vAlign w:val="center"/>
          </w:tcPr>
          <w:p>
            <w:pPr>
              <w:pStyle w:val="TableNumber"/>
            </w:pPr>
            <w:r>
              <w:t>69.52%</w:t>
            </w:r>
          </w:p>
        </w:tc>
      </w:tr>
      <w:tr>
        <w:trPr>
          <w:cantSplit/>
        </w:trPr>
        <w:tc>
          <w:tcPr>
            <w:tcW w:w="1500" w:type="dxa"/>
            <w:vAlign w:val="center"/>
          </w:tcPr>
          <w:p>
            <w:pPr>
              <w:pStyle w:val="TableText"/>
            </w:pPr>
            <w:r>
              <w:t>TWSE</w:t>
            </w:r>
          </w:p>
        </w:tc>
        <w:tc>
          <w:tcPr>
            <w:tcW w:w="1100" w:type="dxa"/>
            <w:vAlign w:val="center"/>
          </w:tcPr>
          <w:p>
            <w:pPr>
              <w:pStyle w:val="TableNumber"/>
            </w:pPr>
            <w:r>
              <w:t>63,313</w:t>
            </w:r>
          </w:p>
        </w:tc>
        <w:tc>
          <w:tcPr>
            <w:tcW w:w="1300" w:type="dxa"/>
            <w:vAlign w:val="center"/>
          </w:tcPr>
          <w:p>
            <w:pPr>
              <w:pStyle w:val="TableNumber"/>
            </w:pPr>
            <w:r>
              <w:t>0.286492</w:t>
            </w:r>
          </w:p>
        </w:tc>
        <w:tc>
          <w:tcPr>
            <w:tcW w:w="1400" w:type="dxa"/>
            <w:vAlign w:val="center"/>
          </w:tcPr>
          <w:p>
            <w:pPr>
              <w:pStyle w:val="TableNumber"/>
            </w:pPr>
            <w:r>
              <w:t>-0.0229</w:t>
            </w:r>
          </w:p>
        </w:tc>
        <w:tc>
          <w:tcPr>
            <w:tcW w:w="1800" w:type="dxa"/>
            <w:vAlign w:val="center"/>
          </w:tcPr>
          <w:p>
            <w:pPr>
              <w:pStyle w:val="TableNumber"/>
            </w:pPr>
            <w:r>
              <w:t>-0.0557 至 0.0331</w:t>
            </w:r>
          </w:p>
        </w:tc>
        <w:tc>
          <w:tcPr>
            <w:tcW w:w="1250" w:type="dxa"/>
            <w:vAlign w:val="center"/>
          </w:tcPr>
          <w:p>
            <w:pPr>
              <w:pStyle w:val="TableNumber"/>
            </w:pPr>
            <w:r>
              <w:t>66.06%</w:t>
            </w:r>
          </w:p>
        </w:tc>
        <w:tc>
          <w:tcPr>
            <w:tcW w:w="1010" w:type="dxa"/>
            <w:vAlign w:val="center"/>
          </w:tcPr>
          <w:p>
            <w:pPr>
              <w:pStyle w:val="TableNumber"/>
            </w:pPr>
            <w:r>
              <w:t>70.18%</w:t>
            </w:r>
          </w:p>
        </w:tc>
      </w:tr>
    </w:tbl>
    <w:p>
      <w:pPr>
        <w:pStyle w:val="a"/>
        <w:spacing w:before="160"/>
      </w:pPr>
      <w:r>
        <w:t>Provider 切片的樣本數、交易所與標的組成不同。各 provider 平均 coverage 約為 69.52% 至 77.05%；平均 q50 correlation、方向一致率及 score 的差異只能作穩定性診斷，不能單獨證明某市場較容易預測。</w:t>
      </w:r>
    </w:p>
    <w:p>
      <w:pPr>
        <w:pStyle w:val="21"/>
      </w:pPr>
      <w:r>
        <w:t xml:space="preserve">8.1a 市場別 raw 與 calibrated 完整比較</w:t>
      </w:r>
    </w:p>
    <w:p>
      <w:pPr>
        <w:pStyle w:val="a"/>
      </w:pPr>
      <w:r>
        <w:t xml:space="preserve">市場別資料直接來自 subgroups.market 與 calibrated.by_market；不把 provider 名稱自動視為市場。整體平均按股票樣本數形成，US 佔 82.30%，因此需一起檢查台灣市場的 coverage。各表每格第一行 raw、第二行 calibrated；整體列為該市場跨 14 個 horizon 平均。</w:t>
      </w:r>
    </w:p>
    <w:p>
      <w:pPr>
        <w:pStyle w:val="Decision"/>
      </w:pPr>
      <w:r>
        <w:t xml:space="preserve">表 10a｜US 439,729 windows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pPr>
            <w:r>
              <w:t xml:space="preserve">H</w:t>
            </w:r>
          </w:p>
        </w:tc>
        <w:tc>
          <w:tcPr>
            <w:tcW w:w="2075" w:type="dxa"/>
            <w:shd w:fill="DCE6F1"/>
            <w:vAlign w:val="center"/>
          </w:tcPr>
          <w:p>
            <w:pPr>
              <w:pStyle w:val="TableHeader"/>
            </w:pPr>
            <w:r>
              <w:t xml:space="preserve">N pinball</w:t>
              <w:br/>
              <w:t xml:space="preserve">raw / calibrated</w:t>
            </w:r>
          </w:p>
        </w:tc>
        <w:tc>
          <w:tcPr>
            <w:tcW w:w="2075" w:type="dxa"/>
            <w:shd w:fill="DCE6F1"/>
            <w:vAlign w:val="center"/>
          </w:tcPr>
          <w:p>
            <w:pPr>
              <w:pStyle w:val="TableHeader"/>
            </w:pPr>
            <w:r>
              <w:t xml:space="preserve">Coverage</w:t>
              <w:br/>
              <w:t xml:space="preserve">raw / calibrated</w:t>
            </w:r>
          </w:p>
        </w:tc>
        <w:tc>
          <w:tcPr>
            <w:tcW w:w="2200" w:type="dxa"/>
            <w:shd w:fill="DCE6F1"/>
            <w:vAlign w:val="center"/>
          </w:tcPr>
          <w:p>
            <w:pPr>
              <w:pStyle w:val="TableHeader"/>
            </w:pPr>
            <w:r>
              <w:t xml:space="preserve">Coverage error pp</w:t>
              <w:br/>
              <w:t xml:space="preserve">raw / calibrated</w:t>
            </w:r>
          </w:p>
        </w:tc>
        <w:tc>
          <w:tcPr>
            <w:tcW w:w="2360" w:type="dxa"/>
            <w:shd w:fill="DCE6F1"/>
            <w:vAlign w:val="center"/>
          </w:tcPr>
          <w:p>
            <w:pPr>
              <w:pStyle w:val="TableHeader"/>
            </w:pPr>
            <w:r>
              <w:t xml:space="preserve">區間寬度</w:t>
              <w:br/>
              <w:t xml:space="preserve">raw / calibrated</w:t>
            </w:r>
          </w:p>
        </w:tc>
      </w:tr>
      <w:tr>
        <w:trPr>
          <w:cantSplit/>
        </w:trPr>
        <w:tc>
          <w:tcPr>
            <w:tcW w:w="650" w:type="dxa"/>
            <w:shd w:fill="FFFFFF"/>
            <w:vAlign w:val="center"/>
          </w:tcPr>
          <w:p>
            <w:pPr>
              <w:pStyle w:val="TableNumber"/>
            </w:pPr>
            <w:r>
              <w:t xml:space="preserve">整體</w:t>
            </w:r>
          </w:p>
        </w:tc>
        <w:tc>
          <w:tcPr>
            <w:tcW w:w="2075" w:type="dxa"/>
            <w:shd w:fill="FFFFFF"/>
            <w:vAlign w:val="center"/>
          </w:tcPr>
          <w:p>
            <w:pPr>
              <w:pStyle w:val="TableNumber"/>
            </w:pPr>
            <w:r>
              <w:t xml:space="preserve">0.292837</w:t>
              <w:br/>
              <w:t xml:space="preserve">0.292896</w:t>
            </w:r>
          </w:p>
        </w:tc>
        <w:tc>
          <w:tcPr>
            <w:tcW w:w="2075" w:type="dxa"/>
            <w:shd w:fill="FFFFFF"/>
            <w:vAlign w:val="center"/>
          </w:tcPr>
          <w:p>
            <w:pPr>
              <w:pStyle w:val="TableNumber"/>
            </w:pPr>
            <w:r>
              <w:t xml:space="preserve">77.0538%</w:t>
              <w:br/>
              <w:t xml:space="preserve">77.9747%</w:t>
            </w:r>
          </w:p>
        </w:tc>
        <w:tc>
          <w:tcPr>
            <w:tcW w:w="2200" w:type="dxa"/>
            <w:shd w:fill="FFFFFF"/>
            <w:vAlign w:val="center"/>
          </w:tcPr>
          <w:p>
            <w:pPr>
              <w:pStyle w:val="TableNumber"/>
            </w:pPr>
            <w:r>
              <w:t xml:space="preserve">2.9462</w:t>
              <w:br/>
              <w:t xml:space="preserve">2.0253</w:t>
            </w:r>
          </w:p>
        </w:tc>
        <w:tc>
          <w:tcPr>
            <w:tcW w:w="2360" w:type="dxa"/>
            <w:shd w:fill="FFFFFF"/>
            <w:vAlign w:val="center"/>
          </w:tcPr>
          <w:p>
            <w:pPr>
              <w:pStyle w:val="TableNumber"/>
            </w:pPr>
            <w:r>
              <w:t xml:space="preserve">0.176210</w:t>
              <w:br/>
              <w:t xml:space="preserve">0.180710</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0.286231</w:t>
              <w:br/>
              <w:t xml:space="preserve">0.286333</w:t>
            </w:r>
          </w:p>
        </w:tc>
        <w:tc>
          <w:tcPr>
            <w:tcW w:w="2075" w:type="dxa"/>
            <w:shd w:fill="F7F9FC"/>
            <w:vAlign w:val="center"/>
          </w:tcPr>
          <w:p>
            <w:pPr>
              <w:pStyle w:val="TableNumber"/>
            </w:pPr>
            <w:r>
              <w:t xml:space="preserve">78.8163%</w:t>
              <w:br/>
              <w:t xml:space="preserve">79.8828%</w:t>
            </w:r>
          </w:p>
        </w:tc>
        <w:tc>
          <w:tcPr>
            <w:tcW w:w="2200" w:type="dxa"/>
            <w:shd w:fill="F7F9FC"/>
            <w:vAlign w:val="center"/>
          </w:tcPr>
          <w:p>
            <w:pPr>
              <w:pStyle w:val="TableNumber"/>
            </w:pPr>
            <w:r>
              <w:t xml:space="preserve">1.1837</w:t>
              <w:br/>
              <w:t xml:space="preserve">0.1172</w:t>
            </w:r>
          </w:p>
        </w:tc>
        <w:tc>
          <w:tcPr>
            <w:tcW w:w="2360" w:type="dxa"/>
            <w:shd w:fill="F7F9FC"/>
            <w:vAlign w:val="center"/>
          </w:tcPr>
          <w:p>
            <w:pPr>
              <w:pStyle w:val="TableNumber"/>
            </w:pPr>
            <w:r>
              <w:t xml:space="preserve">0.059396</w:t>
              <w:br/>
              <w:t xml:space="preserve">0.061098</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0.291534</w:t>
              <w:br/>
              <w:t xml:space="preserve">0.291590</w:t>
            </w:r>
          </w:p>
        </w:tc>
        <w:tc>
          <w:tcPr>
            <w:tcW w:w="2075" w:type="dxa"/>
            <w:shd w:fill="FFFFFF"/>
            <w:vAlign w:val="center"/>
          </w:tcPr>
          <w:p>
            <w:pPr>
              <w:pStyle w:val="TableNumber"/>
            </w:pPr>
            <w:r>
              <w:t xml:space="preserve">78.1208%</w:t>
              <w:br/>
              <w:t xml:space="preserve">79.0034%</w:t>
            </w:r>
          </w:p>
        </w:tc>
        <w:tc>
          <w:tcPr>
            <w:tcW w:w="2200" w:type="dxa"/>
            <w:shd w:fill="FFFFFF"/>
            <w:vAlign w:val="center"/>
          </w:tcPr>
          <w:p>
            <w:pPr>
              <w:pStyle w:val="TableNumber"/>
            </w:pPr>
            <w:r>
              <w:t xml:space="preserve">1.8792</w:t>
              <w:br/>
              <w:t xml:space="preserve">0.9966</w:t>
            </w:r>
          </w:p>
        </w:tc>
        <w:tc>
          <w:tcPr>
            <w:tcW w:w="2360" w:type="dxa"/>
            <w:shd w:fill="FFFFFF"/>
            <w:vAlign w:val="center"/>
          </w:tcPr>
          <w:p>
            <w:pPr>
              <w:pStyle w:val="TableNumber"/>
            </w:pPr>
            <w:r>
              <w:t xml:space="preserve">0.088472</w:t>
              <w:br/>
              <w:t xml:space="preserve">0.090565</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0.294007</w:t>
              <w:br/>
              <w:t xml:space="preserve">0.293965</w:t>
            </w:r>
          </w:p>
        </w:tc>
        <w:tc>
          <w:tcPr>
            <w:tcW w:w="2075" w:type="dxa"/>
            <w:shd w:fill="F7F9FC"/>
            <w:vAlign w:val="center"/>
          </w:tcPr>
          <w:p>
            <w:pPr>
              <w:pStyle w:val="TableNumber"/>
            </w:pPr>
            <w:r>
              <w:t xml:space="preserve">77.2981%</w:t>
              <w:br/>
              <w:t xml:space="preserve">78.0074%</w:t>
            </w:r>
          </w:p>
        </w:tc>
        <w:tc>
          <w:tcPr>
            <w:tcW w:w="2200" w:type="dxa"/>
            <w:shd w:fill="F7F9FC"/>
            <w:vAlign w:val="center"/>
          </w:tcPr>
          <w:p>
            <w:pPr>
              <w:pStyle w:val="TableNumber"/>
            </w:pPr>
            <w:r>
              <w:t xml:space="preserve">2.7019</w:t>
              <w:br/>
              <w:t xml:space="preserve">1.9926</w:t>
            </w:r>
          </w:p>
        </w:tc>
        <w:tc>
          <w:tcPr>
            <w:tcW w:w="2360" w:type="dxa"/>
            <w:shd w:fill="F7F9FC"/>
            <w:vAlign w:val="center"/>
          </w:tcPr>
          <w:p>
            <w:pPr>
              <w:pStyle w:val="TableNumber"/>
            </w:pPr>
            <w:r>
              <w:t xml:space="preserve">0.109623</w:t>
              <w:br/>
              <w:t xml:space="preserve">0.111680</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0.292430</w:t>
              <w:br/>
              <w:t xml:space="preserve">0.292522</w:t>
            </w:r>
          </w:p>
        </w:tc>
        <w:tc>
          <w:tcPr>
            <w:tcW w:w="2075" w:type="dxa"/>
            <w:shd w:fill="FFFFFF"/>
            <w:vAlign w:val="center"/>
          </w:tcPr>
          <w:p>
            <w:pPr>
              <w:pStyle w:val="TableNumber"/>
            </w:pPr>
            <w:r>
              <w:t xml:space="preserve">77.5223%</w:t>
              <w:br/>
              <w:t xml:space="preserve">78.0481%</w:t>
            </w:r>
          </w:p>
        </w:tc>
        <w:tc>
          <w:tcPr>
            <w:tcW w:w="2200" w:type="dxa"/>
            <w:shd w:fill="FFFFFF"/>
            <w:vAlign w:val="center"/>
          </w:tcPr>
          <w:p>
            <w:pPr>
              <w:pStyle w:val="TableNumber"/>
            </w:pPr>
            <w:r>
              <w:t xml:space="preserve">2.4777</w:t>
              <w:br/>
              <w:t xml:space="preserve">1.9519</w:t>
            </w:r>
          </w:p>
        </w:tc>
        <w:tc>
          <w:tcPr>
            <w:tcW w:w="2360" w:type="dxa"/>
            <w:shd w:fill="FFFFFF"/>
            <w:vAlign w:val="center"/>
          </w:tcPr>
          <w:p>
            <w:pPr>
              <w:pStyle w:val="TableNumber"/>
            </w:pPr>
            <w:r>
              <w:t xml:space="preserve">0.130179</w:t>
              <w:br/>
              <w:t xml:space="preserve">0.131966</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0.290890</w:t>
              <w:br/>
              <w:t xml:space="preserve">0.290644</w:t>
            </w:r>
          </w:p>
        </w:tc>
        <w:tc>
          <w:tcPr>
            <w:tcW w:w="2075" w:type="dxa"/>
            <w:shd w:fill="F7F9FC"/>
            <w:vAlign w:val="center"/>
          </w:tcPr>
          <w:p>
            <w:pPr>
              <w:pStyle w:val="TableNumber"/>
            </w:pPr>
            <w:r>
              <w:t xml:space="preserve">76.9560%</w:t>
              <w:br/>
              <w:t xml:space="preserve">77.9817%</w:t>
            </w:r>
          </w:p>
        </w:tc>
        <w:tc>
          <w:tcPr>
            <w:tcW w:w="2200" w:type="dxa"/>
            <w:shd w:fill="F7F9FC"/>
            <w:vAlign w:val="center"/>
          </w:tcPr>
          <w:p>
            <w:pPr>
              <w:pStyle w:val="TableNumber"/>
            </w:pPr>
            <w:r>
              <w:t xml:space="preserve">3.0440</w:t>
              <w:br/>
              <w:t xml:space="preserve">2.0183</w:t>
            </w:r>
          </w:p>
        </w:tc>
        <w:tc>
          <w:tcPr>
            <w:tcW w:w="2360" w:type="dxa"/>
            <w:shd w:fill="F7F9FC"/>
            <w:vAlign w:val="center"/>
          </w:tcPr>
          <w:p>
            <w:pPr>
              <w:pStyle w:val="TableNumber"/>
            </w:pPr>
            <w:r>
              <w:t xml:space="preserve">0.145919</w:t>
              <w:br/>
              <w:t xml:space="preserve">0.149835</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0.293585</w:t>
              <w:br/>
              <w:t xml:space="preserve">0.293652</w:t>
            </w:r>
          </w:p>
        </w:tc>
        <w:tc>
          <w:tcPr>
            <w:tcW w:w="2075" w:type="dxa"/>
            <w:shd w:fill="FFFFFF"/>
            <w:vAlign w:val="center"/>
          </w:tcPr>
          <w:p>
            <w:pPr>
              <w:pStyle w:val="TableNumber"/>
            </w:pPr>
            <w:r>
              <w:t xml:space="preserve">76.7605%</w:t>
              <w:br/>
              <w:t xml:space="preserve">77.7101%</w:t>
            </w:r>
          </w:p>
        </w:tc>
        <w:tc>
          <w:tcPr>
            <w:tcW w:w="2200" w:type="dxa"/>
            <w:shd w:fill="FFFFFF"/>
            <w:vAlign w:val="center"/>
          </w:tcPr>
          <w:p>
            <w:pPr>
              <w:pStyle w:val="TableNumber"/>
            </w:pPr>
            <w:r>
              <w:t xml:space="preserve">3.2395</w:t>
              <w:br/>
              <w:t xml:space="preserve">2.2899</w:t>
            </w:r>
          </w:p>
        </w:tc>
        <w:tc>
          <w:tcPr>
            <w:tcW w:w="2360" w:type="dxa"/>
            <w:shd w:fill="FFFFFF"/>
            <w:vAlign w:val="center"/>
          </w:tcPr>
          <w:p>
            <w:pPr>
              <w:pStyle w:val="TableNumber"/>
            </w:pPr>
            <w:r>
              <w:t xml:space="preserve">0.161585</w:t>
              <w:br/>
              <w:t xml:space="preserve">0.165637</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0.293900</w:t>
              <w:br/>
              <w:t xml:space="preserve">0.293835</w:t>
            </w:r>
          </w:p>
        </w:tc>
        <w:tc>
          <w:tcPr>
            <w:tcW w:w="2075" w:type="dxa"/>
            <w:shd w:fill="F7F9FC"/>
            <w:vAlign w:val="center"/>
          </w:tcPr>
          <w:p>
            <w:pPr>
              <w:pStyle w:val="TableNumber"/>
            </w:pPr>
            <w:r>
              <w:t xml:space="preserve">76.1642%</w:t>
              <w:br/>
              <w:t xml:space="preserve">77.4045%</w:t>
            </w:r>
          </w:p>
        </w:tc>
        <w:tc>
          <w:tcPr>
            <w:tcW w:w="2200" w:type="dxa"/>
            <w:shd w:fill="F7F9FC"/>
            <w:vAlign w:val="center"/>
          </w:tcPr>
          <w:p>
            <w:pPr>
              <w:pStyle w:val="TableNumber"/>
            </w:pPr>
            <w:r>
              <w:t xml:space="preserve">3.8358</w:t>
              <w:br/>
              <w:t xml:space="preserve">2.5955</w:t>
            </w:r>
          </w:p>
        </w:tc>
        <w:tc>
          <w:tcPr>
            <w:tcW w:w="2360" w:type="dxa"/>
            <w:shd w:fill="F7F9FC"/>
            <w:vAlign w:val="center"/>
          </w:tcPr>
          <w:p>
            <w:pPr>
              <w:pStyle w:val="TableNumber"/>
            </w:pPr>
            <w:r>
              <w:t xml:space="preserve">0.174078</w:t>
              <w:br/>
              <w:t xml:space="preserve">0.179637</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0.294362</w:t>
              <w:br/>
              <w:t xml:space="preserve">0.294515</w:t>
            </w:r>
          </w:p>
        </w:tc>
        <w:tc>
          <w:tcPr>
            <w:tcW w:w="2075" w:type="dxa"/>
            <w:shd w:fill="FFFFFF"/>
            <w:vAlign w:val="center"/>
          </w:tcPr>
          <w:p>
            <w:pPr>
              <w:pStyle w:val="TableNumber"/>
            </w:pPr>
            <w:r>
              <w:t xml:space="preserve">76.8592%</w:t>
              <w:br/>
              <w:t xml:space="preserve">77.4573%</w:t>
            </w:r>
          </w:p>
        </w:tc>
        <w:tc>
          <w:tcPr>
            <w:tcW w:w="2200" w:type="dxa"/>
            <w:shd w:fill="FFFFFF"/>
            <w:vAlign w:val="center"/>
          </w:tcPr>
          <w:p>
            <w:pPr>
              <w:pStyle w:val="TableNumber"/>
            </w:pPr>
            <w:r>
              <w:t xml:space="preserve">3.1408</w:t>
              <w:br/>
              <w:t xml:space="preserve">2.5427</w:t>
            </w:r>
          </w:p>
        </w:tc>
        <w:tc>
          <w:tcPr>
            <w:tcW w:w="2360" w:type="dxa"/>
            <w:shd w:fill="FFFFFF"/>
            <w:vAlign w:val="center"/>
          </w:tcPr>
          <w:p>
            <w:pPr>
              <w:pStyle w:val="TableNumber"/>
            </w:pPr>
            <w:r>
              <w:t xml:space="preserve">0.190712</w:t>
              <w:br/>
              <w:t xml:space="preserve">0.193881</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0.294953</w:t>
              <w:br/>
              <w:t xml:space="preserve">0.295135</w:t>
            </w:r>
          </w:p>
        </w:tc>
        <w:tc>
          <w:tcPr>
            <w:tcW w:w="2075" w:type="dxa"/>
            <w:shd w:fill="F7F9FC"/>
            <w:vAlign w:val="center"/>
          </w:tcPr>
          <w:p>
            <w:pPr>
              <w:pStyle w:val="TableNumber"/>
            </w:pPr>
            <w:r>
              <w:t xml:space="preserve">76.7154%</w:t>
              <w:br/>
              <w:t xml:space="preserve">77.6772%</w:t>
            </w:r>
          </w:p>
        </w:tc>
        <w:tc>
          <w:tcPr>
            <w:tcW w:w="2200" w:type="dxa"/>
            <w:shd w:fill="F7F9FC"/>
            <w:vAlign w:val="center"/>
          </w:tcPr>
          <w:p>
            <w:pPr>
              <w:pStyle w:val="TableNumber"/>
            </w:pPr>
            <w:r>
              <w:t xml:space="preserve">3.2846</w:t>
              <w:br/>
              <w:t xml:space="preserve">2.3228</w:t>
            </w:r>
          </w:p>
        </w:tc>
        <w:tc>
          <w:tcPr>
            <w:tcW w:w="2360" w:type="dxa"/>
            <w:shd w:fill="F7F9FC"/>
            <w:vAlign w:val="center"/>
          </w:tcPr>
          <w:p>
            <w:pPr>
              <w:pStyle w:val="TableNumber"/>
            </w:pPr>
            <w:r>
              <w:t xml:space="preserve">0.204169</w:t>
              <w:br/>
              <w:t xml:space="preserve">0.209680</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0.293936</w:t>
              <w:br/>
              <w:t xml:space="preserve">0.294034</w:t>
            </w:r>
          </w:p>
        </w:tc>
        <w:tc>
          <w:tcPr>
            <w:tcW w:w="2075" w:type="dxa"/>
            <w:shd w:fill="FFFFFF"/>
            <w:vAlign w:val="center"/>
          </w:tcPr>
          <w:p>
            <w:pPr>
              <w:pStyle w:val="TableNumber"/>
            </w:pPr>
            <w:r>
              <w:t xml:space="preserve">76.9121%</w:t>
              <w:br/>
              <w:t xml:space="preserve">77.6749%</w:t>
            </w:r>
          </w:p>
        </w:tc>
        <w:tc>
          <w:tcPr>
            <w:tcW w:w="2200" w:type="dxa"/>
            <w:shd w:fill="FFFFFF"/>
            <w:vAlign w:val="center"/>
          </w:tcPr>
          <w:p>
            <w:pPr>
              <w:pStyle w:val="TableNumber"/>
            </w:pPr>
            <w:r>
              <w:t xml:space="preserve">3.0879</w:t>
              <w:br/>
              <w:t xml:space="preserve">2.3251</w:t>
            </w:r>
          </w:p>
        </w:tc>
        <w:tc>
          <w:tcPr>
            <w:tcW w:w="2360" w:type="dxa"/>
            <w:shd w:fill="FFFFFF"/>
            <w:vAlign w:val="center"/>
          </w:tcPr>
          <w:p>
            <w:pPr>
              <w:pStyle w:val="TableNumber"/>
            </w:pPr>
            <w:r>
              <w:t xml:space="preserve">0.217618</w:t>
              <w:br/>
              <w:t xml:space="preserve">0.222245</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0.294538</w:t>
              <w:br/>
              <w:t xml:space="preserve">0.294646</w:t>
            </w:r>
          </w:p>
        </w:tc>
        <w:tc>
          <w:tcPr>
            <w:tcW w:w="2075" w:type="dxa"/>
            <w:shd w:fill="F7F9FC"/>
            <w:vAlign w:val="center"/>
          </w:tcPr>
          <w:p>
            <w:pPr>
              <w:pStyle w:val="TableNumber"/>
            </w:pPr>
            <w:r>
              <w:t xml:space="preserve">76.8796%</w:t>
              <w:br/>
              <w:t xml:space="preserve">77.6737%</w:t>
            </w:r>
          </w:p>
        </w:tc>
        <w:tc>
          <w:tcPr>
            <w:tcW w:w="2200" w:type="dxa"/>
            <w:shd w:fill="F7F9FC"/>
            <w:vAlign w:val="center"/>
          </w:tcPr>
          <w:p>
            <w:pPr>
              <w:pStyle w:val="TableNumber"/>
            </w:pPr>
            <w:r>
              <w:t xml:space="preserve">3.1204</w:t>
              <w:br/>
              <w:t xml:space="preserve">2.3263</w:t>
            </w:r>
          </w:p>
        </w:tc>
        <w:tc>
          <w:tcPr>
            <w:tcW w:w="2360" w:type="dxa"/>
            <w:shd w:fill="F7F9FC"/>
            <w:vAlign w:val="center"/>
          </w:tcPr>
          <w:p>
            <w:pPr>
              <w:pStyle w:val="TableNumber"/>
            </w:pPr>
            <w:r>
              <w:t xml:space="preserve">0.229394</w:t>
              <w:br/>
              <w:t xml:space="preserve">0.234400</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0.293242</w:t>
              <w:br/>
              <w:t xml:space="preserve">0.293358</w:t>
            </w:r>
          </w:p>
        </w:tc>
        <w:tc>
          <w:tcPr>
            <w:tcW w:w="2075" w:type="dxa"/>
            <w:shd w:fill="FFFFFF"/>
            <w:vAlign w:val="center"/>
          </w:tcPr>
          <w:p>
            <w:pPr>
              <w:pStyle w:val="TableNumber"/>
            </w:pPr>
            <w:r>
              <w:t xml:space="preserve">76.6422%</w:t>
              <w:br/>
              <w:t xml:space="preserve">77.7397%</w:t>
            </w:r>
          </w:p>
        </w:tc>
        <w:tc>
          <w:tcPr>
            <w:tcW w:w="2200" w:type="dxa"/>
            <w:shd w:fill="FFFFFF"/>
            <w:vAlign w:val="center"/>
          </w:tcPr>
          <w:p>
            <w:pPr>
              <w:pStyle w:val="TableNumber"/>
            </w:pPr>
            <w:r>
              <w:t xml:space="preserve">3.3578</w:t>
              <w:br/>
              <w:t xml:space="preserve">2.2603</w:t>
            </w:r>
          </w:p>
        </w:tc>
        <w:tc>
          <w:tcPr>
            <w:tcW w:w="2360" w:type="dxa"/>
            <w:shd w:fill="FFFFFF"/>
            <w:vAlign w:val="center"/>
          </w:tcPr>
          <w:p>
            <w:pPr>
              <w:pStyle w:val="TableNumber"/>
            </w:pPr>
            <w:r>
              <w:t xml:space="preserve">0.240490</w:t>
              <w:br/>
              <w:t xml:space="preserve">0.247889</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0.292346</w:t>
              <w:br/>
              <w:t xml:space="preserve">0.292452</w:t>
            </w:r>
          </w:p>
        </w:tc>
        <w:tc>
          <w:tcPr>
            <w:tcW w:w="2075" w:type="dxa"/>
            <w:shd w:fill="F7F9FC"/>
            <w:vAlign w:val="center"/>
          </w:tcPr>
          <w:p>
            <w:pPr>
              <w:pStyle w:val="TableNumber"/>
            </w:pPr>
            <w:r>
              <w:t xml:space="preserve">76.4578%</w:t>
              <w:br/>
              <w:t xml:space="preserve">77.6187%</w:t>
            </w:r>
          </w:p>
        </w:tc>
        <w:tc>
          <w:tcPr>
            <w:tcW w:w="2200" w:type="dxa"/>
            <w:shd w:fill="F7F9FC"/>
            <w:vAlign w:val="center"/>
          </w:tcPr>
          <w:p>
            <w:pPr>
              <w:pStyle w:val="TableNumber"/>
            </w:pPr>
            <w:r>
              <w:t xml:space="preserve">3.5422</w:t>
              <w:br/>
              <w:t xml:space="preserve">2.3813</w:t>
            </w:r>
          </w:p>
        </w:tc>
        <w:tc>
          <w:tcPr>
            <w:tcW w:w="2360" w:type="dxa"/>
            <w:shd w:fill="F7F9FC"/>
            <w:vAlign w:val="center"/>
          </w:tcPr>
          <w:p>
            <w:pPr>
              <w:pStyle w:val="TableNumber"/>
            </w:pPr>
            <w:r>
              <w:t xml:space="preserve">0.251395</w:t>
              <w:br/>
              <w:t xml:space="preserve">0.259292</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0.293767</w:t>
              <w:br/>
              <w:t xml:space="preserve">0.293868</w:t>
            </w:r>
          </w:p>
        </w:tc>
        <w:tc>
          <w:tcPr>
            <w:tcW w:w="2075" w:type="dxa"/>
            <w:shd w:fill="FFFFFF"/>
            <w:vAlign w:val="center"/>
          </w:tcPr>
          <w:p>
            <w:pPr>
              <w:pStyle w:val="TableNumber"/>
            </w:pPr>
            <w:r>
              <w:t xml:space="preserve">76.6483%</w:t>
              <w:br/>
              <w:t xml:space="preserve">77.7659%</w:t>
            </w:r>
          </w:p>
        </w:tc>
        <w:tc>
          <w:tcPr>
            <w:tcW w:w="2200" w:type="dxa"/>
            <w:shd w:fill="FFFFFF"/>
            <w:vAlign w:val="center"/>
          </w:tcPr>
          <w:p>
            <w:pPr>
              <w:pStyle w:val="TableNumber"/>
            </w:pPr>
            <w:r>
              <w:t xml:space="preserve">3.3517</w:t>
              <w:br/>
              <w:t xml:space="preserve">2.2341</w:t>
            </w:r>
          </w:p>
        </w:tc>
        <w:tc>
          <w:tcPr>
            <w:tcW w:w="2360" w:type="dxa"/>
            <w:shd w:fill="FFFFFF"/>
            <w:vAlign w:val="center"/>
          </w:tcPr>
          <w:p>
            <w:pPr>
              <w:pStyle w:val="TableNumber"/>
            </w:pPr>
            <w:r>
              <w:t xml:space="preserve">0.263916</w:t>
              <w:br/>
              <w:t xml:space="preserve">0.272137</w:t>
            </w:r>
          </w:p>
        </w:tc>
      </w:tr>
    </w:tbl>
    <w:p>
      <w:pPr>
        <w:pStyle w:val="a"/>
        <w:spacing w:before="160"/>
      </w:pPr>
      <w:r>
        <w:t xml:space="preserve">US 整體 coverage 77.0538% → 77.9747%；normalized pinball 0.292837 → 0.292896。</w:t>
      </w:r>
    </w:p>
    <w:p>
      <w:pPr>
        <w:pStyle w:val="Decision"/>
      </w:pPr>
      <w:r>
        <w:t xml:space="preserve">表 10b｜TWSE 63,313 windows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pPr>
            <w:r>
              <w:t xml:space="preserve">H</w:t>
            </w:r>
          </w:p>
        </w:tc>
        <w:tc>
          <w:tcPr>
            <w:tcW w:w="2075" w:type="dxa"/>
            <w:shd w:fill="DCE6F1"/>
            <w:vAlign w:val="center"/>
          </w:tcPr>
          <w:p>
            <w:pPr>
              <w:pStyle w:val="TableHeader"/>
            </w:pPr>
            <w:r>
              <w:t xml:space="preserve">N pinball</w:t>
              <w:br/>
              <w:t xml:space="preserve">raw / calibrated</w:t>
            </w:r>
          </w:p>
        </w:tc>
        <w:tc>
          <w:tcPr>
            <w:tcW w:w="2075" w:type="dxa"/>
            <w:shd w:fill="DCE6F1"/>
            <w:vAlign w:val="center"/>
          </w:tcPr>
          <w:p>
            <w:pPr>
              <w:pStyle w:val="TableHeader"/>
            </w:pPr>
            <w:r>
              <w:t xml:space="preserve">Coverage</w:t>
              <w:br/>
              <w:t xml:space="preserve">raw / calibrated</w:t>
            </w:r>
          </w:p>
        </w:tc>
        <w:tc>
          <w:tcPr>
            <w:tcW w:w="2200" w:type="dxa"/>
            <w:shd w:fill="DCE6F1"/>
            <w:vAlign w:val="center"/>
          </w:tcPr>
          <w:p>
            <w:pPr>
              <w:pStyle w:val="TableHeader"/>
            </w:pPr>
            <w:r>
              <w:t xml:space="preserve">Coverage error pp</w:t>
              <w:br/>
              <w:t xml:space="preserve">raw / calibrated</w:t>
            </w:r>
          </w:p>
        </w:tc>
        <w:tc>
          <w:tcPr>
            <w:tcW w:w="2360" w:type="dxa"/>
            <w:shd w:fill="DCE6F1"/>
            <w:vAlign w:val="center"/>
          </w:tcPr>
          <w:p>
            <w:pPr>
              <w:pStyle w:val="TableHeader"/>
            </w:pPr>
            <w:r>
              <w:t xml:space="preserve">區間寬度</w:t>
              <w:br/>
              <w:t xml:space="preserve">raw / calibrated</w:t>
            </w:r>
          </w:p>
        </w:tc>
      </w:tr>
      <w:tr>
        <w:trPr>
          <w:cantSplit/>
        </w:trPr>
        <w:tc>
          <w:tcPr>
            <w:tcW w:w="650" w:type="dxa"/>
            <w:shd w:fill="FFFFFF"/>
            <w:vAlign w:val="center"/>
          </w:tcPr>
          <w:p>
            <w:pPr>
              <w:pStyle w:val="TableNumber"/>
            </w:pPr>
            <w:r>
              <w:t xml:space="preserve">整體</w:t>
            </w:r>
          </w:p>
        </w:tc>
        <w:tc>
          <w:tcPr>
            <w:tcW w:w="2075" w:type="dxa"/>
            <w:shd w:fill="FFFFFF"/>
            <w:vAlign w:val="center"/>
          </w:tcPr>
          <w:p>
            <w:pPr>
              <w:pStyle w:val="TableNumber"/>
            </w:pPr>
            <w:r>
              <w:t xml:space="preserve">0.286492</w:t>
              <w:br/>
              <w:t xml:space="preserve">0.283951</w:t>
            </w:r>
          </w:p>
        </w:tc>
        <w:tc>
          <w:tcPr>
            <w:tcW w:w="2075" w:type="dxa"/>
            <w:shd w:fill="FFFFFF"/>
            <w:vAlign w:val="center"/>
          </w:tcPr>
          <w:p>
            <w:pPr>
              <w:pStyle w:val="TableNumber"/>
            </w:pPr>
            <w:r>
              <w:t xml:space="preserve">70.1775%</w:t>
              <w:br/>
              <w:t xml:space="preserve">73.6181%</w:t>
            </w:r>
          </w:p>
        </w:tc>
        <w:tc>
          <w:tcPr>
            <w:tcW w:w="2200" w:type="dxa"/>
            <w:shd w:fill="FFFFFF"/>
            <w:vAlign w:val="center"/>
          </w:tcPr>
          <w:p>
            <w:pPr>
              <w:pStyle w:val="TableNumber"/>
            </w:pPr>
            <w:r>
              <w:t xml:space="preserve">9.8225</w:t>
              <w:br/>
              <w:t xml:space="preserve">6.3819</w:t>
            </w:r>
          </w:p>
        </w:tc>
        <w:tc>
          <w:tcPr>
            <w:tcW w:w="2360" w:type="dxa"/>
            <w:shd w:fill="FFFFFF"/>
            <w:vAlign w:val="center"/>
          </w:tcPr>
          <w:p>
            <w:pPr>
              <w:pStyle w:val="TableNumber"/>
            </w:pPr>
            <w:r>
              <w:t xml:space="preserve">0.156651</w:t>
              <w:br/>
              <w:t xml:space="preserve">0.163144</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0.290749</w:t>
              <w:br/>
              <w:t xml:space="preserve">0.290877</w:t>
            </w:r>
          </w:p>
        </w:tc>
        <w:tc>
          <w:tcPr>
            <w:tcW w:w="2075" w:type="dxa"/>
            <w:shd w:fill="F7F9FC"/>
            <w:vAlign w:val="center"/>
          </w:tcPr>
          <w:p>
            <w:pPr>
              <w:pStyle w:val="TableNumber"/>
            </w:pPr>
            <w:r>
              <w:t xml:space="preserve">74.8788%</w:t>
              <w:br/>
              <w:t xml:space="preserve">74.4665%</w:t>
            </w:r>
          </w:p>
        </w:tc>
        <w:tc>
          <w:tcPr>
            <w:tcW w:w="2200" w:type="dxa"/>
            <w:shd w:fill="F7F9FC"/>
            <w:vAlign w:val="center"/>
          </w:tcPr>
          <w:p>
            <w:pPr>
              <w:pStyle w:val="TableNumber"/>
            </w:pPr>
            <w:r>
              <w:t xml:space="preserve">5.1212</w:t>
              <w:br/>
              <w:t xml:space="preserve">5.5335</w:t>
            </w:r>
          </w:p>
        </w:tc>
        <w:tc>
          <w:tcPr>
            <w:tcW w:w="2360" w:type="dxa"/>
            <w:shd w:fill="F7F9FC"/>
            <w:vAlign w:val="center"/>
          </w:tcPr>
          <w:p>
            <w:pPr>
              <w:pStyle w:val="TableNumber"/>
            </w:pPr>
            <w:r>
              <w:t xml:space="preserve">0.058120</w:t>
              <w:br/>
              <w:t xml:space="preserve">0.057480</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0.286151</w:t>
              <w:br/>
              <w:t xml:space="preserve">0.285118</w:t>
            </w:r>
          </w:p>
        </w:tc>
        <w:tc>
          <w:tcPr>
            <w:tcW w:w="2075" w:type="dxa"/>
            <w:shd w:fill="FFFFFF"/>
            <w:vAlign w:val="center"/>
          </w:tcPr>
          <w:p>
            <w:pPr>
              <w:pStyle w:val="TableNumber"/>
            </w:pPr>
            <w:r>
              <w:t xml:space="preserve">73.2898%</w:t>
              <w:br/>
              <w:t xml:space="preserve">74.9530%</w:t>
            </w:r>
          </w:p>
        </w:tc>
        <w:tc>
          <w:tcPr>
            <w:tcW w:w="2200" w:type="dxa"/>
            <w:shd w:fill="FFFFFF"/>
            <w:vAlign w:val="center"/>
          </w:tcPr>
          <w:p>
            <w:pPr>
              <w:pStyle w:val="TableNumber"/>
            </w:pPr>
            <w:r>
              <w:t xml:space="preserve">6.7102</w:t>
              <w:br/>
              <w:t xml:space="preserve">5.0470</w:t>
            </w:r>
          </w:p>
        </w:tc>
        <w:tc>
          <w:tcPr>
            <w:tcW w:w="2360" w:type="dxa"/>
            <w:shd w:fill="FFFFFF"/>
            <w:vAlign w:val="center"/>
          </w:tcPr>
          <w:p>
            <w:pPr>
              <w:pStyle w:val="TableNumber"/>
            </w:pPr>
            <w:r>
              <w:t xml:space="preserve">0.082387</w:t>
              <w:br/>
              <w:t xml:space="preserve">0.084963</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0.287286</w:t>
              <w:br/>
              <w:t xml:space="preserve">0.285705</w:t>
            </w:r>
          </w:p>
        </w:tc>
        <w:tc>
          <w:tcPr>
            <w:tcW w:w="2075" w:type="dxa"/>
            <w:shd w:fill="F7F9FC"/>
            <w:vAlign w:val="center"/>
          </w:tcPr>
          <w:p>
            <w:pPr>
              <w:pStyle w:val="TableNumber"/>
            </w:pPr>
            <w:r>
              <w:t xml:space="preserve">72.2285%</w:t>
              <w:br/>
              <w:t xml:space="preserve">74.6956%</w:t>
            </w:r>
          </w:p>
        </w:tc>
        <w:tc>
          <w:tcPr>
            <w:tcW w:w="2200" w:type="dxa"/>
            <w:shd w:fill="F7F9FC"/>
            <w:vAlign w:val="center"/>
          </w:tcPr>
          <w:p>
            <w:pPr>
              <w:pStyle w:val="TableNumber"/>
            </w:pPr>
            <w:r>
              <w:t xml:space="preserve">7.7715</w:t>
              <w:br/>
              <w:t xml:space="preserve">5.3044</w:t>
            </w:r>
          </w:p>
        </w:tc>
        <w:tc>
          <w:tcPr>
            <w:tcW w:w="2360" w:type="dxa"/>
            <w:shd w:fill="F7F9FC"/>
            <w:vAlign w:val="center"/>
          </w:tcPr>
          <w:p>
            <w:pPr>
              <w:pStyle w:val="TableNumber"/>
            </w:pPr>
            <w:r>
              <w:t xml:space="preserve">0.101039</w:t>
              <w:br/>
              <w:t xml:space="preserve">0.104966</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0.285341</w:t>
              <w:br/>
              <w:t xml:space="preserve">0.283273</w:t>
            </w:r>
          </w:p>
        </w:tc>
        <w:tc>
          <w:tcPr>
            <w:tcW w:w="2075" w:type="dxa"/>
            <w:shd w:fill="FFFFFF"/>
            <w:vAlign w:val="center"/>
          </w:tcPr>
          <w:p>
            <w:pPr>
              <w:pStyle w:val="TableNumber"/>
            </w:pPr>
            <w:r>
              <w:t xml:space="preserve">71.5461%</w:t>
              <w:br/>
              <w:t xml:space="preserve">74.5360%</w:t>
            </w:r>
          </w:p>
        </w:tc>
        <w:tc>
          <w:tcPr>
            <w:tcW w:w="2200" w:type="dxa"/>
            <w:shd w:fill="FFFFFF"/>
            <w:vAlign w:val="center"/>
          </w:tcPr>
          <w:p>
            <w:pPr>
              <w:pStyle w:val="TableNumber"/>
            </w:pPr>
            <w:r>
              <w:t xml:space="preserve">8.4539</w:t>
              <w:br/>
              <w:t xml:space="preserve">5.4640</w:t>
            </w:r>
          </w:p>
        </w:tc>
        <w:tc>
          <w:tcPr>
            <w:tcW w:w="2360" w:type="dxa"/>
            <w:shd w:fill="FFFFFF"/>
            <w:vAlign w:val="center"/>
          </w:tcPr>
          <w:p>
            <w:pPr>
              <w:pStyle w:val="TableNumber"/>
            </w:pPr>
            <w:r>
              <w:t xml:space="preserve">0.117453</w:t>
              <w:br/>
              <w:t xml:space="preserve">0.122096</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0.282054</w:t>
              <w:br/>
              <w:t xml:space="preserve">0.279919</w:t>
            </w:r>
          </w:p>
        </w:tc>
        <w:tc>
          <w:tcPr>
            <w:tcW w:w="2075" w:type="dxa"/>
            <w:shd w:fill="F7F9FC"/>
            <w:vAlign w:val="center"/>
          </w:tcPr>
          <w:p>
            <w:pPr>
              <w:pStyle w:val="TableNumber"/>
            </w:pPr>
            <w:r>
              <w:t xml:space="preserve">71.3092%</w:t>
              <w:br/>
              <w:t xml:space="preserve">74.5250%</w:t>
            </w:r>
          </w:p>
        </w:tc>
        <w:tc>
          <w:tcPr>
            <w:tcW w:w="2200" w:type="dxa"/>
            <w:shd w:fill="F7F9FC"/>
            <w:vAlign w:val="center"/>
          </w:tcPr>
          <w:p>
            <w:pPr>
              <w:pStyle w:val="TableNumber"/>
            </w:pPr>
            <w:r>
              <w:t xml:space="preserve">8.6908</w:t>
              <w:br/>
              <w:t xml:space="preserve">5.4750</w:t>
            </w:r>
          </w:p>
        </w:tc>
        <w:tc>
          <w:tcPr>
            <w:tcW w:w="2360" w:type="dxa"/>
            <w:shd w:fill="F7F9FC"/>
            <w:vAlign w:val="center"/>
          </w:tcPr>
          <w:p>
            <w:pPr>
              <w:pStyle w:val="TableNumber"/>
            </w:pPr>
            <w:r>
              <w:t xml:space="preserve">0.131361</w:t>
              <w:br/>
              <w:t xml:space="preserve">0.137907</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0.283772</w:t>
              <w:br/>
              <w:t xml:space="preserve">0.281409</w:t>
            </w:r>
          </w:p>
        </w:tc>
        <w:tc>
          <w:tcPr>
            <w:tcW w:w="2075" w:type="dxa"/>
            <w:shd w:fill="FFFFFF"/>
            <w:vAlign w:val="center"/>
          </w:tcPr>
          <w:p>
            <w:pPr>
              <w:pStyle w:val="TableNumber"/>
            </w:pPr>
            <w:r>
              <w:t xml:space="preserve">70.3031%</w:t>
              <w:br/>
              <w:t xml:space="preserve">73.7337%</w:t>
            </w:r>
          </w:p>
        </w:tc>
        <w:tc>
          <w:tcPr>
            <w:tcW w:w="2200" w:type="dxa"/>
            <w:shd w:fill="FFFFFF"/>
            <w:vAlign w:val="center"/>
          </w:tcPr>
          <w:p>
            <w:pPr>
              <w:pStyle w:val="TableNumber"/>
            </w:pPr>
            <w:r>
              <w:t xml:space="preserve">9.6969</w:t>
              <w:br/>
              <w:t xml:space="preserve">6.2663</w:t>
            </w:r>
          </w:p>
        </w:tc>
        <w:tc>
          <w:tcPr>
            <w:tcW w:w="2360" w:type="dxa"/>
            <w:shd w:fill="FFFFFF"/>
            <w:vAlign w:val="center"/>
          </w:tcPr>
          <w:p>
            <w:pPr>
              <w:pStyle w:val="TableNumber"/>
            </w:pPr>
            <w:r>
              <w:t xml:space="preserve">0.144688</w:t>
              <w:br/>
              <w:t xml:space="preserve">0.150553</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0.284164</w:t>
              <w:br/>
              <w:t xml:space="preserve">0.281402</w:t>
            </w:r>
          </w:p>
        </w:tc>
        <w:tc>
          <w:tcPr>
            <w:tcW w:w="2075" w:type="dxa"/>
            <w:shd w:fill="F7F9FC"/>
            <w:vAlign w:val="center"/>
          </w:tcPr>
          <w:p>
            <w:pPr>
              <w:pStyle w:val="TableNumber"/>
            </w:pPr>
            <w:r>
              <w:t xml:space="preserve">69.3965%</w:t>
              <w:br/>
              <w:t xml:space="preserve">73.2409%</w:t>
            </w:r>
          </w:p>
        </w:tc>
        <w:tc>
          <w:tcPr>
            <w:tcW w:w="2200" w:type="dxa"/>
            <w:shd w:fill="F7F9FC"/>
            <w:vAlign w:val="center"/>
          </w:tcPr>
          <w:p>
            <w:pPr>
              <w:pStyle w:val="TableNumber"/>
            </w:pPr>
            <w:r>
              <w:t xml:space="preserve">10.6035</w:t>
              <w:br/>
              <w:t xml:space="preserve">6.7591</w:t>
            </w:r>
          </w:p>
        </w:tc>
        <w:tc>
          <w:tcPr>
            <w:tcW w:w="2360" w:type="dxa"/>
            <w:shd w:fill="F7F9FC"/>
            <w:vAlign w:val="center"/>
          </w:tcPr>
          <w:p>
            <w:pPr>
              <w:pStyle w:val="TableNumber"/>
            </w:pPr>
            <w:r>
              <w:t xml:space="preserve">0.156995</w:t>
              <w:br/>
              <w:t xml:space="preserve">0.162604</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0.284446</w:t>
              <w:br/>
              <w:t xml:space="preserve">0.281965</w:t>
            </w:r>
          </w:p>
        </w:tc>
        <w:tc>
          <w:tcPr>
            <w:tcW w:w="2075" w:type="dxa"/>
            <w:shd w:fill="FFFFFF"/>
            <w:vAlign w:val="center"/>
          </w:tcPr>
          <w:p>
            <w:pPr>
              <w:pStyle w:val="TableNumber"/>
            </w:pPr>
            <w:r>
              <w:t xml:space="preserve">69.7140%</w:t>
              <w:br/>
              <w:t xml:space="preserve">73.2756%</w:t>
            </w:r>
          </w:p>
        </w:tc>
        <w:tc>
          <w:tcPr>
            <w:tcW w:w="2200" w:type="dxa"/>
            <w:shd w:fill="FFFFFF"/>
            <w:vAlign w:val="center"/>
          </w:tcPr>
          <w:p>
            <w:pPr>
              <w:pStyle w:val="TableNumber"/>
            </w:pPr>
            <w:r>
              <w:t xml:space="preserve">10.2860</w:t>
              <w:br/>
              <w:t xml:space="preserve">6.7244</w:t>
            </w:r>
          </w:p>
        </w:tc>
        <w:tc>
          <w:tcPr>
            <w:tcW w:w="2360" w:type="dxa"/>
            <w:shd w:fill="FFFFFF"/>
            <w:vAlign w:val="center"/>
          </w:tcPr>
          <w:p>
            <w:pPr>
              <w:pStyle w:val="TableNumber"/>
            </w:pPr>
            <w:r>
              <w:t xml:space="preserve">0.170561</w:t>
              <w:br/>
              <w:t xml:space="preserve">0.175504</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0.286754</w:t>
              <w:br/>
              <w:t xml:space="preserve">0.283815</w:t>
            </w:r>
          </w:p>
        </w:tc>
        <w:tc>
          <w:tcPr>
            <w:tcW w:w="2075" w:type="dxa"/>
            <w:shd w:fill="F7F9FC"/>
            <w:vAlign w:val="center"/>
          </w:tcPr>
          <w:p>
            <w:pPr>
              <w:pStyle w:val="TableNumber"/>
            </w:pPr>
            <w:r>
              <w:t xml:space="preserve">69.2022%</w:t>
              <w:br/>
              <w:t xml:space="preserve">73.0624%</w:t>
            </w:r>
          </w:p>
        </w:tc>
        <w:tc>
          <w:tcPr>
            <w:tcW w:w="2200" w:type="dxa"/>
            <w:shd w:fill="F7F9FC"/>
            <w:vAlign w:val="center"/>
          </w:tcPr>
          <w:p>
            <w:pPr>
              <w:pStyle w:val="TableNumber"/>
            </w:pPr>
            <w:r>
              <w:t xml:space="preserve">10.7978</w:t>
              <w:br/>
              <w:t xml:space="preserve">6.9376</w:t>
            </w:r>
          </w:p>
        </w:tc>
        <w:tc>
          <w:tcPr>
            <w:tcW w:w="2360" w:type="dxa"/>
            <w:shd w:fill="F7F9FC"/>
            <w:vAlign w:val="center"/>
          </w:tcPr>
          <w:p>
            <w:pPr>
              <w:pStyle w:val="TableNumber"/>
            </w:pPr>
            <w:r>
              <w:t xml:space="preserve">0.181942</w:t>
              <w:br/>
              <w:t xml:space="preserve">0.188363</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0.286706</w:t>
              <w:br/>
              <w:t xml:space="preserve">0.283467</w:t>
            </w:r>
          </w:p>
        </w:tc>
        <w:tc>
          <w:tcPr>
            <w:tcW w:w="2075" w:type="dxa"/>
            <w:shd w:fill="FFFFFF"/>
            <w:vAlign w:val="center"/>
          </w:tcPr>
          <w:p>
            <w:pPr>
              <w:pStyle w:val="TableNumber"/>
            </w:pPr>
            <w:r>
              <w:t xml:space="preserve">68.8074%</w:t>
              <w:br/>
              <w:t xml:space="preserve">73.0340%</w:t>
            </w:r>
          </w:p>
        </w:tc>
        <w:tc>
          <w:tcPr>
            <w:tcW w:w="2200" w:type="dxa"/>
            <w:shd w:fill="FFFFFF"/>
            <w:vAlign w:val="center"/>
          </w:tcPr>
          <w:p>
            <w:pPr>
              <w:pStyle w:val="TableNumber"/>
            </w:pPr>
            <w:r>
              <w:t xml:space="preserve">11.1926</w:t>
              <w:br/>
              <w:t xml:space="preserve">6.9660</w:t>
            </w:r>
          </w:p>
        </w:tc>
        <w:tc>
          <w:tcPr>
            <w:tcW w:w="2360" w:type="dxa"/>
            <w:shd w:fill="FFFFFF"/>
            <w:vAlign w:val="center"/>
          </w:tcPr>
          <w:p>
            <w:pPr>
              <w:pStyle w:val="TableNumber"/>
            </w:pPr>
            <w:r>
              <w:t xml:space="preserve">0.190850</w:t>
              <w:br/>
              <w:t xml:space="preserve">0.199544</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0.287854</w:t>
              <w:br/>
              <w:t xml:space="preserve">0.284665</w:t>
            </w:r>
          </w:p>
        </w:tc>
        <w:tc>
          <w:tcPr>
            <w:tcW w:w="2075" w:type="dxa"/>
            <w:shd w:fill="F7F9FC"/>
            <w:vAlign w:val="center"/>
          </w:tcPr>
          <w:p>
            <w:pPr>
              <w:pStyle w:val="TableNumber"/>
            </w:pPr>
            <w:r>
              <w:t xml:space="preserve">68.5925%</w:t>
              <w:br/>
              <w:t xml:space="preserve">72.7860%</w:t>
            </w:r>
          </w:p>
        </w:tc>
        <w:tc>
          <w:tcPr>
            <w:tcW w:w="2200" w:type="dxa"/>
            <w:shd w:fill="F7F9FC"/>
            <w:vAlign w:val="center"/>
          </w:tcPr>
          <w:p>
            <w:pPr>
              <w:pStyle w:val="TableNumber"/>
            </w:pPr>
            <w:r>
              <w:t xml:space="preserve">11.4075</w:t>
              <w:br/>
              <w:t xml:space="preserve">7.2140</w:t>
            </w:r>
          </w:p>
        </w:tc>
        <w:tc>
          <w:tcPr>
            <w:tcW w:w="2360" w:type="dxa"/>
            <w:shd w:fill="F7F9FC"/>
            <w:vAlign w:val="center"/>
          </w:tcPr>
          <w:p>
            <w:pPr>
              <w:pStyle w:val="TableNumber"/>
            </w:pPr>
            <w:r>
              <w:t xml:space="preserve">0.202172</w:t>
              <w:br/>
              <w:t xml:space="preserve">0.210209</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0.287317</w:t>
              <w:br/>
              <w:t xml:space="preserve">0.283709</w:t>
            </w:r>
          </w:p>
        </w:tc>
        <w:tc>
          <w:tcPr>
            <w:tcW w:w="2075" w:type="dxa"/>
            <w:shd w:fill="FFFFFF"/>
            <w:vAlign w:val="center"/>
          </w:tcPr>
          <w:p>
            <w:pPr>
              <w:pStyle w:val="TableNumber"/>
            </w:pPr>
            <w:r>
              <w:t xml:space="preserve">68.1929%</w:t>
              <w:br/>
              <w:t xml:space="preserve">72.8050%</w:t>
            </w:r>
          </w:p>
        </w:tc>
        <w:tc>
          <w:tcPr>
            <w:tcW w:w="2200" w:type="dxa"/>
            <w:shd w:fill="FFFFFF"/>
            <w:vAlign w:val="center"/>
          </w:tcPr>
          <w:p>
            <w:pPr>
              <w:pStyle w:val="TableNumber"/>
            </w:pPr>
            <w:r>
              <w:t xml:space="preserve">11.8071</w:t>
              <w:br/>
              <w:t xml:space="preserve">7.1950</w:t>
            </w:r>
          </w:p>
        </w:tc>
        <w:tc>
          <w:tcPr>
            <w:tcW w:w="2360" w:type="dxa"/>
            <w:shd w:fill="FFFFFF"/>
            <w:vAlign w:val="center"/>
          </w:tcPr>
          <w:p>
            <w:pPr>
              <w:pStyle w:val="TableNumber"/>
            </w:pPr>
            <w:r>
              <w:t xml:space="preserve">0.210431</w:t>
              <w:br/>
              <w:t xml:space="preserve">0.220563</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0.287549</w:t>
              <w:br/>
              <w:t xml:space="preserve">0.283433</w:t>
            </w:r>
          </w:p>
        </w:tc>
        <w:tc>
          <w:tcPr>
            <w:tcW w:w="2075" w:type="dxa"/>
            <w:shd w:fill="F7F9FC"/>
            <w:vAlign w:val="center"/>
          </w:tcPr>
          <w:p>
            <w:pPr>
              <w:pStyle w:val="TableNumber"/>
            </w:pPr>
            <w:r>
              <w:t xml:space="preserve">67.5391%</w:t>
              <w:br/>
              <w:t xml:space="preserve">72.7591%</w:t>
            </w:r>
          </w:p>
        </w:tc>
        <w:tc>
          <w:tcPr>
            <w:tcW w:w="2200" w:type="dxa"/>
            <w:shd w:fill="F7F9FC"/>
            <w:vAlign w:val="center"/>
          </w:tcPr>
          <w:p>
            <w:pPr>
              <w:pStyle w:val="TableNumber"/>
            </w:pPr>
            <w:r>
              <w:t xml:space="preserve">12.4609</w:t>
              <w:br/>
              <w:t xml:space="preserve">7.2409</w:t>
            </w:r>
          </w:p>
        </w:tc>
        <w:tc>
          <w:tcPr>
            <w:tcW w:w="2360" w:type="dxa"/>
            <w:shd w:fill="F7F9FC"/>
            <w:vAlign w:val="center"/>
          </w:tcPr>
          <w:p>
            <w:pPr>
              <w:pStyle w:val="TableNumber"/>
            </w:pPr>
            <w:r>
              <w:t xml:space="preserve">0.217652</w:t>
              <w:br/>
              <w:t xml:space="preserve">0.229708</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0.290751</w:t>
              <w:br/>
              <w:t xml:space="preserve">0.286562</w:t>
            </w:r>
          </w:p>
        </w:tc>
        <w:tc>
          <w:tcPr>
            <w:tcW w:w="2075" w:type="dxa"/>
            <w:shd w:fill="FFFFFF"/>
            <w:vAlign w:val="center"/>
          </w:tcPr>
          <w:p>
            <w:pPr>
              <w:pStyle w:val="TableNumber"/>
            </w:pPr>
            <w:r>
              <w:t xml:space="preserve">67.4854%</w:t>
              <w:br/>
              <w:t xml:space="preserve">72.7813%</w:t>
            </w:r>
          </w:p>
        </w:tc>
        <w:tc>
          <w:tcPr>
            <w:tcW w:w="2200" w:type="dxa"/>
            <w:shd w:fill="FFFFFF"/>
            <w:vAlign w:val="center"/>
          </w:tcPr>
          <w:p>
            <w:pPr>
              <w:pStyle w:val="TableNumber"/>
            </w:pPr>
            <w:r>
              <w:t xml:space="preserve">12.5146</w:t>
              <w:br/>
              <w:t xml:space="preserve">7.2187</w:t>
            </w:r>
          </w:p>
        </w:tc>
        <w:tc>
          <w:tcPr>
            <w:tcW w:w="2360" w:type="dxa"/>
            <w:shd w:fill="FFFFFF"/>
            <w:vAlign w:val="center"/>
          </w:tcPr>
          <w:p>
            <w:pPr>
              <w:pStyle w:val="TableNumber"/>
            </w:pPr>
            <w:r>
              <w:t xml:space="preserve">0.227470</w:t>
              <w:br/>
              <w:t xml:space="preserve">0.239566</w:t>
            </w:r>
          </w:p>
        </w:tc>
      </w:tr>
    </w:tbl>
    <w:p>
      <w:pPr>
        <w:pStyle w:val="a"/>
        <w:spacing w:before="160"/>
      </w:pPr>
      <w:r>
        <w:t xml:space="preserve">TWSE 整體 coverage 70.1775% → 73.6181%；normalized pinball 0.286492 → 0.283951。</w:t>
      </w:r>
    </w:p>
    <w:p>
      <w:pPr>
        <w:pStyle w:val="Decision"/>
      </w:pPr>
      <w:r>
        <w:t xml:space="preserve">表 10c｜TPEX 31,285 windows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pPr>
            <w:r>
              <w:t xml:space="preserve">H</w:t>
            </w:r>
          </w:p>
        </w:tc>
        <w:tc>
          <w:tcPr>
            <w:tcW w:w="2075" w:type="dxa"/>
            <w:shd w:fill="DCE6F1"/>
            <w:vAlign w:val="center"/>
          </w:tcPr>
          <w:p>
            <w:pPr>
              <w:pStyle w:val="TableHeader"/>
            </w:pPr>
            <w:r>
              <w:t xml:space="preserve">N pinball</w:t>
              <w:br/>
              <w:t xml:space="preserve">raw / calibrated</w:t>
            </w:r>
          </w:p>
        </w:tc>
        <w:tc>
          <w:tcPr>
            <w:tcW w:w="2075" w:type="dxa"/>
            <w:shd w:fill="DCE6F1"/>
            <w:vAlign w:val="center"/>
          </w:tcPr>
          <w:p>
            <w:pPr>
              <w:pStyle w:val="TableHeader"/>
            </w:pPr>
            <w:r>
              <w:t xml:space="preserve">Coverage</w:t>
              <w:br/>
              <w:t xml:space="preserve">raw / calibrated</w:t>
            </w:r>
          </w:p>
        </w:tc>
        <w:tc>
          <w:tcPr>
            <w:tcW w:w="2200" w:type="dxa"/>
            <w:shd w:fill="DCE6F1"/>
            <w:vAlign w:val="center"/>
          </w:tcPr>
          <w:p>
            <w:pPr>
              <w:pStyle w:val="TableHeader"/>
            </w:pPr>
            <w:r>
              <w:t xml:space="preserve">Coverage error pp</w:t>
              <w:br/>
              <w:t xml:space="preserve">raw / calibrated</w:t>
            </w:r>
          </w:p>
        </w:tc>
        <w:tc>
          <w:tcPr>
            <w:tcW w:w="2360" w:type="dxa"/>
            <w:shd w:fill="DCE6F1"/>
            <w:vAlign w:val="center"/>
          </w:tcPr>
          <w:p>
            <w:pPr>
              <w:pStyle w:val="TableHeader"/>
            </w:pPr>
            <w:r>
              <w:t xml:space="preserve">區間寬度</w:t>
              <w:br/>
              <w:t xml:space="preserve">raw / calibrated</w:t>
            </w:r>
          </w:p>
        </w:tc>
      </w:tr>
      <w:tr>
        <w:trPr>
          <w:cantSplit/>
        </w:trPr>
        <w:tc>
          <w:tcPr>
            <w:tcW w:w="650" w:type="dxa"/>
            <w:shd w:fill="FFFFFF"/>
            <w:vAlign w:val="center"/>
          </w:tcPr>
          <w:p>
            <w:pPr>
              <w:pStyle w:val="TableNumber"/>
            </w:pPr>
            <w:r>
              <w:t xml:space="preserve">整體</w:t>
            </w:r>
          </w:p>
        </w:tc>
        <w:tc>
          <w:tcPr>
            <w:tcW w:w="2075" w:type="dxa"/>
            <w:shd w:fill="FFFFFF"/>
            <w:vAlign w:val="center"/>
          </w:tcPr>
          <w:p>
            <w:pPr>
              <w:pStyle w:val="TableNumber"/>
            </w:pPr>
            <w:r>
              <w:t xml:space="preserve">0.322516</w:t>
              <w:br/>
              <w:t xml:space="preserve">0.320362</w:t>
            </w:r>
          </w:p>
        </w:tc>
        <w:tc>
          <w:tcPr>
            <w:tcW w:w="2075" w:type="dxa"/>
            <w:shd w:fill="FFFFFF"/>
            <w:vAlign w:val="center"/>
          </w:tcPr>
          <w:p>
            <w:pPr>
              <w:pStyle w:val="TableNumber"/>
            </w:pPr>
            <w:r>
              <w:t xml:space="preserve">69.5192%</w:t>
              <w:br/>
              <w:t xml:space="preserve">72.6202%</w:t>
            </w:r>
          </w:p>
        </w:tc>
        <w:tc>
          <w:tcPr>
            <w:tcW w:w="2200" w:type="dxa"/>
            <w:shd w:fill="FFFFFF"/>
            <w:vAlign w:val="center"/>
          </w:tcPr>
          <w:p>
            <w:pPr>
              <w:pStyle w:val="TableNumber"/>
            </w:pPr>
            <w:r>
              <w:t xml:space="preserve">10.4808</w:t>
              <w:br/>
              <w:t xml:space="preserve">7.3798</w:t>
            </w:r>
          </w:p>
        </w:tc>
        <w:tc>
          <w:tcPr>
            <w:tcW w:w="2360" w:type="dxa"/>
            <w:shd w:fill="FFFFFF"/>
            <w:vAlign w:val="center"/>
          </w:tcPr>
          <w:p>
            <w:pPr>
              <w:pStyle w:val="TableNumber"/>
            </w:pPr>
            <w:r>
              <w:t xml:space="preserve">0.172279</w:t>
              <w:br/>
              <w:t xml:space="preserve">0.185875</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0.327977</w:t>
              <w:br/>
              <w:t xml:space="preserve">0.327364</w:t>
            </w:r>
          </w:p>
        </w:tc>
        <w:tc>
          <w:tcPr>
            <w:tcW w:w="2075" w:type="dxa"/>
            <w:shd w:fill="F7F9FC"/>
            <w:vAlign w:val="center"/>
          </w:tcPr>
          <w:p>
            <w:pPr>
              <w:pStyle w:val="TableNumber"/>
            </w:pPr>
            <w:r>
              <w:t xml:space="preserve">73.9716%</w:t>
              <w:br/>
              <w:t xml:space="preserve">75.0583%</w:t>
            </w:r>
          </w:p>
        </w:tc>
        <w:tc>
          <w:tcPr>
            <w:tcW w:w="2200" w:type="dxa"/>
            <w:shd w:fill="F7F9FC"/>
            <w:vAlign w:val="center"/>
          </w:tcPr>
          <w:p>
            <w:pPr>
              <w:pStyle w:val="TableNumber"/>
            </w:pPr>
            <w:r>
              <w:t xml:space="preserve">6.0284</w:t>
              <w:br/>
              <w:t xml:space="preserve">4.9417</w:t>
            </w:r>
          </w:p>
        </w:tc>
        <w:tc>
          <w:tcPr>
            <w:tcW w:w="2360" w:type="dxa"/>
            <w:shd w:fill="F7F9FC"/>
            <w:vAlign w:val="center"/>
          </w:tcPr>
          <w:p>
            <w:pPr>
              <w:pStyle w:val="TableNumber"/>
            </w:pPr>
            <w:r>
              <w:t xml:space="preserve">0.064573</w:t>
              <w:br/>
              <w:t xml:space="preserve">0.066188</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0.322809</w:t>
              <w:br/>
              <w:t xml:space="preserve">0.321679</w:t>
            </w:r>
          </w:p>
        </w:tc>
        <w:tc>
          <w:tcPr>
            <w:tcW w:w="2075" w:type="dxa"/>
            <w:shd w:fill="FFFFFF"/>
            <w:vAlign w:val="center"/>
          </w:tcPr>
          <w:p>
            <w:pPr>
              <w:pStyle w:val="TableNumber"/>
            </w:pPr>
            <w:r>
              <w:t xml:space="preserve">71.9866%</w:t>
              <w:br/>
              <w:t xml:space="preserve">73.8021%</w:t>
            </w:r>
          </w:p>
        </w:tc>
        <w:tc>
          <w:tcPr>
            <w:tcW w:w="2200" w:type="dxa"/>
            <w:shd w:fill="FFFFFF"/>
            <w:vAlign w:val="center"/>
          </w:tcPr>
          <w:p>
            <w:pPr>
              <w:pStyle w:val="TableNumber"/>
            </w:pPr>
            <w:r>
              <w:t xml:space="preserve">8.0134</w:t>
              <w:br/>
              <w:t xml:space="preserve">6.1979</w:t>
            </w:r>
          </w:p>
        </w:tc>
        <w:tc>
          <w:tcPr>
            <w:tcW w:w="2360" w:type="dxa"/>
            <w:shd w:fill="FFFFFF"/>
            <w:vAlign w:val="center"/>
          </w:tcPr>
          <w:p>
            <w:pPr>
              <w:pStyle w:val="TableNumber"/>
            </w:pPr>
            <w:r>
              <w:t xml:space="preserve">0.091033</w:t>
              <w:br/>
              <w:t xml:space="preserve">0.095633</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0.322586</w:t>
              <w:br/>
              <w:t xml:space="preserve">0.321037</w:t>
            </w:r>
          </w:p>
        </w:tc>
        <w:tc>
          <w:tcPr>
            <w:tcW w:w="2075" w:type="dxa"/>
            <w:shd w:fill="F7F9FC"/>
            <w:vAlign w:val="center"/>
          </w:tcPr>
          <w:p>
            <w:pPr>
              <w:pStyle w:val="TableNumber"/>
            </w:pPr>
            <w:r>
              <w:t xml:space="preserve">71.1012%</w:t>
              <w:br/>
              <w:t xml:space="preserve">73.5592%</w:t>
            </w:r>
          </w:p>
        </w:tc>
        <w:tc>
          <w:tcPr>
            <w:tcW w:w="2200" w:type="dxa"/>
            <w:shd w:fill="F7F9FC"/>
            <w:vAlign w:val="center"/>
          </w:tcPr>
          <w:p>
            <w:pPr>
              <w:pStyle w:val="TableNumber"/>
            </w:pPr>
            <w:r>
              <w:t xml:space="preserve">8.8988</w:t>
              <w:br/>
              <w:t xml:space="preserve">6.4408</w:t>
            </w:r>
          </w:p>
        </w:tc>
        <w:tc>
          <w:tcPr>
            <w:tcW w:w="2360" w:type="dxa"/>
            <w:shd w:fill="F7F9FC"/>
            <w:vAlign w:val="center"/>
          </w:tcPr>
          <w:p>
            <w:pPr>
              <w:pStyle w:val="TableNumber"/>
            </w:pPr>
            <w:r>
              <w:t xml:space="preserve">0.111667</w:t>
              <w:br/>
              <w:t xml:space="preserve">0.118937</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0.321699</w:t>
              <w:br/>
              <w:t xml:space="preserve">0.319813</w:t>
            </w:r>
          </w:p>
        </w:tc>
        <w:tc>
          <w:tcPr>
            <w:tcW w:w="2075" w:type="dxa"/>
            <w:shd w:fill="FFFFFF"/>
            <w:vAlign w:val="center"/>
          </w:tcPr>
          <w:p>
            <w:pPr>
              <w:pStyle w:val="TableNumber"/>
            </w:pPr>
            <w:r>
              <w:t xml:space="preserve">70.4267%</w:t>
              <w:br/>
              <w:t xml:space="preserve">73.3419%</w:t>
            </w:r>
          </w:p>
        </w:tc>
        <w:tc>
          <w:tcPr>
            <w:tcW w:w="2200" w:type="dxa"/>
            <w:shd w:fill="FFFFFF"/>
            <w:vAlign w:val="center"/>
          </w:tcPr>
          <w:p>
            <w:pPr>
              <w:pStyle w:val="TableNumber"/>
            </w:pPr>
            <w:r>
              <w:t xml:space="preserve">9.5733</w:t>
              <w:br/>
              <w:t xml:space="preserve">6.6581</w:t>
            </w:r>
          </w:p>
        </w:tc>
        <w:tc>
          <w:tcPr>
            <w:tcW w:w="2360" w:type="dxa"/>
            <w:shd w:fill="FFFFFF"/>
            <w:vAlign w:val="center"/>
          </w:tcPr>
          <w:p>
            <w:pPr>
              <w:pStyle w:val="TableNumber"/>
            </w:pPr>
            <w:r>
              <w:t xml:space="preserve">0.129679</w:t>
              <w:br/>
              <w:t xml:space="preserve">0.138338</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0.317508</w:t>
              <w:br/>
              <w:t xml:space="preserve">0.315499</w:t>
            </w:r>
          </w:p>
        </w:tc>
        <w:tc>
          <w:tcPr>
            <w:tcW w:w="2075" w:type="dxa"/>
            <w:shd w:fill="F7F9FC"/>
            <w:vAlign w:val="center"/>
          </w:tcPr>
          <w:p>
            <w:pPr>
              <w:pStyle w:val="TableNumber"/>
            </w:pPr>
            <w:r>
              <w:t xml:space="preserve">70.0080%</w:t>
              <w:br/>
              <w:t xml:space="preserve">72.9775%</w:t>
            </w:r>
          </w:p>
        </w:tc>
        <w:tc>
          <w:tcPr>
            <w:tcW w:w="2200" w:type="dxa"/>
            <w:shd w:fill="F7F9FC"/>
            <w:vAlign w:val="center"/>
          </w:tcPr>
          <w:p>
            <w:pPr>
              <w:pStyle w:val="TableNumber"/>
            </w:pPr>
            <w:r>
              <w:t xml:space="preserve">9.9920</w:t>
              <w:br/>
              <w:t xml:space="preserve">7.0225</w:t>
            </w:r>
          </w:p>
        </w:tc>
        <w:tc>
          <w:tcPr>
            <w:tcW w:w="2360" w:type="dxa"/>
            <w:shd w:fill="F7F9FC"/>
            <w:vAlign w:val="center"/>
          </w:tcPr>
          <w:p>
            <w:pPr>
              <w:pStyle w:val="TableNumber"/>
            </w:pPr>
            <w:r>
              <w:t xml:space="preserve">0.144786</w:t>
              <w:br/>
              <w:t xml:space="preserve">0.156422</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0.318743</w:t>
              <w:br/>
              <w:t xml:space="preserve">0.316593</w:t>
            </w:r>
          </w:p>
        </w:tc>
        <w:tc>
          <w:tcPr>
            <w:tcW w:w="2075" w:type="dxa"/>
            <w:shd w:fill="FFFFFF"/>
            <w:vAlign w:val="center"/>
          </w:tcPr>
          <w:p>
            <w:pPr>
              <w:pStyle w:val="TableNumber"/>
            </w:pPr>
            <w:r>
              <w:t xml:space="preserve">69.6148%</w:t>
              <w:br/>
              <w:t xml:space="preserve">72.9775%</w:t>
            </w:r>
          </w:p>
        </w:tc>
        <w:tc>
          <w:tcPr>
            <w:tcW w:w="2200" w:type="dxa"/>
            <w:shd w:fill="FFFFFF"/>
            <w:vAlign w:val="center"/>
          </w:tcPr>
          <w:p>
            <w:pPr>
              <w:pStyle w:val="TableNumber"/>
            </w:pPr>
            <w:r>
              <w:t xml:space="preserve">10.3852</w:t>
              <w:br/>
              <w:t xml:space="preserve">7.0225</w:t>
            </w:r>
          </w:p>
        </w:tc>
        <w:tc>
          <w:tcPr>
            <w:tcW w:w="2360" w:type="dxa"/>
            <w:shd w:fill="FFFFFF"/>
            <w:vAlign w:val="center"/>
          </w:tcPr>
          <w:p>
            <w:pPr>
              <w:pStyle w:val="TableNumber"/>
            </w:pPr>
            <w:r>
              <w:t xml:space="preserve">0.159472</w:t>
              <w:br/>
              <w:t xml:space="preserve">0.171777</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0.319819</w:t>
              <w:br/>
              <w:t xml:space="preserve">0.317443</w:t>
            </w:r>
          </w:p>
        </w:tc>
        <w:tc>
          <w:tcPr>
            <w:tcW w:w="2075" w:type="dxa"/>
            <w:shd w:fill="F7F9FC"/>
            <w:vAlign w:val="center"/>
          </w:tcPr>
          <w:p>
            <w:pPr>
              <w:pStyle w:val="TableNumber"/>
            </w:pPr>
            <w:r>
              <w:t xml:space="preserve">68.9724%</w:t>
              <w:br/>
              <w:t xml:space="preserve">72.4788%</w:t>
            </w:r>
          </w:p>
        </w:tc>
        <w:tc>
          <w:tcPr>
            <w:tcW w:w="2200" w:type="dxa"/>
            <w:shd w:fill="F7F9FC"/>
            <w:vAlign w:val="center"/>
          </w:tcPr>
          <w:p>
            <w:pPr>
              <w:pStyle w:val="TableNumber"/>
            </w:pPr>
            <w:r>
              <w:t xml:space="preserve">11.0276</w:t>
              <w:br/>
              <w:t xml:space="preserve">7.5212</w:t>
            </w:r>
          </w:p>
        </w:tc>
        <w:tc>
          <w:tcPr>
            <w:tcW w:w="2360" w:type="dxa"/>
            <w:shd w:fill="F7F9FC"/>
            <w:vAlign w:val="center"/>
          </w:tcPr>
          <w:p>
            <w:pPr>
              <w:pStyle w:val="TableNumber"/>
            </w:pPr>
            <w:r>
              <w:t xml:space="preserve">0.172567</w:t>
              <w:br/>
              <w:t xml:space="preserve">0.185494</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0.320482</w:t>
              <w:br/>
              <w:t xml:space="preserve">0.318524</w:t>
            </w:r>
          </w:p>
        </w:tc>
        <w:tc>
          <w:tcPr>
            <w:tcW w:w="2075" w:type="dxa"/>
            <w:shd w:fill="FFFFFF"/>
            <w:vAlign w:val="center"/>
          </w:tcPr>
          <w:p>
            <w:pPr>
              <w:pStyle w:val="TableNumber"/>
            </w:pPr>
            <w:r>
              <w:t xml:space="preserve">69.4135%</w:t>
              <w:br/>
              <w:t xml:space="preserve">72.2743%</w:t>
            </w:r>
          </w:p>
        </w:tc>
        <w:tc>
          <w:tcPr>
            <w:tcW w:w="2200" w:type="dxa"/>
            <w:shd w:fill="FFFFFF"/>
            <w:vAlign w:val="center"/>
          </w:tcPr>
          <w:p>
            <w:pPr>
              <w:pStyle w:val="TableNumber"/>
            </w:pPr>
            <w:r>
              <w:t xml:space="preserve">10.5865</w:t>
              <w:br/>
              <w:t xml:space="preserve">7.7257</w:t>
            </w:r>
          </w:p>
        </w:tc>
        <w:tc>
          <w:tcPr>
            <w:tcW w:w="2360" w:type="dxa"/>
            <w:shd w:fill="FFFFFF"/>
            <w:vAlign w:val="center"/>
          </w:tcPr>
          <w:p>
            <w:pPr>
              <w:pStyle w:val="TableNumber"/>
            </w:pPr>
            <w:r>
              <w:t xml:space="preserve">0.187632</w:t>
              <w:br/>
              <w:t xml:space="preserve">0.200197</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0.322162</w:t>
              <w:br/>
              <w:t xml:space="preserve">0.319876</w:t>
            </w:r>
          </w:p>
        </w:tc>
        <w:tc>
          <w:tcPr>
            <w:tcW w:w="2075" w:type="dxa"/>
            <w:shd w:fill="F7F9FC"/>
            <w:vAlign w:val="center"/>
          </w:tcPr>
          <w:p>
            <w:pPr>
              <w:pStyle w:val="TableNumber"/>
            </w:pPr>
            <w:r>
              <w:t xml:space="preserve">69.1833%</w:t>
              <w:br/>
              <w:t xml:space="preserve">72.4213%</w:t>
            </w:r>
          </w:p>
        </w:tc>
        <w:tc>
          <w:tcPr>
            <w:tcW w:w="2200" w:type="dxa"/>
            <w:shd w:fill="F7F9FC"/>
            <w:vAlign w:val="center"/>
          </w:tcPr>
          <w:p>
            <w:pPr>
              <w:pStyle w:val="TableNumber"/>
            </w:pPr>
            <w:r>
              <w:t xml:space="preserve">10.8167</w:t>
              <w:br/>
              <w:t xml:space="preserve">7.5787</w:t>
            </w:r>
          </w:p>
        </w:tc>
        <w:tc>
          <w:tcPr>
            <w:tcW w:w="2360" w:type="dxa"/>
            <w:shd w:fill="F7F9FC"/>
            <w:vAlign w:val="center"/>
          </w:tcPr>
          <w:p>
            <w:pPr>
              <w:pStyle w:val="TableNumber"/>
            </w:pPr>
            <w:r>
              <w:t xml:space="preserve">0.200145</w:t>
              <w:br/>
              <w:t xml:space="preserve">0.215406</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0.322290</w:t>
              <w:br/>
              <w:t xml:space="preserve">0.319857</w:t>
            </w:r>
          </w:p>
        </w:tc>
        <w:tc>
          <w:tcPr>
            <w:tcW w:w="2075" w:type="dxa"/>
            <w:shd w:fill="FFFFFF"/>
            <w:vAlign w:val="center"/>
          </w:tcPr>
          <w:p>
            <w:pPr>
              <w:pStyle w:val="TableNumber"/>
            </w:pPr>
            <w:r>
              <w:t xml:space="preserve">68.7997%</w:t>
              <w:br/>
              <w:t xml:space="preserve">72.2870%</w:t>
            </w:r>
          </w:p>
        </w:tc>
        <w:tc>
          <w:tcPr>
            <w:tcW w:w="2200" w:type="dxa"/>
            <w:shd w:fill="FFFFFF"/>
            <w:vAlign w:val="center"/>
          </w:tcPr>
          <w:p>
            <w:pPr>
              <w:pStyle w:val="TableNumber"/>
            </w:pPr>
            <w:r>
              <w:t xml:space="preserve">11.2003</w:t>
              <w:br/>
              <w:t xml:space="preserve">7.7130</w:t>
            </w:r>
          </w:p>
        </w:tc>
        <w:tc>
          <w:tcPr>
            <w:tcW w:w="2360" w:type="dxa"/>
            <w:shd w:fill="FFFFFF"/>
            <w:vAlign w:val="center"/>
          </w:tcPr>
          <w:p>
            <w:pPr>
              <w:pStyle w:val="TableNumber"/>
            </w:pPr>
            <w:r>
              <w:t xml:space="preserve">0.209707</w:t>
              <w:br/>
              <w:t xml:space="preserve">0.227338</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0.323565</w:t>
              <w:br/>
              <w:t xml:space="preserve">0.321409</w:t>
            </w:r>
          </w:p>
        </w:tc>
        <w:tc>
          <w:tcPr>
            <w:tcW w:w="2075" w:type="dxa"/>
            <w:shd w:fill="F7F9FC"/>
            <w:vAlign w:val="center"/>
          </w:tcPr>
          <w:p>
            <w:pPr>
              <w:pStyle w:val="TableNumber"/>
            </w:pPr>
            <w:r>
              <w:t xml:space="preserve">68.8573%</w:t>
              <w:br/>
              <w:t xml:space="preserve">71.9322%</w:t>
            </w:r>
          </w:p>
        </w:tc>
        <w:tc>
          <w:tcPr>
            <w:tcW w:w="2200" w:type="dxa"/>
            <w:shd w:fill="F7F9FC"/>
            <w:vAlign w:val="center"/>
          </w:tcPr>
          <w:p>
            <w:pPr>
              <w:pStyle w:val="TableNumber"/>
            </w:pPr>
            <w:r>
              <w:t xml:space="preserve">11.1427</w:t>
              <w:br/>
              <w:t xml:space="preserve">8.0678</w:t>
            </w:r>
          </w:p>
        </w:tc>
        <w:tc>
          <w:tcPr>
            <w:tcW w:w="2360" w:type="dxa"/>
            <w:shd w:fill="F7F9FC"/>
            <w:vAlign w:val="center"/>
          </w:tcPr>
          <w:p>
            <w:pPr>
              <w:pStyle w:val="TableNumber"/>
            </w:pPr>
            <w:r>
              <w:t xml:space="preserve">0.222477</w:t>
              <w:br/>
              <w:t xml:space="preserve">0.239745</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0.323238</w:t>
              <w:br/>
              <w:t xml:space="preserve">0.320652</w:t>
            </w:r>
          </w:p>
        </w:tc>
        <w:tc>
          <w:tcPr>
            <w:tcW w:w="2075" w:type="dxa"/>
            <w:shd w:fill="FFFFFF"/>
            <w:vAlign w:val="center"/>
          </w:tcPr>
          <w:p>
            <w:pPr>
              <w:pStyle w:val="TableNumber"/>
            </w:pPr>
            <w:r>
              <w:t xml:space="preserve">67.9303%</w:t>
              <w:br/>
              <w:t xml:space="preserve">71.5710%</w:t>
            </w:r>
          </w:p>
        </w:tc>
        <w:tc>
          <w:tcPr>
            <w:tcW w:w="2200" w:type="dxa"/>
            <w:shd w:fill="FFFFFF"/>
            <w:vAlign w:val="center"/>
          </w:tcPr>
          <w:p>
            <w:pPr>
              <w:pStyle w:val="TableNumber"/>
            </w:pPr>
            <w:r>
              <w:t xml:space="preserve">12.0697</w:t>
              <w:br/>
              <w:t xml:space="preserve">8.4290</w:t>
            </w:r>
          </w:p>
        </w:tc>
        <w:tc>
          <w:tcPr>
            <w:tcW w:w="2360" w:type="dxa"/>
            <w:shd w:fill="FFFFFF"/>
            <w:vAlign w:val="center"/>
          </w:tcPr>
          <w:p>
            <w:pPr>
              <w:pStyle w:val="TableNumber"/>
            </w:pPr>
            <w:r>
              <w:t xml:space="preserve">0.231027</w:t>
              <w:br/>
              <w:t xml:space="preserve">0.251239</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0.324299</w:t>
              <w:br/>
              <w:t xml:space="preserve">0.320773</w:t>
            </w:r>
          </w:p>
        </w:tc>
        <w:tc>
          <w:tcPr>
            <w:tcW w:w="2075" w:type="dxa"/>
            <w:shd w:fill="F7F9FC"/>
            <w:vAlign w:val="center"/>
          </w:tcPr>
          <w:p>
            <w:pPr>
              <w:pStyle w:val="TableNumber"/>
            </w:pPr>
            <w:r>
              <w:t xml:space="preserve">66.7189%</w:t>
              <w:br/>
              <w:t xml:space="preserve">71.3633%</w:t>
            </w:r>
          </w:p>
        </w:tc>
        <w:tc>
          <w:tcPr>
            <w:tcW w:w="2200" w:type="dxa"/>
            <w:shd w:fill="F7F9FC"/>
            <w:vAlign w:val="center"/>
          </w:tcPr>
          <w:p>
            <w:pPr>
              <w:pStyle w:val="TableNumber"/>
            </w:pPr>
            <w:r>
              <w:t xml:space="preserve">13.2811</w:t>
              <w:br/>
              <w:t xml:space="preserve">8.6367</w:t>
            </w:r>
          </w:p>
        </w:tc>
        <w:tc>
          <w:tcPr>
            <w:tcW w:w="2360" w:type="dxa"/>
            <w:shd w:fill="F7F9FC"/>
            <w:vAlign w:val="center"/>
          </w:tcPr>
          <w:p>
            <w:pPr>
              <w:pStyle w:val="TableNumber"/>
            </w:pPr>
            <w:r>
              <w:t xml:space="preserve">0.238099</w:t>
              <w:br/>
              <w:t xml:space="preserve">0.262703</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0.328047</w:t>
              <w:br/>
              <w:t xml:space="preserve">0.324552</w:t>
            </w:r>
          </w:p>
        </w:tc>
        <w:tc>
          <w:tcPr>
            <w:tcW w:w="2075" w:type="dxa"/>
            <w:shd w:fill="FFFFFF"/>
            <w:vAlign w:val="center"/>
          </w:tcPr>
          <w:p>
            <w:pPr>
              <w:pStyle w:val="TableNumber"/>
            </w:pPr>
            <w:r>
              <w:t xml:space="preserve">66.2842%</w:t>
              <w:br/>
              <w:t xml:space="preserve">70.6377%</w:t>
            </w:r>
          </w:p>
        </w:tc>
        <w:tc>
          <w:tcPr>
            <w:tcW w:w="2200" w:type="dxa"/>
            <w:shd w:fill="FFFFFF"/>
            <w:vAlign w:val="center"/>
          </w:tcPr>
          <w:p>
            <w:pPr>
              <w:pStyle w:val="TableNumber"/>
            </w:pPr>
            <w:r>
              <w:t xml:space="preserve">13.7158</w:t>
              <w:br/>
              <w:t xml:space="preserve">9.3623</w:t>
            </w:r>
          </w:p>
        </w:tc>
        <w:tc>
          <w:tcPr>
            <w:tcW w:w="2360" w:type="dxa"/>
            <w:shd w:fill="FFFFFF"/>
            <w:vAlign w:val="center"/>
          </w:tcPr>
          <w:p>
            <w:pPr>
              <w:pStyle w:val="TableNumber"/>
            </w:pPr>
            <w:r>
              <w:t xml:space="preserve">0.249049</w:t>
              <w:br/>
              <w:t xml:space="preserve">0.272828</w:t>
            </w:r>
          </w:p>
        </w:tc>
      </w:tr>
    </w:tbl>
    <w:p>
      <w:pPr>
        <w:pStyle w:val="a"/>
        <w:spacing w:before="160"/>
      </w:pPr>
      <w:r>
        <w:t xml:space="preserve">TPEX 整體 coverage 69.5192% → 72.6202%；normalized pinball 0.322516 → 0.320362。</w:t>
      </w:r>
    </w:p>
    <w:p>
      <w:pPr>
        <w:pStyle w:val="a"/>
      </w:pPr>
      <w:r>
        <w:t xml:space="preserve">市場 coverage 可能有升有降，也可能超過 80%；coverage error 與 width 必須同時評估，不能以整體接近目標推論所有子群均校準成功。這批 calibrated JSON 沒有 by_month／by_market_month，也沒有分 provider 的校準結果；原始 provider／year 切片仍保留 raw，缺少的校準切片不以零或推估值補上。</w:t>
      </w:r>
    </w:p>
    <w:p>
      <w:pPr>
        <w:pStyle w:val="21"/>
      </w:pPr>
      <w:r>
        <w:t>8.2 年度切片</w:t>
      </w:r>
    </w:p>
    <w:tbl>
      <w:tblPr>
        <w:tblStyle w:val="BenchmarkTable"/>
        <w:tblW w:w="9360" w:type="dxa"/>
        <w:tblLayout w:type="fixed"/>
      </w:tblPr>
      <w:tblGrid>
        <w:gridCol w:w="1300"/>
        <w:gridCol w:w="1200"/>
        <w:gridCol w:w="1400"/>
        <w:gridCol w:w="1400"/>
        <w:gridCol w:w="1800"/>
        <w:gridCol w:w="1200"/>
        <w:gridCol w:w="1060"/>
      </w:tblGrid>
      <w:tr>
        <w:trPr>
          <w:tblHeader/>
        </w:trPr>
        <w:tc>
          <w:tcPr>
            <w:tcW w:w="1300" w:type="dxa"/>
            <w:shd w:val="clear" w:fill="DCE6F1"/>
            <w:vAlign w:val="center"/>
          </w:tcPr>
          <w:p>
            <w:pPr>
              <w:pStyle w:val="TableHeader"/>
            </w:pPr>
            <w:r>
              <w:t>年度</w:t>
            </w:r>
          </w:p>
        </w:tc>
        <w:tc>
          <w:tcPr>
            <w:tcW w:w="1200" w:type="dxa"/>
            <w:shd w:val="clear" w:fill="DCE6F1"/>
            <w:vAlign w:val="center"/>
          </w:tcPr>
          <w:p>
            <w:pPr>
              <w:pStyle w:val="TableHeader"/>
            </w:pPr>
            <w:r>
              <w:t>n</w:t>
            </w:r>
          </w:p>
        </w:tc>
        <w:tc>
          <w:tcPr>
            <w:tcW w:w="1400" w:type="dxa"/>
            <w:shd w:val="clear" w:fill="DCE6F1"/>
            <w:vAlign w:val="center"/>
          </w:tcPr>
          <w:p>
            <w:pPr>
              <w:pStyle w:val="TableHeader"/>
            </w:pPr>
            <w:r>
              <w:t>14H score</w:t>
            </w:r>
          </w:p>
        </w:tc>
        <w:tc>
          <w:tcPr>
            <w:tcW w:w="1400" w:type="dxa"/>
            <w:shd w:val="clear" w:fill="DCE6F1"/>
            <w:vAlign w:val="center"/>
          </w:tcPr>
          <w:p>
            <w:pPr>
              <w:pStyle w:val="TableHeader"/>
            </w:pPr>
            <w:r>
              <w:t>平均 q50 Corr.</w:t>
            </w:r>
          </w:p>
        </w:tc>
        <w:tc>
          <w:tcPr>
            <w:tcW w:w="1800" w:type="dxa"/>
            <w:shd w:val="clear" w:fill="DCE6F1"/>
            <w:vAlign w:val="center"/>
          </w:tcPr>
          <w:p>
            <w:pPr>
              <w:pStyle w:val="TableHeader"/>
            </w:pPr>
            <w:r>
              <w:t>Corr. 範圍</w:t>
            </w:r>
          </w:p>
        </w:tc>
        <w:tc>
          <w:tcPr>
            <w:tcW w:w="1200" w:type="dxa"/>
            <w:shd w:val="clear" w:fill="DCE6F1"/>
            <w:vAlign w:val="center"/>
          </w:tcPr>
          <w:p>
            <w:pPr>
              <w:pStyle w:val="TableHeader"/>
            </w:pPr>
            <w:r>
              <w:t>平均方向</w:t>
            </w:r>
          </w:p>
        </w:tc>
        <w:tc>
          <w:tcPr>
            <w:tcW w:w="1060" w:type="dxa"/>
            <w:shd w:val="clear" w:fill="DCE6F1"/>
            <w:vAlign w:val="center"/>
          </w:tcPr>
          <w:p>
            <w:pPr>
              <w:pStyle w:val="TableHeader"/>
            </w:pPr>
            <w:r>
              <w:t>平均 Coverage</w:t>
            </w:r>
          </w:p>
        </w:tc>
      </w:tr>
      <w:tr>
        <w:trPr>
          <w:cantSplit/>
        </w:trPr>
        <w:tc>
          <w:tcPr>
            <w:tcW w:w="1300" w:type="dxa"/>
            <w:vAlign w:val="center"/>
          </w:tcPr>
          <w:p>
            <w:pPr>
              <w:pStyle w:val="TableText"/>
            </w:pPr>
            <w:r>
              <w:t>2025</w:t>
            </w:r>
          </w:p>
        </w:tc>
        <w:tc>
          <w:tcPr>
            <w:tcW w:w="1200" w:type="dxa"/>
            <w:vAlign w:val="center"/>
          </w:tcPr>
          <w:p>
            <w:pPr>
              <w:pStyle w:val="TableNumber"/>
            </w:pPr>
            <w:r>
              <w:t>106,394</w:t>
            </w:r>
          </w:p>
        </w:tc>
        <w:tc>
          <w:tcPr>
            <w:tcW w:w="1400" w:type="dxa"/>
            <w:vAlign w:val="center"/>
          </w:tcPr>
          <w:p>
            <w:pPr>
              <w:pStyle w:val="TableNumber"/>
            </w:pPr>
            <w:r>
              <w:t>0.254695</w:t>
            </w:r>
          </w:p>
        </w:tc>
        <w:tc>
          <w:tcPr>
            <w:tcW w:w="1400" w:type="dxa"/>
            <w:vAlign w:val="center"/>
          </w:tcPr>
          <w:p>
            <w:pPr>
              <w:pStyle w:val="TableNumber"/>
            </w:pPr>
            <w:r>
              <w:t>0.1175</w:t>
            </w:r>
          </w:p>
        </w:tc>
        <w:tc>
          <w:tcPr>
            <w:tcW w:w="1800" w:type="dxa"/>
            <w:vAlign w:val="center"/>
          </w:tcPr>
          <w:p>
            <w:pPr>
              <w:pStyle w:val="TableNumber"/>
            </w:pPr>
            <w:r>
              <w:t>0.0453 至 0.1465</w:t>
            </w:r>
          </w:p>
        </w:tc>
        <w:tc>
          <w:tcPr>
            <w:tcW w:w="1200" w:type="dxa"/>
            <w:vAlign w:val="center"/>
          </w:tcPr>
          <w:p>
            <w:pPr>
              <w:pStyle w:val="TableNumber"/>
            </w:pPr>
            <w:r>
              <w:t>54.29%</w:t>
            </w:r>
          </w:p>
        </w:tc>
        <w:tc>
          <w:tcPr>
            <w:tcW w:w="1060" w:type="dxa"/>
            <w:vAlign w:val="center"/>
          </w:tcPr>
          <w:p>
            <w:pPr>
              <w:pStyle w:val="TableNumber"/>
            </w:pPr>
            <w:r>
              <w:t>79.69%</w:t>
            </w:r>
          </w:p>
        </w:tc>
      </w:tr>
      <w:tr>
        <w:trPr>
          <w:cantSplit/>
        </w:trPr>
        <w:tc>
          <w:tcPr>
            <w:tcW w:w="1300" w:type="dxa"/>
            <w:vAlign w:val="center"/>
          </w:tcPr>
          <w:p>
            <w:pPr>
              <w:pStyle w:val="TableText"/>
            </w:pPr>
            <w:r>
              <w:t>2026</w:t>
            </w:r>
          </w:p>
        </w:tc>
        <w:tc>
          <w:tcPr>
            <w:tcW w:w="1200" w:type="dxa"/>
            <w:vAlign w:val="center"/>
          </w:tcPr>
          <w:p>
            <w:pPr>
              <w:pStyle w:val="TableNumber"/>
            </w:pPr>
            <w:r>
              <w:t>427,933</w:t>
            </w:r>
          </w:p>
        </w:tc>
        <w:tc>
          <w:tcPr>
            <w:tcW w:w="1400" w:type="dxa"/>
            <w:vAlign w:val="center"/>
          </w:tcPr>
          <w:p>
            <w:pPr>
              <w:pStyle w:val="TableNumber"/>
            </w:pPr>
            <w:r>
              <w:t>0.303551</w:t>
            </w:r>
          </w:p>
        </w:tc>
        <w:tc>
          <w:tcPr>
            <w:tcW w:w="1400" w:type="dxa"/>
            <w:vAlign w:val="center"/>
          </w:tcPr>
          <w:p>
            <w:pPr>
              <w:pStyle w:val="TableNumber"/>
            </w:pPr>
            <w:r>
              <w:t>0.0921</w:t>
            </w:r>
          </w:p>
        </w:tc>
        <w:tc>
          <w:tcPr>
            <w:tcW w:w="1800" w:type="dxa"/>
            <w:vAlign w:val="center"/>
          </w:tcPr>
          <w:p>
            <w:pPr>
              <w:pStyle w:val="TableNumber"/>
            </w:pPr>
            <w:r>
              <w:t>0.0607 至 0.1245</w:t>
            </w:r>
          </w:p>
        </w:tc>
        <w:tc>
          <w:tcPr>
            <w:tcW w:w="1200" w:type="dxa"/>
            <w:vAlign w:val="center"/>
          </w:tcPr>
          <w:p>
            <w:pPr>
              <w:pStyle w:val="TableNumber"/>
            </w:pPr>
            <w:r>
              <w:t>54.81%</w:t>
            </w:r>
          </w:p>
        </w:tc>
        <w:tc>
          <w:tcPr>
            <w:tcW w:w="1060" w:type="dxa"/>
            <w:vAlign w:val="center"/>
          </w:tcPr>
          <w:p>
            <w:pPr>
              <w:pStyle w:val="TableNumber"/>
            </w:pPr>
            <w:r>
              <w:t>74.83%</w:t>
            </w:r>
          </w:p>
        </w:tc>
      </w:tr>
    </w:tbl>
    <w:p>
      <w:pPr>
        <w:pStyle w:val="Lead"/>
        <w:spacing w:before="160"/>
      </w:pPr>
      <w:r>
        <w:t>年度切片為 2025、2026；樣本數分別為 2025=106,394；2026=427,933。年度 score、coverage 與 correlation 會受樣本量及市場組成影響，只作診斷，不能單獨證明時間外推能力。</w:t>
      </w:r>
    </w:p>
    <w:p>
      <w:pPr>
        <w:pStyle w:val="11"/>
      </w:pPr>
      <w:r>
        <w:t>9. 風險與下一階段</w:t>
      </w:r>
    </w:p>
    <w:p>
      <w:pPr>
        <w:pStyle w:val="Decision"/>
        <w:keepNext/>
        <w:spacing w:after="80"/>
      </w:pPr>
      <w:r>
        <w:t>表 11｜主要限制與必要驗證</w:t>
      </w:r>
    </w:p>
    <w:tbl>
      <w:tblPr>
        <w:tblStyle w:val="BenchmarkTable"/>
        <w:tblW w:w="9360" w:type="dxa"/>
        <w:tblLayout w:type="fixed"/>
      </w:tblPr>
      <w:tblGrid>
        <w:gridCol w:w="2500"/>
        <w:gridCol w:w="2900"/>
        <w:gridCol w:w="3960"/>
      </w:tblGrid>
      <w:tr>
        <w:trPr>
          <w:tblHeader/>
        </w:trPr>
        <w:tc>
          <w:tcPr>
            <w:tcW w:w="2500" w:type="dxa"/>
            <w:shd w:val="clear" w:fill="DCE6F1"/>
            <w:vAlign w:val="center"/>
          </w:tcPr>
          <w:p>
            <w:pPr>
              <w:pStyle w:val="TableHeader"/>
            </w:pPr>
            <w:r>
              <w:t>風險</w:t>
            </w:r>
          </w:p>
        </w:tc>
        <w:tc>
          <w:tcPr>
            <w:tcW w:w="2900" w:type="dxa"/>
            <w:shd w:val="clear" w:fill="DCE6F1"/>
            <w:vAlign w:val="center"/>
          </w:tcPr>
          <w:p>
            <w:pPr>
              <w:pStyle w:val="TableHeader"/>
            </w:pPr>
            <w:r>
              <w:t>目前證據</w:t>
            </w:r>
          </w:p>
        </w:tc>
        <w:tc>
          <w:tcPr>
            <w:tcW w:w="3960" w:type="dxa"/>
            <w:shd w:val="clear" w:fill="DCE6F1"/>
            <w:vAlign w:val="center"/>
          </w:tcPr>
          <w:p>
            <w:pPr>
              <w:pStyle w:val="TableHeader"/>
            </w:pPr>
            <w:r>
              <w:t>下一道驗證</w:t>
            </w:r>
          </w:p>
        </w:tc>
      </w:tr>
      <w:tr>
        <w:trPr>
          <w:cantSplit/>
        </w:trPr>
        <w:tc>
          <w:tcPr>
            <w:tcW w:w="2500" w:type="dxa"/>
            <w:vAlign w:val="center"/>
          </w:tcPr>
          <w:p>
            <w:pPr>
              <w:pStyle w:val="TableText"/>
            </w:pPr>
            <w:r>
              <w:t>完整 test holdout</w:t>
            </w:r>
          </w:p>
        </w:tc>
        <w:tc>
          <w:tcPr>
            <w:tcW w:w="2900" w:type="dxa"/>
            <w:vAlign w:val="center"/>
          </w:tcPr>
          <w:p>
            <w:pPr>
              <w:pStyle w:val="TableText"/>
            </w:pPr>
            <w:r>
              <w:t>534,327 筆、112 日期；checkpoint 由 validation 選出</w:t>
            </w:r>
          </w:p>
        </w:tc>
        <w:tc>
          <w:tcPr>
            <w:tcW w:w="3960" w:type="dxa"/>
            <w:vAlign w:val="center"/>
          </w:tcPr>
          <w:p>
            <w:pPr>
              <w:pStyle w:val="TableText"/>
            </w:pPr>
            <w:r>
              <w:t>保留 test holdout 隔離，下一輪先固定 membership 與 protocol</w:t>
            </w:r>
          </w:p>
        </w:tc>
      </w:tr>
      <w:tr>
        <w:trPr>
          <w:cantSplit/>
        </w:trPr>
        <w:tc>
          <w:tcPr>
            <w:tcW w:w="2500" w:type="dxa"/>
            <w:vAlign w:val="center"/>
          </w:tcPr>
          <w:p>
            <w:pPr>
              <w:pStyle w:val="TableText"/>
            </w:pPr>
            <w:r>
              <w:t>單一 seed</w:t>
            </w:r>
          </w:p>
        </w:tc>
        <w:tc>
          <w:tcPr>
            <w:tcW w:w="2900" w:type="dxa"/>
            <w:vAlign w:val="center"/>
          </w:tcPr>
          <w:p>
            <w:pPr>
              <w:pStyle w:val="TableText"/>
            </w:pPr>
            <w:r>
              <w:t>seed=42</w:t>
            </w:r>
          </w:p>
        </w:tc>
        <w:tc>
          <w:tcPr>
            <w:tcW w:w="3960" w:type="dxa"/>
            <w:vAlign w:val="center"/>
          </w:tcPr>
          <w:p>
            <w:pPr>
              <w:pStyle w:val="TableText"/>
            </w:pPr>
            <w:r>
              <w:t>多 seed 報告中位數、離散度及最差值</w:t>
            </w:r>
          </w:p>
        </w:tc>
      </w:tr>
      <w:tr>
        <w:trPr>
          <w:cantSplit/>
        </w:trPr>
        <w:tc>
          <w:tcPr>
            <w:tcW w:w="2500" w:type="dxa"/>
            <w:vAlign w:val="center"/>
          </w:tcPr>
          <w:p>
            <w:pPr>
              <w:pStyle w:val="TableText"/>
            </w:pPr>
            <w:r>
              <w:t xml:space="preserve">區間 coverage 已校準</w:t>
            </w:r>
          </w:p>
        </w:tc>
        <w:tc>
          <w:tcPr>
            <w:tcW w:w="2900" w:type="dxa"/>
            <w:vAlign w:val="center"/>
          </w:tcPr>
          <w:p>
            <w:pPr>
              <w:pStyle w:val="TableText"/>
            </w:pPr>
            <w:r>
              <w:t xml:space="preserve">75.7978% → 77.1449%</w:t>
            </w:r>
          </w:p>
        </w:tc>
        <w:tc>
          <w:tcPr>
            <w:tcW w:w="3960" w:type="dxa"/>
            <w:vAlign w:val="center"/>
          </w:tcPr>
          <w:p>
            <w:pPr>
              <w:pStyle w:val="TableText"/>
            </w:pPr>
            <w:r>
              <w:t xml:space="preserve">檢查市場/horizon coverage error 及 width，不宣稱全面達標</w:t>
            </w:r>
          </w:p>
        </w:tc>
      </w:tr>
      <w:tr>
        <w:trPr>
          <w:cantSplit/>
        </w:trPr>
        <w:tc>
          <w:tcPr>
            <w:tcW w:w="2500" w:type="dxa"/>
            <w:vAlign w:val="center"/>
          </w:tcPr>
          <w:p>
            <w:pPr>
              <w:pStyle w:val="TableText"/>
            </w:pPr>
            <w:r>
              <w:t>q50 關聯偏弱</w:t>
            </w:r>
          </w:p>
        </w:tc>
        <w:tc>
          <w:tcPr>
            <w:tcW w:w="2900" w:type="dxa"/>
            <w:vAlign w:val="center"/>
          </w:tcPr>
          <w:p>
            <w:pPr>
              <w:pStyle w:val="TableText"/>
            </w:pPr>
            <w:r>
              <w:t>0.0569 至 0.1268</w:t>
            </w:r>
          </w:p>
        </w:tc>
        <w:tc>
          <w:tcPr>
            <w:tcW w:w="3960" w:type="dxa"/>
            <w:vAlign w:val="center"/>
          </w:tcPr>
          <w:p>
            <w:pPr>
              <w:pStyle w:val="TableText"/>
            </w:pPr>
            <w:r>
              <w:t>檢查 provider、月份及市場 regime 的排序穩定度</w:t>
            </w:r>
          </w:p>
        </w:tc>
      </w:tr>
      <w:tr>
        <w:trPr>
          <w:cantSplit/>
        </w:trPr>
        <w:tc>
          <w:tcPr>
            <w:tcW w:w="2500" w:type="dxa"/>
            <w:vAlign w:val="center"/>
          </w:tcPr>
          <w:p>
            <w:pPr>
              <w:pStyle w:val="TableText"/>
            </w:pPr>
            <w:r>
              <w:t>訊號分布</w:t>
            </w:r>
          </w:p>
        </w:tc>
        <w:tc>
          <w:tcPr>
            <w:tcW w:w="2900" w:type="dxa"/>
            <w:vAlign w:val="center"/>
          </w:tcPr>
          <w:p>
            <w:pPr>
              <w:pStyle w:val="TableText"/>
            </w:pPr>
            <w:r>
              <w:t>bearish 57.05% 至 67.53%；neutral 0.00% 至 0.00%</w:t>
            </w:r>
          </w:p>
        </w:tc>
        <w:tc>
          <w:tcPr>
            <w:tcW w:w="3960" w:type="dxa"/>
            <w:vAlign w:val="center"/>
          </w:tcPr>
          <w:p>
            <w:pPr>
              <w:pStyle w:val="TableText"/>
            </w:pPr>
            <w:r>
              <w:t>逐 horizon 固定 threshold 與 position mapping；標籤不是機率</w:t>
            </w:r>
          </w:p>
        </w:tc>
      </w:tr>
      <w:tr>
        <w:trPr>
          <w:cantSplit/>
        </w:trPr>
        <w:tc>
          <w:tcPr>
            <w:tcW w:w="2500" w:type="dxa"/>
            <w:vAlign w:val="center"/>
          </w:tcPr>
          <w:p>
            <w:pPr>
              <w:pStyle w:val="TableText"/>
            </w:pPr>
            <w:r>
              <w:t xml:space="preserve">舊版資金路徑數值</w:t>
            </w:r>
          </w:p>
        </w:tc>
        <w:tc>
          <w:tcPr>
            <w:tcW w:w="2900" w:type="dxa"/>
            <w:vAlign w:val="center"/>
          </w:tcPr>
          <w:p>
            <w:pPr>
              <w:pStyle w:val="TableText"/>
            </w:pPr>
            <w:r>
              <w:t xml:space="preserve">原最大回撤保留於表 9；尺度未對齊</w:t>
            </w:r>
          </w:p>
        </w:tc>
        <w:tc>
          <w:tcPr>
            <w:tcW w:w="3960" w:type="dxa"/>
            <w:vAlign w:val="center"/>
          </w:tcPr>
          <w:p>
            <w:pPr>
              <w:pStyle w:val="TableText"/>
            </w:pPr>
            <w:r>
              <w:t xml:space="preserve">先修正程式與完整序列重算，再談曝險及回撤門檻</w:t>
            </w:r>
          </w:p>
        </w:tc>
      </w:tr>
      <w:tr>
        <w:trPr>
          <w:cantSplit/>
        </w:trPr>
        <w:tc>
          <w:tcPr>
            <w:tcW w:w="2500" w:type="dxa"/>
            <w:vAlign w:val="center"/>
          </w:tcPr>
          <w:p>
            <w:pPr>
              <w:pStyle w:val="TableText"/>
            </w:pPr>
            <w:r>
              <w:t>Provider 異質性</w:t>
            </w:r>
          </w:p>
        </w:tc>
        <w:tc>
          <w:tcPr>
            <w:tcW w:w="2900" w:type="dxa"/>
            <w:vAlign w:val="center"/>
          </w:tcPr>
          <w:p>
            <w:pPr>
              <w:pStyle w:val="TableText"/>
            </w:pPr>
            <w:r>
              <w:t>Provider 平均 coverage 約 69.52% 至 77.05%</w:t>
            </w:r>
          </w:p>
        </w:tc>
        <w:tc>
          <w:tcPr>
            <w:tcW w:w="3960" w:type="dxa"/>
            <w:vAlign w:val="center"/>
          </w:tcPr>
          <w:p>
            <w:pPr>
              <w:pStyle w:val="TableText"/>
            </w:pPr>
            <w:r>
              <w:t>逐 provider 稽核資料、樣本與校準</w:t>
            </w:r>
          </w:p>
        </w:tc>
      </w:tr>
      <w:tr>
        <w:trPr>
          <w:cantSplit/>
        </w:trPr>
        <w:tc>
          <w:tcPr>
            <w:tcW w:w="2500" w:type="dxa"/>
            <w:vAlign w:val="center"/>
          </w:tcPr>
          <w:p>
            <w:pPr>
              <w:pStyle w:val="TableText"/>
            </w:pPr>
            <w:r>
              <w:t>年度樣本不平衡</w:t>
            </w:r>
          </w:p>
        </w:tc>
        <w:tc>
          <w:tcPr>
            <w:tcW w:w="2900" w:type="dxa"/>
            <w:vAlign w:val="center"/>
          </w:tcPr>
          <w:p>
            <w:pPr>
              <w:pStyle w:val="TableText"/>
            </w:pPr>
            <w:r>
              <w:t>2025=106,394；2026=427,933</w:t>
            </w:r>
          </w:p>
        </w:tc>
        <w:tc>
          <w:tcPr>
            <w:tcW w:w="3960" w:type="dxa"/>
            <w:vAlign w:val="center"/>
          </w:tcPr>
          <w:p>
            <w:pPr>
              <w:pStyle w:val="TableText"/>
            </w:pPr>
            <w:r>
              <w:t>增加 rolling、regime 與完整年度測試</w:t>
            </w:r>
          </w:p>
        </w:tc>
      </w:tr>
      <w:tr>
        <w:trPr>
          <w:cantSplit/>
        </w:trPr>
        <w:tc>
          <w:tcPr>
            <w:tcW w:w="2500" w:type="dxa"/>
            <w:vAlign w:val="center"/>
          </w:tcPr>
          <w:p>
            <w:pPr>
              <w:pStyle w:val="TableText"/>
            </w:pPr>
            <w:r>
              <w:t xml:space="preserve">報酬與成本尺度</w:t>
            </w:r>
          </w:p>
        </w:tc>
        <w:tc>
          <w:tcPr>
            <w:tcW w:w="2900" w:type="dxa"/>
            <w:vAlign w:val="center"/>
          </w:tcPr>
          <w:p>
            <w:pPr>
              <w:pStyle w:val="TableText"/>
            </w:pPr>
            <w:r>
              <w:t xml:space="preserve">+0.5 / −0.5 weights；gross 未乘 0.5</w:t>
            </w:r>
          </w:p>
        </w:tc>
        <w:tc>
          <w:tcPr>
            <w:tcW w:w="3960" w:type="dxa"/>
            <w:vAlign w:val="center"/>
          </w:tcPr>
          <w:p>
            <w:pPr>
              <w:pStyle w:val="TableText"/>
            </w:pPr>
            <w:r>
              <w:t xml:space="preserve">重算序列並處理持倉重疊及實際 PnL；不可直接除以二</w:t>
            </w:r>
          </w:p>
        </w:tc>
      </w:tr>
      <w:tr>
        <w:trPr>
          <w:cantSplit/>
        </w:trPr>
        <w:tc>
          <w:tcPr>
            <w:tcW w:w="2500" w:type="dxa"/>
            <w:vAlign w:val="center"/>
          </w:tcPr>
          <w:p>
            <w:pPr>
              <w:pStyle w:val="TableText"/>
            </w:pPr>
            <w:r>
              <w:t xml:space="preserve">方向 baseline</w:t>
            </w:r>
          </w:p>
        </w:tc>
        <w:tc>
          <w:tcPr>
            <w:tcW w:w="2900" w:type="dxa"/>
            <w:vAlign w:val="center"/>
          </w:tcPr>
          <w:p>
            <w:pPr>
              <w:pStyle w:val="TableText"/>
            </w:pPr>
            <w:r>
              <w:t xml:space="preserve">always_buy = zero_return 固定 training 分布</w:t>
            </w:r>
          </w:p>
        </w:tc>
        <w:tc>
          <w:tcPr>
            <w:tcW w:w="3960" w:type="dxa"/>
            <w:vAlign w:val="center"/>
          </w:tcPr>
          <w:p>
            <w:pPr>
              <w:pStyle w:val="TableText"/>
            </w:pPr>
            <w:r>
              <w:t xml:space="preserve">比較差距百分點及未來配對信賴區間</w:t>
            </w:r>
          </w:p>
        </w:tc>
      </w:tr>
      <w:tr>
        <w:trPr>
          <w:cantSplit/>
        </w:trPr>
        <w:tc>
          <w:tcPr>
            <w:tcW w:w="2500" w:type="dxa"/>
            <w:vAlign w:val="center"/>
          </w:tcPr>
          <w:p>
            <w:pPr>
              <w:pStyle w:val="TableText"/>
            </w:pPr>
            <w:r>
              <w:t xml:space="preserve">排序 head 公平比較</w:t>
            </w:r>
          </w:p>
        </w:tc>
        <w:tc>
          <w:tcPr>
            <w:tcW w:w="2900" w:type="dxa"/>
            <w:vAlign w:val="center"/>
          </w:tcPr>
          <w:p>
            <w:pPr>
              <w:pStyle w:val="TableText"/>
            </w:pPr>
            <w:r>
              <w:t xml:space="preserve">q50 跨市場；ranking head 市場別</w:t>
            </w:r>
          </w:p>
        </w:tc>
        <w:tc>
          <w:tcPr>
            <w:tcW w:w="3960" w:type="dxa"/>
            <w:vAlign w:val="center"/>
          </w:tcPr>
          <w:p>
            <w:pPr>
              <w:pStyle w:val="TableText"/>
            </w:pPr>
            <w:r>
              <w:t xml:space="preserve">尚缺同市場同日期 q50 對照</w:t>
            </w:r>
          </w:p>
        </w:tc>
      </w:tr>
    </w:tbl>
    <w:p>
      <w:pPr>
        <w:pStyle w:val="Lead"/>
        <w:spacing w:before="160"/>
      </w:pPr>
      <w:r>
        <w:t xml:space="preserve">最終判斷：分布誤差與區間校準已有此 test 的描述性證據，方向與排序必須分開判斷。成本後策略指標在評估程式修正並重算之前不可當正式策略績效。以下四項結論彼此獨立。</w:t>
      </w:r>
    </w:p>
    <w:p>
      <w:pPr>
        <w:pStyle w:val="21"/>
      </w:pPr>
      <w:r>
        <w:t xml:space="preserve">分布預測是否改善</w:t>
      </w:r>
    </w:p>
    <w:p>
      <w:pPr>
        <w:pStyle w:val="a"/>
      </w:pPr>
      <w:r>
        <w:t xml:space="preserve">Raw normalized pinball 0.293823 比 training 固定分布 0.309493 低 5.06%。既有區間校準將 normalized pinball 改為 0.293445，整體 coverage 從 75.7978% 改為 77.1449%。這是此 holdout 上的分布誤差與區間診斷改善，不等於所有市場達標或方向能力提升。</w:t>
      </w:r>
    </w:p>
    <w:p>
      <w:pPr>
        <w:pStyle w:val="21"/>
      </w:pPr>
      <w:r>
        <w:t xml:space="preserve">方向能力是否超越固定 baseline</w:t>
      </w:r>
    </w:p>
    <w:p>
      <w:pPr>
        <w:pStyle w:val="a"/>
      </w:pPr>
      <w:r>
        <w:t xml:space="preserve">主模型僅 5/14 個 horizon 高於 training 固定無條件分布，差距 -1.1935 至 +0.2055 百分點。尚無普遍超越固定 baseline 的方向證據；少數正差也未提供配對信賴區間，不宣稱統計顯著。方向指的是相對 benchmark 的 alpha 正負，不是股價上漲或下跌。</w:t>
      </w:r>
    </w:p>
    <w:p>
      <w:pPr>
        <w:pStyle w:val="21"/>
      </w:pPr>
      <w:r>
        <w:t xml:space="preserve">排序能力是否存在</w:t>
      </w:r>
    </w:p>
    <w:p>
      <w:pPr>
        <w:pStyle w:val="a"/>
      </w:pPr>
      <w:r>
        <w:t xml:space="preserve">以 q50 排序的跨市場 RankIC 與獨立 ranking head 的市場別 RankIC 都顯示正向平均排序關聯。這提供選股訊號的描述性證據；不同分組不能直接比較兩個 head 誰較強，單一 seed 和約百日樣本也不足以證明穩定可交易。</w:t>
      </w:r>
    </w:p>
    <w:p>
      <w:pPr>
        <w:pStyle w:val="21"/>
      </w:pPr>
      <w:r>
        <w:t xml:space="preserve">策略績效目前是否可信</w:t>
      </w:r>
    </w:p>
    <w:p>
      <w:pPr>
        <w:pStyle w:val="a"/>
      </w:pPr>
      <w:r>
        <w:t xml:space="preserve">不可信作為正式策略績效。持倉／turnover 與 gross return 的資金尺度未對齊，且多日 forward alpha 重疊。必須修正評估程式後以完整序列重算，再處理實際投資組合損益、持倉重疊及交易限制。現有 Sharpe、最大回撤與成本後報酬只保留作版本追溯，不支持部署或策略優劣結論。</w:t>
      </w:r>
    </w:p>
    <w:p>
      <w:pPr>
        <w:pStyle w:val="11"/>
      </w:pPr>
      <w:r>
        <w:t>附錄 A 完整模型排名</w:t>
      </w:r>
    </w:p>
    <w:tbl>
      <w:tblPr>
        <w:tblStyle w:val="BenchmarkTable"/>
        <w:tblW w:w="9360" w:type="dxa"/>
        <w:tblLayout w:type="fixed"/>
      </w:tblPr>
      <w:tblGrid>
        <w:gridCol w:w="650"/>
        <w:gridCol w:w="2800"/>
        <w:gridCol w:w="1900"/>
        <w:gridCol w:w="1330"/>
        <w:gridCol w:w="1330"/>
        <w:gridCol w:w="1350"/>
      </w:tblGrid>
      <w:tr>
        <w:trPr>
          <w:tblHeader/>
        </w:trPr>
        <w:tc>
          <w:tcPr>
            <w:tcW w:w="650" w:type="dxa"/>
            <w:shd w:val="clear" w:fill="DCE6F1"/>
            <w:vAlign w:val="center"/>
          </w:tcPr>
          <w:p>
            <w:pPr>
              <w:pStyle w:val="TableHeader"/>
            </w:pPr>
            <w:r>
              <w:t>名次</w:t>
            </w:r>
          </w:p>
        </w:tc>
        <w:tc>
          <w:tcPr>
            <w:tcW w:w="2800" w:type="dxa"/>
            <w:shd w:val="clear" w:fill="DCE6F1"/>
            <w:vAlign w:val="center"/>
          </w:tcPr>
          <w:p>
            <w:pPr>
              <w:pStyle w:val="TableHeader"/>
            </w:pPr>
            <w:r>
              <w:t>模型</w:t>
            </w:r>
          </w:p>
        </w:tc>
        <w:tc>
          <w:tcPr>
            <w:tcW w:w="1900" w:type="dxa"/>
            <w:shd w:val="clear" w:fill="DCE6F1"/>
            <w:vAlign w:val="center"/>
          </w:tcPr>
          <w:p>
            <w:pPr>
              <w:pStyle w:val="TableHeader"/>
            </w:pPr>
            <w:r>
              <w:t>1 至 14 日 score</w:t>
            </w:r>
          </w:p>
        </w:tc>
        <w:tc>
          <w:tcPr>
            <w:tcW w:w="1330" w:type="dxa"/>
            <w:shd w:val="clear" w:fill="DCE6F1"/>
            <w:vAlign w:val="center"/>
          </w:tcPr>
          <w:p>
            <w:pPr>
              <w:pStyle w:val="TableHeader"/>
            </w:pPr>
            <w:r>
              <w:t xml:space="preserve">14H Coverage</w:t>
            </w:r>
          </w:p>
        </w:tc>
        <w:tc>
          <w:tcPr>
            <w:tcW w:w="1330" w:type="dxa"/>
            <w:shd w:val="clear" w:fill="DCE6F1"/>
            <w:vAlign w:val="center"/>
          </w:tcPr>
          <w:p>
            <w:pPr>
              <w:pStyle w:val="TableHeader"/>
            </w:pPr>
            <w:r>
              <w:t xml:space="preserve">14H 平均 q50 corr.</w:t>
            </w:r>
          </w:p>
        </w:tc>
        <w:tc>
          <w:tcPr>
            <w:tcW w:w="1350" w:type="dxa"/>
            <w:shd w:val="clear" w:fill="DCE6F1"/>
            <w:vAlign w:val="center"/>
          </w:tcPr>
          <w:p>
            <w:pPr>
              <w:pStyle w:val="TableHeader"/>
            </w:pPr>
            <w:r>
              <w:t xml:space="preserve">5d q50 RankIC</w:t>
            </w:r>
          </w:p>
        </w:tc>
      </w:tr>
      <w:tr>
        <w:trPr>
          <w:cantSplit/>
        </w:trPr>
        <w:tc>
          <w:tcPr>
            <w:tcW w:w="650" w:type="dxa"/>
            <w:shd w:val="clear" w:fill="EDF5FC"/>
            <w:vAlign w:val="center"/>
          </w:tcPr>
          <w:p>
            <w:pPr>
              <w:pStyle w:val="TableNumber"/>
            </w:pPr>
            <w:r>
              <w:t>1</w:t>
            </w:r>
          </w:p>
        </w:tc>
        <w:tc>
          <w:tcPr>
            <w:tcW w:w="2800" w:type="dxa"/>
            <w:shd w:val="clear" w:fill="EDF5FC"/>
            <w:vAlign w:val="center"/>
          </w:tcPr>
          <w:p>
            <w:pPr>
              <w:pStyle w:val="TableText"/>
            </w:pPr>
            <w:r>
              <w:t>Compact PatchTST</w:t>
            </w:r>
          </w:p>
        </w:tc>
        <w:tc>
          <w:tcPr>
            <w:tcW w:w="1900" w:type="dxa"/>
            <w:shd w:val="clear" w:fill="EDF5FC"/>
            <w:vAlign w:val="center"/>
          </w:tcPr>
          <w:p>
            <w:pPr>
              <w:pStyle w:val="TableNumber"/>
            </w:pPr>
            <w:r>
              <w:t>0.293639</w:t>
            </w:r>
          </w:p>
        </w:tc>
        <w:tc>
          <w:tcPr>
            <w:tcW w:w="1330" w:type="dxa"/>
            <w:shd w:val="clear" w:fill="EDF5FC"/>
            <w:vAlign w:val="center"/>
          </w:tcPr>
          <w:p>
            <w:pPr>
              <w:pStyle w:val="TableNumber"/>
            </w:pPr>
            <w:r>
              <w:t xml:space="preserve">77.33%</w:t>
            </w:r>
          </w:p>
        </w:tc>
        <w:tc>
          <w:tcPr>
            <w:tcW w:w="1330" w:type="dxa"/>
            <w:shd w:val="clear" w:fill="EDF5FC"/>
            <w:vAlign w:val="center"/>
          </w:tcPr>
          <w:p>
            <w:pPr>
              <w:pStyle w:val="TableNumber"/>
            </w:pPr>
            <w:r>
              <w:t xml:space="preserve">0.0858</w:t>
            </w:r>
          </w:p>
        </w:tc>
        <w:tc>
          <w:tcPr>
            <w:tcW w:w="1350" w:type="dxa"/>
            <w:shd w:val="clear" w:fill="EDF5FC"/>
            <w:vAlign w:val="center"/>
          </w:tcPr>
          <w:p>
            <w:pPr>
              <w:pStyle w:val="TableNumber"/>
            </w:pPr>
            <w:r>
              <w:t>0.0762</w:t>
            </w:r>
          </w:p>
        </w:tc>
      </w:tr>
      <w:tr>
        <w:trPr>
          <w:cantSplit/>
        </w:trPr>
        <w:tc>
          <w:tcPr>
            <w:tcW w:w="650" w:type="dxa"/>
            <w:vAlign w:val="center"/>
          </w:tcPr>
          <w:p>
            <w:pPr>
              <w:pStyle w:val="TableNumber"/>
            </w:pPr>
            <w:r>
              <w:t>2</w:t>
            </w:r>
          </w:p>
        </w:tc>
        <w:tc>
          <w:tcPr>
            <w:tcW w:w="2800" w:type="dxa"/>
            <w:vAlign w:val="center"/>
          </w:tcPr>
          <w:p>
            <w:pPr>
              <w:pStyle w:val="TableText"/>
            </w:pPr>
            <w:r>
              <w:t>Kronos-base + LoRA</w:t>
            </w:r>
          </w:p>
        </w:tc>
        <w:tc>
          <w:tcPr>
            <w:tcW w:w="1900" w:type="dxa"/>
            <w:vAlign w:val="center"/>
          </w:tcPr>
          <w:p>
            <w:pPr>
              <w:pStyle w:val="TableNumber"/>
            </w:pPr>
            <w:r>
              <w:t>0.293823</w:t>
            </w:r>
          </w:p>
        </w:tc>
        <w:tc>
          <w:tcPr>
            <w:tcW w:w="1330" w:type="dxa"/>
            <w:vAlign w:val="center"/>
          </w:tcPr>
          <w:p>
            <w:pPr>
              <w:pStyle w:val="TableNumber"/>
            </w:pPr>
            <w:r>
              <w:t xml:space="preserve">75.80%</w:t>
            </w:r>
          </w:p>
        </w:tc>
        <w:tc>
          <w:tcPr>
            <w:tcW w:w="1330" w:type="dxa"/>
            <w:vAlign w:val="center"/>
          </w:tcPr>
          <w:p>
            <w:pPr>
              <w:pStyle w:val="TableNumber"/>
            </w:pPr>
            <w:r>
              <w:t xml:space="preserve">0.0979</w:t>
            </w:r>
          </w:p>
        </w:tc>
        <w:tc>
          <w:tcPr>
            <w:tcW w:w="1350" w:type="dxa"/>
            <w:vAlign w:val="center"/>
          </w:tcPr>
          <w:p>
            <w:pPr>
              <w:pStyle w:val="TableNumber"/>
            </w:pPr>
            <w:r>
              <w:t>0.0936</w:t>
            </w:r>
          </w:p>
        </w:tc>
      </w:tr>
      <w:tr>
        <w:trPr>
          <w:cantSplit/>
        </w:trPr>
        <w:tc>
          <w:tcPr>
            <w:tcW w:w="650" w:type="dxa"/>
            <w:vAlign w:val="center"/>
          </w:tcPr>
          <w:p>
            <w:pPr>
              <w:pStyle w:val="TableNumber"/>
            </w:pPr>
            <w:r>
              <w:t>3</w:t>
            </w:r>
          </w:p>
        </w:tc>
        <w:tc>
          <w:tcPr>
            <w:tcW w:w="2800" w:type="dxa"/>
            <w:vAlign w:val="center"/>
          </w:tcPr>
          <w:p>
            <w:pPr>
              <w:pStyle w:val="TableText"/>
            </w:pPr>
            <w:r>
              <w:t>成對 GRU</w:t>
            </w:r>
          </w:p>
        </w:tc>
        <w:tc>
          <w:tcPr>
            <w:tcW w:w="1900" w:type="dxa"/>
            <w:vAlign w:val="center"/>
          </w:tcPr>
          <w:p>
            <w:pPr>
              <w:pStyle w:val="TableNumber"/>
            </w:pPr>
            <w:r>
              <w:t>0.293948</w:t>
            </w:r>
          </w:p>
        </w:tc>
        <w:tc>
          <w:tcPr>
            <w:tcW w:w="1330" w:type="dxa"/>
            <w:vAlign w:val="center"/>
          </w:tcPr>
          <w:p>
            <w:pPr>
              <w:pStyle w:val="TableNumber"/>
            </w:pPr>
            <w:r>
              <w:t xml:space="preserve">75.40%</w:t>
            </w:r>
          </w:p>
        </w:tc>
        <w:tc>
          <w:tcPr>
            <w:tcW w:w="1330" w:type="dxa"/>
            <w:vAlign w:val="center"/>
          </w:tcPr>
          <w:p>
            <w:pPr>
              <w:pStyle w:val="TableNumber"/>
            </w:pPr>
            <w:r>
              <w:t xml:space="preserve">0.0950</w:t>
            </w:r>
          </w:p>
        </w:tc>
        <w:tc>
          <w:tcPr>
            <w:tcW w:w="1350" w:type="dxa"/>
            <w:vAlign w:val="center"/>
          </w:tcPr>
          <w:p>
            <w:pPr>
              <w:pStyle w:val="TableNumber"/>
            </w:pPr>
            <w:r>
              <w:t>0.0631</w:t>
            </w:r>
          </w:p>
        </w:tc>
      </w:tr>
      <w:tr>
        <w:trPr>
          <w:cantSplit/>
        </w:trPr>
        <w:tc>
          <w:tcPr>
            <w:tcW w:w="650" w:type="dxa"/>
            <w:vAlign w:val="center"/>
          </w:tcPr>
          <w:p>
            <w:pPr>
              <w:pStyle w:val="TableNumber"/>
            </w:pPr>
            <w:r>
              <w:t>4</w:t>
            </w:r>
          </w:p>
        </w:tc>
        <w:tc>
          <w:tcPr>
            <w:tcW w:w="2800" w:type="dxa"/>
            <w:vAlign w:val="center"/>
          </w:tcPr>
          <w:p>
            <w:pPr>
              <w:pStyle w:val="TableText"/>
            </w:pPr>
            <w:r>
              <w:t>Quantile GBDT</w:t>
            </w:r>
          </w:p>
        </w:tc>
        <w:tc>
          <w:tcPr>
            <w:tcW w:w="1900" w:type="dxa"/>
            <w:vAlign w:val="center"/>
          </w:tcPr>
          <w:p>
            <w:pPr>
              <w:pStyle w:val="TableNumber"/>
            </w:pPr>
            <w:r>
              <w:t>0.294929</w:t>
            </w:r>
          </w:p>
        </w:tc>
        <w:tc>
          <w:tcPr>
            <w:tcW w:w="1330" w:type="dxa"/>
            <w:vAlign w:val="center"/>
          </w:tcPr>
          <w:p>
            <w:pPr>
              <w:pStyle w:val="TableNumber"/>
            </w:pPr>
            <w:r>
              <w:t xml:space="preserve">74.98%</w:t>
            </w:r>
          </w:p>
        </w:tc>
        <w:tc>
          <w:tcPr>
            <w:tcW w:w="1330" w:type="dxa"/>
            <w:vAlign w:val="center"/>
          </w:tcPr>
          <w:p>
            <w:pPr>
              <w:pStyle w:val="TableNumber"/>
            </w:pPr>
            <w:r>
              <w:t xml:space="preserve">0.0498</w:t>
            </w:r>
          </w:p>
        </w:tc>
        <w:tc>
          <w:tcPr>
            <w:tcW w:w="1350" w:type="dxa"/>
            <w:vAlign w:val="center"/>
          </w:tcPr>
          <w:p>
            <w:pPr>
              <w:pStyle w:val="TableNumber"/>
            </w:pPr>
            <w:r>
              <w:t>0.0198</w:t>
            </w:r>
          </w:p>
        </w:tc>
      </w:tr>
      <w:tr>
        <w:trPr>
          <w:cantSplit/>
        </w:trPr>
        <w:tc>
          <w:tcPr>
            <w:tcW w:w="650" w:type="dxa"/>
            <w:vAlign w:val="center"/>
          </w:tcPr>
          <w:p>
            <w:pPr>
              <w:pStyle w:val="TableNumber"/>
            </w:pPr>
            <w:r>
              <w:t>5</w:t>
            </w:r>
          </w:p>
        </w:tc>
        <w:tc>
          <w:tcPr>
            <w:tcW w:w="2800" w:type="dxa"/>
            <w:vAlign w:val="center"/>
          </w:tcPr>
          <w:p>
            <w:pPr>
              <w:pStyle w:val="TableText"/>
            </w:pPr>
            <w:r>
              <w:t xml:space="preserve">always_buy</w:t>
              <w:br/>
              <w:t xml:space="preserve">固定 training 分布</w:t>
            </w:r>
          </w:p>
        </w:tc>
        <w:tc>
          <w:tcPr>
            <w:tcW w:w="1900" w:type="dxa"/>
            <w:vAlign w:val="center"/>
          </w:tcPr>
          <w:p>
            <w:pPr>
              <w:pStyle w:val="TableNumber"/>
            </w:pPr>
            <w:r>
              <w:t>0.309493</w:t>
            </w:r>
          </w:p>
        </w:tc>
        <w:tc>
          <w:tcPr>
            <w:tcW w:w="1330" w:type="dxa"/>
            <w:vAlign w:val="center"/>
          </w:tcPr>
          <w:p>
            <w:pPr>
              <w:pStyle w:val="TableNumber"/>
            </w:pPr>
            <w:r>
              <w:t xml:space="preserve">75.08%</w:t>
            </w:r>
          </w:p>
        </w:tc>
        <w:tc>
          <w:tcPr>
            <w:tcW w:w="1330" w:type="dxa"/>
            <w:vAlign w:val="center"/>
          </w:tcPr>
          <w:p>
            <w:pPr>
              <w:pStyle w:val="TableNumber"/>
            </w:pPr>
            <w:r>
              <w:t xml:space="preserve">不適用 固定預測</w:t>
            </w:r>
          </w:p>
        </w:tc>
        <w:tc>
          <w:tcPr>
            <w:tcW w:w="1350" w:type="dxa"/>
            <w:vAlign w:val="center"/>
          </w:tcPr>
          <w:p>
            <w:pPr>
              <w:pStyle w:val="TableNumber"/>
            </w:pPr>
            <w:r>
              <w:t>0.0000</w:t>
            </w:r>
          </w:p>
        </w:tc>
      </w:tr>
      <w:tr>
        <w:trPr>
          <w:cantSplit/>
        </w:trPr>
        <w:tc>
          <w:tcPr>
            <w:tcW w:w="650" w:type="dxa"/>
            <w:vAlign w:val="center"/>
          </w:tcPr>
          <w:p>
            <w:pPr>
              <w:pStyle w:val="TableNumber"/>
            </w:pPr>
            <w:r>
              <w:t>6</w:t>
            </w:r>
          </w:p>
        </w:tc>
        <w:tc>
          <w:tcPr>
            <w:tcW w:w="2800" w:type="dxa"/>
            <w:vAlign w:val="center"/>
          </w:tcPr>
          <w:p>
            <w:pPr>
              <w:pStyle w:val="TableText"/>
            </w:pPr>
            <w:r>
              <w:t xml:space="preserve">zero_return</w:t>
              <w:br/>
              <w:t xml:space="preserve">固定 training 分布</w:t>
            </w:r>
          </w:p>
        </w:tc>
        <w:tc>
          <w:tcPr>
            <w:tcW w:w="1900" w:type="dxa"/>
            <w:vAlign w:val="center"/>
          </w:tcPr>
          <w:p>
            <w:pPr>
              <w:pStyle w:val="TableNumber"/>
            </w:pPr>
            <w:r>
              <w:t>0.309493</w:t>
            </w:r>
          </w:p>
        </w:tc>
        <w:tc>
          <w:tcPr>
            <w:tcW w:w="1330" w:type="dxa"/>
            <w:vAlign w:val="center"/>
          </w:tcPr>
          <w:p>
            <w:pPr>
              <w:pStyle w:val="TableNumber"/>
            </w:pPr>
            <w:r>
              <w:t xml:space="preserve">75.08%</w:t>
            </w:r>
          </w:p>
        </w:tc>
        <w:tc>
          <w:tcPr>
            <w:tcW w:w="1330" w:type="dxa"/>
            <w:vAlign w:val="center"/>
          </w:tcPr>
          <w:p>
            <w:pPr>
              <w:pStyle w:val="TableNumber"/>
            </w:pPr>
            <w:r>
              <w:t xml:space="preserve">不適用 固定預測</w:t>
            </w:r>
          </w:p>
        </w:tc>
        <w:tc>
          <w:tcPr>
            <w:tcW w:w="1350" w:type="dxa"/>
            <w:vAlign w:val="center"/>
          </w:tcPr>
          <w:p>
            <w:pPr>
              <w:pStyle w:val="TableNumber"/>
            </w:pPr>
            <w:r>
              <w:t>0.0000</w:t>
            </w:r>
          </w:p>
        </w:tc>
      </w:tr>
      <w:tr>
        <w:trPr>
          <w:cantSplit/>
        </w:trPr>
        <w:tc>
          <w:tcPr>
            <w:tcW w:w="650" w:type="dxa"/>
            <w:vAlign w:val="center"/>
          </w:tcPr>
          <w:p>
            <w:pPr>
              <w:pStyle w:val="TableNumber"/>
            </w:pPr>
            <w:r>
              <w:t>7</w:t>
            </w:r>
          </w:p>
        </w:tc>
        <w:tc>
          <w:tcPr>
            <w:tcW w:w="2800" w:type="dxa"/>
            <w:vAlign w:val="center"/>
          </w:tcPr>
          <w:p>
            <w:pPr>
              <w:pStyle w:val="TableText"/>
            </w:pPr>
            <w:r>
              <w:t>MACD 規則</w:t>
            </w:r>
          </w:p>
        </w:tc>
        <w:tc>
          <w:tcPr>
            <w:tcW w:w="1900" w:type="dxa"/>
            <w:vAlign w:val="center"/>
          </w:tcPr>
          <w:p>
            <w:pPr>
              <w:pStyle w:val="TableNumber"/>
            </w:pPr>
            <w:r>
              <w:t>0.311108</w:t>
            </w:r>
          </w:p>
        </w:tc>
        <w:tc>
          <w:tcPr>
            <w:tcW w:w="1330" w:type="dxa"/>
            <w:vAlign w:val="center"/>
          </w:tcPr>
          <w:p>
            <w:pPr>
              <w:pStyle w:val="TableNumber"/>
            </w:pPr>
            <w:r>
              <w:t xml:space="preserve">75.11%</w:t>
            </w:r>
          </w:p>
        </w:tc>
        <w:tc>
          <w:tcPr>
            <w:tcW w:w="1330" w:type="dxa"/>
            <w:vAlign w:val="center"/>
          </w:tcPr>
          <w:p>
            <w:pPr>
              <w:pStyle w:val="TableNumber"/>
            </w:pPr>
            <w:r>
              <w:t xml:space="preserve">-0.0119</w:t>
            </w:r>
          </w:p>
        </w:tc>
        <w:tc>
          <w:tcPr>
            <w:tcW w:w="1350" w:type="dxa"/>
            <w:vAlign w:val="center"/>
          </w:tcPr>
          <w:p>
            <w:pPr>
              <w:pStyle w:val="TableNumber"/>
            </w:pPr>
            <w:r>
              <w:t>0.0015</w:t>
            </w:r>
          </w:p>
        </w:tc>
      </w:tr>
      <w:tr>
        <w:trPr>
          <w:cantSplit/>
        </w:trPr>
        <w:tc>
          <w:tcPr>
            <w:tcW w:w="650" w:type="dxa"/>
            <w:vAlign w:val="center"/>
          </w:tcPr>
          <w:p>
            <w:pPr>
              <w:pStyle w:val="TableNumber"/>
            </w:pPr>
            <w:r>
              <w:t>8</w:t>
            </w:r>
          </w:p>
        </w:tc>
        <w:tc>
          <w:tcPr>
            <w:tcW w:w="2800" w:type="dxa"/>
            <w:vAlign w:val="center"/>
          </w:tcPr>
          <w:p>
            <w:pPr>
              <w:pStyle w:val="TableText"/>
            </w:pPr>
            <w:r>
              <w:t>DLinear</w:t>
            </w:r>
          </w:p>
        </w:tc>
        <w:tc>
          <w:tcPr>
            <w:tcW w:w="1900" w:type="dxa"/>
            <w:vAlign w:val="center"/>
          </w:tcPr>
          <w:p>
            <w:pPr>
              <w:pStyle w:val="TableNumber"/>
            </w:pPr>
            <w:r>
              <w:t>0.313656</w:t>
            </w:r>
          </w:p>
        </w:tc>
        <w:tc>
          <w:tcPr>
            <w:tcW w:w="1330" w:type="dxa"/>
            <w:vAlign w:val="center"/>
          </w:tcPr>
          <w:p>
            <w:pPr>
              <w:pStyle w:val="TableNumber"/>
            </w:pPr>
            <w:r>
              <w:t xml:space="preserve">73.17%</w:t>
            </w:r>
          </w:p>
        </w:tc>
        <w:tc>
          <w:tcPr>
            <w:tcW w:w="1330" w:type="dxa"/>
            <w:vAlign w:val="center"/>
          </w:tcPr>
          <w:p>
            <w:pPr>
              <w:pStyle w:val="TableNumber"/>
            </w:pPr>
            <w:r>
              <w:t xml:space="preserve">0.0075</w:t>
            </w:r>
          </w:p>
        </w:tc>
        <w:tc>
          <w:tcPr>
            <w:tcW w:w="1350" w:type="dxa"/>
            <w:vAlign w:val="center"/>
          </w:tcPr>
          <w:p>
            <w:pPr>
              <w:pStyle w:val="TableNumber"/>
            </w:pPr>
            <w:r>
              <w:t>0.0123</w:t>
            </w:r>
          </w:p>
        </w:tc>
      </w:tr>
      <w:tr>
        <w:trPr>
          <w:cantSplit/>
        </w:trPr>
        <w:tc>
          <w:tcPr>
            <w:tcW w:w="650" w:type="dxa"/>
            <w:vAlign w:val="center"/>
          </w:tcPr>
          <w:p>
            <w:pPr>
              <w:pStyle w:val="TableNumber"/>
            </w:pPr>
            <w:r>
              <w:t>9</w:t>
            </w:r>
          </w:p>
        </w:tc>
        <w:tc>
          <w:tcPr>
            <w:tcW w:w="2800" w:type="dxa"/>
            <w:vAlign w:val="center"/>
          </w:tcPr>
          <w:p>
            <w:pPr>
              <w:pStyle w:val="TableText"/>
            </w:pPr>
            <w:r>
              <w:t>均線交叉</w:t>
            </w:r>
          </w:p>
        </w:tc>
        <w:tc>
          <w:tcPr>
            <w:tcW w:w="1900" w:type="dxa"/>
            <w:vAlign w:val="center"/>
          </w:tcPr>
          <w:p>
            <w:pPr>
              <w:pStyle w:val="TableNumber"/>
            </w:pPr>
            <w:r>
              <w:t>0.331069</w:t>
            </w:r>
          </w:p>
        </w:tc>
        <w:tc>
          <w:tcPr>
            <w:tcW w:w="1330" w:type="dxa"/>
            <w:vAlign w:val="center"/>
          </w:tcPr>
          <w:p>
            <w:pPr>
              <w:pStyle w:val="TableNumber"/>
            </w:pPr>
            <w:r>
              <w:t xml:space="preserve">75.99%</w:t>
            </w:r>
          </w:p>
        </w:tc>
        <w:tc>
          <w:tcPr>
            <w:tcW w:w="1330" w:type="dxa"/>
            <w:vAlign w:val="center"/>
          </w:tcPr>
          <w:p>
            <w:pPr>
              <w:pStyle w:val="TableNumber"/>
            </w:pPr>
            <w:r>
              <w:t xml:space="preserve">0.0468</w:t>
            </w:r>
          </w:p>
        </w:tc>
        <w:tc>
          <w:tcPr>
            <w:tcW w:w="1350" w:type="dxa"/>
            <w:vAlign w:val="center"/>
          </w:tcPr>
          <w:p>
            <w:pPr>
              <w:pStyle w:val="TableNumber"/>
            </w:pPr>
            <w:r>
              <w:t>0.0427</w:t>
            </w:r>
          </w:p>
        </w:tc>
      </w:tr>
      <w:tr>
        <w:trPr>
          <w:cantSplit/>
        </w:trPr>
        <w:tc>
          <w:tcPr>
            <w:tcW w:w="650" w:type="dxa"/>
            <w:vAlign w:val="center"/>
          </w:tcPr>
          <w:p>
            <w:pPr>
              <w:pStyle w:val="TableNumber"/>
            </w:pPr>
            <w:r>
              <w:t>10</w:t>
            </w:r>
          </w:p>
        </w:tc>
        <w:tc>
          <w:tcPr>
            <w:tcW w:w="2800" w:type="dxa"/>
            <w:vAlign w:val="center"/>
          </w:tcPr>
          <w:p>
            <w:pPr>
              <w:pStyle w:val="TableText"/>
            </w:pPr>
            <w:r>
              <w:t>RSI 規則</w:t>
            </w:r>
          </w:p>
        </w:tc>
        <w:tc>
          <w:tcPr>
            <w:tcW w:w="1900" w:type="dxa"/>
            <w:vAlign w:val="center"/>
          </w:tcPr>
          <w:p>
            <w:pPr>
              <w:pStyle w:val="TableNumber"/>
            </w:pPr>
            <w:r>
              <w:t>0.366923</w:t>
            </w:r>
          </w:p>
        </w:tc>
        <w:tc>
          <w:tcPr>
            <w:tcW w:w="1330" w:type="dxa"/>
            <w:vAlign w:val="center"/>
          </w:tcPr>
          <w:p>
            <w:pPr>
              <w:pStyle w:val="TableNumber"/>
            </w:pPr>
            <w:r>
              <w:t xml:space="preserve">74.62%</w:t>
            </w:r>
          </w:p>
        </w:tc>
        <w:tc>
          <w:tcPr>
            <w:tcW w:w="1330" w:type="dxa"/>
            <w:vAlign w:val="center"/>
          </w:tcPr>
          <w:p>
            <w:pPr>
              <w:pStyle w:val="TableNumber"/>
            </w:pPr>
            <w:r>
              <w:t xml:space="preserve">-0.0410</w:t>
            </w:r>
          </w:p>
        </w:tc>
        <w:tc>
          <w:tcPr>
            <w:tcW w:w="1350" w:type="dxa"/>
            <w:vAlign w:val="center"/>
          </w:tcPr>
          <w:p>
            <w:pPr>
              <w:pStyle w:val="TableNumber"/>
            </w:pPr>
            <w:r>
              <w:t>-0.0255</w:t>
            </w:r>
          </w:p>
        </w:tc>
      </w:tr>
      <w:tr>
        <w:trPr>
          <w:cantSplit/>
        </w:trPr>
        <w:tc>
          <w:tcPr>
            <w:tcW w:w="650" w:type="dxa"/>
            <w:vAlign w:val="center"/>
          </w:tcPr>
          <w:p>
            <w:pPr>
              <w:pStyle w:val="TableNumber"/>
            </w:pPr>
            <w:r>
              <w:t>11</w:t>
            </w:r>
          </w:p>
        </w:tc>
        <w:tc>
          <w:tcPr>
            <w:tcW w:w="2800" w:type="dxa"/>
            <w:vAlign w:val="center"/>
          </w:tcPr>
          <w:p>
            <w:pPr>
              <w:pStyle w:val="TableText"/>
            </w:pPr>
            <w:r>
              <w:t>波動率縮放規則</w:t>
            </w:r>
          </w:p>
        </w:tc>
        <w:tc>
          <w:tcPr>
            <w:tcW w:w="1900" w:type="dxa"/>
            <w:vAlign w:val="center"/>
          </w:tcPr>
          <w:p>
            <w:pPr>
              <w:pStyle w:val="TableNumber"/>
            </w:pPr>
            <w:r>
              <w:t>0.458607</w:t>
            </w:r>
          </w:p>
        </w:tc>
        <w:tc>
          <w:tcPr>
            <w:tcW w:w="1330" w:type="dxa"/>
            <w:vAlign w:val="center"/>
          </w:tcPr>
          <w:p>
            <w:pPr>
              <w:pStyle w:val="TableNumber"/>
            </w:pPr>
            <w:r>
              <w:t xml:space="preserve">76.39%</w:t>
            </w:r>
          </w:p>
        </w:tc>
        <w:tc>
          <w:tcPr>
            <w:tcW w:w="1330" w:type="dxa"/>
            <w:vAlign w:val="center"/>
          </w:tcPr>
          <w:p>
            <w:pPr>
              <w:pStyle w:val="TableNumber"/>
            </w:pPr>
            <w:r>
              <w:t xml:space="preserve">0.0117</w:t>
            </w:r>
          </w:p>
        </w:tc>
        <w:tc>
          <w:tcPr>
            <w:tcW w:w="1350" w:type="dxa"/>
            <w:vAlign w:val="center"/>
          </w:tcPr>
          <w:p>
            <w:pPr>
              <w:pStyle w:val="TableNumber"/>
            </w:pPr>
            <w:r>
              <w:t>0.0185</w:t>
            </w:r>
          </w:p>
        </w:tc>
      </w:tr>
      <w:tr>
        <w:trPr>
          <w:cantSplit/>
        </w:trPr>
        <w:tc>
          <w:tcPr>
            <w:tcW w:w="650" w:type="dxa"/>
            <w:vAlign w:val="center"/>
          </w:tcPr>
          <w:p>
            <w:pPr>
              <w:pStyle w:val="TableNumber"/>
            </w:pPr>
            <w:r>
              <w:t>12</w:t>
            </w:r>
          </w:p>
        </w:tc>
        <w:tc>
          <w:tcPr>
            <w:tcW w:w="2800" w:type="dxa"/>
            <w:vAlign w:val="center"/>
          </w:tcPr>
          <w:p>
            <w:pPr>
              <w:pStyle w:val="TableText"/>
            </w:pPr>
            <w:r>
              <w:t>5 日動能</w:t>
            </w:r>
          </w:p>
        </w:tc>
        <w:tc>
          <w:tcPr>
            <w:tcW w:w="1900" w:type="dxa"/>
            <w:vAlign w:val="center"/>
          </w:tcPr>
          <w:p>
            <w:pPr>
              <w:pStyle w:val="TableNumber"/>
            </w:pPr>
            <w:r>
              <w:t>0.480247</w:t>
            </w:r>
          </w:p>
        </w:tc>
        <w:tc>
          <w:tcPr>
            <w:tcW w:w="1330" w:type="dxa"/>
            <w:vAlign w:val="center"/>
          </w:tcPr>
          <w:p>
            <w:pPr>
              <w:pStyle w:val="TableNumber"/>
            </w:pPr>
            <w:r>
              <w:t xml:space="preserve">76.37%</w:t>
            </w:r>
          </w:p>
        </w:tc>
        <w:tc>
          <w:tcPr>
            <w:tcW w:w="1330" w:type="dxa"/>
            <w:vAlign w:val="center"/>
          </w:tcPr>
          <w:p>
            <w:pPr>
              <w:pStyle w:val="TableNumber"/>
            </w:pPr>
            <w:r>
              <w:t xml:space="preserve">0.0118</w:t>
            </w:r>
          </w:p>
        </w:tc>
        <w:tc>
          <w:tcPr>
            <w:tcW w:w="1350" w:type="dxa"/>
            <w:vAlign w:val="center"/>
          </w:tcPr>
          <w:p>
            <w:pPr>
              <w:pStyle w:val="TableNumber"/>
            </w:pPr>
            <w:r>
              <w:t>0.0187</w:t>
            </w:r>
          </w:p>
        </w:tc>
      </w:tr>
      <w:tr>
        <w:trPr>
          <w:cantSplit/>
        </w:trPr>
        <w:tc>
          <w:tcPr>
            <w:tcW w:w="650" w:type="dxa"/>
            <w:vAlign w:val="center"/>
          </w:tcPr>
          <w:p>
            <w:pPr>
              <w:pStyle w:val="TableNumber"/>
            </w:pPr>
            <w:r>
              <w:t>13</w:t>
            </w:r>
          </w:p>
        </w:tc>
        <w:tc>
          <w:tcPr>
            <w:tcW w:w="2800" w:type="dxa"/>
            <w:vAlign w:val="center"/>
          </w:tcPr>
          <w:p>
            <w:pPr>
              <w:pStyle w:val="TableText"/>
            </w:pPr>
            <w:r>
              <w:t>5 日反轉</w:t>
            </w:r>
          </w:p>
        </w:tc>
        <w:tc>
          <w:tcPr>
            <w:tcW w:w="1900" w:type="dxa"/>
            <w:vAlign w:val="center"/>
          </w:tcPr>
          <w:p>
            <w:pPr>
              <w:pStyle w:val="TableNumber"/>
            </w:pPr>
            <w:r>
              <w:t>0.489689</w:t>
            </w:r>
          </w:p>
        </w:tc>
        <w:tc>
          <w:tcPr>
            <w:tcW w:w="1330" w:type="dxa"/>
            <w:vAlign w:val="center"/>
          </w:tcPr>
          <w:p>
            <w:pPr>
              <w:pStyle w:val="TableNumber"/>
            </w:pPr>
            <w:r>
              <w:t xml:space="preserve">75.22%</w:t>
            </w:r>
          </w:p>
        </w:tc>
        <w:tc>
          <w:tcPr>
            <w:tcW w:w="1330" w:type="dxa"/>
            <w:vAlign w:val="center"/>
          </w:tcPr>
          <w:p>
            <w:pPr>
              <w:pStyle w:val="TableNumber"/>
            </w:pPr>
            <w:r>
              <w:t xml:space="preserve">-0.0118</w:t>
            </w:r>
          </w:p>
        </w:tc>
        <w:tc>
          <w:tcPr>
            <w:tcW w:w="1350" w:type="dxa"/>
            <w:vAlign w:val="center"/>
          </w:tcPr>
          <w:p>
            <w:pPr>
              <w:pStyle w:val="TableNumber"/>
            </w:pPr>
            <w:r>
              <w:t>-0.0187</w:t>
            </w:r>
          </w:p>
        </w:tc>
      </w:tr>
    </w:tbl>
    <w:p>
      <w:pPr>
        <w:pStyle w:val="Note"/>
        <w:spacing w:before="160"/>
      </w:pPr>
      <w:r>
        <w:t xml:space="preserve">所有 learned baseline 使用 seed 42；模型排名只依 14 horizon raw normalized pinball。Coverage 是 14H 平均，平均 correlation 不等於合併樣本的 correlation；RankIC 欄保留 5d 跨市場參考。固定預測沒有數值變異，correlation 不適用；JSON 的零值是計算慣例，不代表已實測相關為零。</w:t>
      </w:r>
    </w:p>
    <w:p>
      <w:pPr>
        <w:pStyle w:val="11"/>
      </w:pPr>
      <w:r>
        <w:t>附錄 B 可重現性與證據來源</w:t>
      </w:r>
    </w:p>
    <w:tbl>
      <w:tblPr>
        <w:tblStyle w:val="BenchmarkTable"/>
        <w:tblW w:w="9360" w:type="dxa"/>
        <w:tblLayout w:type="fixed"/>
      </w:tblPr>
      <w:tblGrid>
        <w:gridCol w:w="3000"/>
        <w:gridCol w:w="6360"/>
      </w:tblGrid>
      <w:tr>
        <w:trPr>
          <w:tblHeader/>
        </w:trPr>
        <w:tc>
          <w:tcPr>
            <w:tcW w:w="3000" w:type="dxa"/>
            <w:shd w:val="clear" w:fill="DCE6F1"/>
            <w:vAlign w:val="center"/>
          </w:tcPr>
          <w:p>
            <w:pPr>
              <w:pStyle w:val="TableHeader"/>
            </w:pPr>
            <w:r>
              <w:t>證據</w:t>
            </w:r>
          </w:p>
        </w:tc>
        <w:tc>
          <w:tcPr>
            <w:tcW w:w="6360" w:type="dxa"/>
            <w:shd w:val="clear" w:fill="DCE6F1"/>
            <w:vAlign w:val="center"/>
          </w:tcPr>
          <w:p>
            <w:pPr>
              <w:pStyle w:val="TableHeader"/>
            </w:pPr>
            <w:r>
              <w:t>本次值或用途</w:t>
            </w:r>
          </w:p>
        </w:tc>
      </w:tr>
      <w:tr>
        <w:trPr>
          <w:cantSplit/>
        </w:trPr>
        <w:tc>
          <w:tcPr>
            <w:tcW w:w="3000" w:type="dxa"/>
            <w:vAlign w:val="center"/>
          </w:tcPr>
          <w:p>
            <w:pPr>
              <w:pStyle w:val="TableText"/>
            </w:pPr>
            <w:r>
              <w:t>run ID</w:t>
            </w:r>
          </w:p>
        </w:tc>
        <w:tc>
          <w:tcPr>
            <w:tcW w:w="6360" w:type="dxa"/>
            <w:vAlign w:val="center"/>
          </w:tcPr>
          <w:p>
            <w:pPr>
              <w:pStyle w:val="TableText"/>
            </w:pPr>
            <w:r>
              <w:t>run-20261007T085308Z-2debcc6e669b4522</w:t>
            </w:r>
          </w:p>
        </w:tc>
      </w:tr>
      <w:tr>
        <w:trPr>
          <w:cantSplit/>
        </w:trPr>
        <w:tc>
          <w:tcPr>
            <w:tcW w:w="3000" w:type="dxa"/>
            <w:vAlign w:val="center"/>
          </w:tcPr>
          <w:p>
            <w:pPr>
              <w:pStyle w:val="TableText"/>
            </w:pPr>
            <w:r>
              <w:t>最佳 checkpoint</w:t>
            </w:r>
          </w:p>
        </w:tc>
        <w:tc>
          <w:tcPr>
            <w:tcW w:w="6360" w:type="dxa"/>
            <w:vAlign w:val="center"/>
          </w:tcPr>
          <w:p>
            <w:pPr>
              <w:pStyle w:val="TableText"/>
            </w:pPr>
            <w:r>
              <w:t>checkpoint-011040；validation monitor 0.262905558502；test score 0.293823160496</w:t>
            </w:r>
          </w:p>
        </w:tc>
      </w:tr>
      <w:tr>
        <w:trPr>
          <w:cantSplit/>
        </w:trPr>
        <w:tc>
          <w:tcPr>
            <w:tcW w:w="3000" w:type="dxa"/>
            <w:vAlign w:val="center"/>
          </w:tcPr>
          <w:p>
            <w:pPr>
              <w:pStyle w:val="TableText"/>
            </w:pPr>
            <w:r>
              <w:t>模型設定</w:t>
            </w:r>
          </w:p>
        </w:tc>
        <w:tc>
          <w:tcPr>
            <w:tcW w:w="6360" w:type="dxa"/>
            <w:vAlign w:val="center"/>
          </w:tcPr>
          <w:p>
            <w:pPr>
              <w:pStyle w:val="TableText"/>
            </w:pPr>
            <w:r>
              <w:t>a-partial；LoRA rank=32／alpha=64；解凍最後 2 層</w:t>
            </w:r>
          </w:p>
        </w:tc>
      </w:tr>
      <w:tr>
        <w:trPr>
          <w:cantSplit/>
        </w:trPr>
        <w:tc>
          <w:tcPr>
            <w:tcW w:w="3000" w:type="dxa"/>
            <w:vAlign w:val="center"/>
          </w:tcPr>
          <w:p>
            <w:pPr>
              <w:pStyle w:val="TableText"/>
            </w:pPr>
            <w:r>
              <w:t>輸出 schema</w:t>
            </w:r>
          </w:p>
        </w:tc>
        <w:tc>
          <w:tcPr>
            <w:tcW w:w="6360" w:type="dxa"/>
            <w:vAlign w:val="center"/>
          </w:tcPr>
          <w:p>
            <w:pPr>
              <w:pStyle w:val="TableText"/>
            </w:pPr>
            <w:r>
              <w:t>model_output_schema_version=5.0；alpha_quantiles [batch,14,3]；horizons 1–14；q10/q50/q90</w:t>
            </w:r>
          </w:p>
        </w:tc>
      </w:tr>
      <w:tr>
        <w:trPr>
          <w:cantSplit/>
        </w:trPr>
        <w:tc>
          <w:tcPr>
            <w:tcW w:w="3000" w:type="dxa"/>
            <w:vAlign w:val="center"/>
          </w:tcPr>
          <w:p>
            <w:pPr>
              <w:pStyle w:val="TableText"/>
            </w:pPr>
            <w:r>
              <w:t>evaluation 狀態</w:t>
            </w:r>
          </w:p>
        </w:tc>
        <w:tc>
          <w:tcPr>
            <w:tcW w:w="6360" w:type="dxa"/>
            <w:vAlign w:val="center"/>
          </w:tcPr>
          <w:p>
            <w:pPr>
              <w:pStyle w:val="TableText"/>
            </w:pPr>
            <w:r>
              <w:t>state=ready；split=test；test_unlocked=true；534,327 rows／112 dates</w:t>
            </w:r>
          </w:p>
        </w:tc>
      </w:tr>
      <w:tr>
        <w:trPr>
          <w:cantSplit/>
        </w:trPr>
        <w:tc>
          <w:tcPr>
            <w:tcW w:w="3000" w:type="dxa"/>
            <w:vAlign w:val="center"/>
          </w:tcPr>
          <w:p>
            <w:pPr>
              <w:pStyle w:val="TableText"/>
            </w:pPr>
            <w:r>
              <w:t>training lifecycle</w:t>
            </w:r>
          </w:p>
        </w:tc>
        <w:tc>
          <w:tcPr>
            <w:tcW w:w="6360" w:type="dxa"/>
            <w:vAlign w:val="center"/>
          </w:tcPr>
          <w:p>
            <w:pPr>
              <w:pStyle w:val="TableText"/>
            </w:pPr>
            <w:r>
              <w:t>state=ready；exit_code=0；timed_out=false；training_completed=true</w:t>
            </w:r>
          </w:p>
        </w:tc>
      </w:tr>
      <w:tr>
        <w:trPr>
          <w:cantSplit/>
        </w:trPr>
        <w:tc>
          <w:tcPr>
            <w:tcW w:w="3000" w:type="dxa"/>
            <w:vAlign w:val="center"/>
          </w:tcPr>
          <w:p>
            <w:pPr>
              <w:pStyle w:val="TableText"/>
            </w:pPr>
            <w:r>
              <w:t>資料 manifest SHA-256</w:t>
            </w:r>
          </w:p>
        </w:tc>
        <w:tc>
          <w:tcPr>
            <w:tcW w:w="6360" w:type="dxa"/>
            <w:vAlign w:val="center"/>
          </w:tcPr>
          <w:p>
            <w:pPr>
              <w:pStyle w:val="TableText"/>
            </w:pPr>
            <w:r>
              <w:t>9f26f1f29cf1dd1a57b368a9b5ace3fcafe9098fb8d2a06a7ba2c39bad7592b6</w:t>
            </w:r>
          </w:p>
        </w:tc>
      </w:tr>
      <w:tr>
        <w:trPr>
          <w:cantSplit/>
        </w:trPr>
        <w:tc>
          <w:tcPr>
            <w:tcW w:w="3000" w:type="dxa"/>
            <w:vAlign w:val="center"/>
          </w:tcPr>
          <w:p>
            <w:pPr>
              <w:pStyle w:val="TableText"/>
            </w:pPr>
            <w:r>
              <w:t>Test membership SHA-256</w:t>
            </w:r>
          </w:p>
        </w:tc>
        <w:tc>
          <w:tcPr>
            <w:tcW w:w="6360" w:type="dxa"/>
            <w:vAlign w:val="center"/>
          </w:tcPr>
          <w:p>
            <w:pPr>
              <w:pStyle w:val="TableText"/>
            </w:pPr>
            <w:r>
              <w:t>93e2e6a0b74edbdce616b82628aed180dad4d004a9bcd24292a78896c240bc0d</w:t>
            </w:r>
          </w:p>
        </w:tc>
      </w:tr>
    </w:tbl>
    <w:p>
      <w:pPr>
        <w:pStyle w:val="Note"/>
        <w:spacing w:before="160"/>
      </w:pPr>
      <w:r>
        <w:t xml:space="preserve">本機證據根目錄：artifacts/runpod/run-20261007T085308Z-2debcc6e669b4522/。本次只修訂報告，不重訓、不重做 prepare/baseline、不改評估程式或指標手冊。每項新增數值的欄位對照如下；這批最終 test 不與尚無最終 test 的 a-adaptive64 多 seed 訓練混合。</w:t>
      </w:r>
    </w:p>
    <w:p>
      <w:pPr>
        <w:pStyle w:val="11"/>
      </w:pPr>
      <w:r>
        <w:t xml:space="preserve">附錄 C 指標來源與資料缺口</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400"/>
        <w:gridCol w:w="6960"/>
      </w:tblGrid>
      <w:tr>
        <w:trPr>
          <w:cantSplit/>
          <w:tblHeader/>
        </w:trPr>
        <w:tc>
          <w:tcPr>
            <w:tcW w:w="2400" w:type="dxa"/>
            <w:shd w:fill="DCE6F1"/>
            <w:vAlign w:val="center"/>
          </w:tcPr>
          <w:p>
            <w:pPr>
              <w:pStyle w:val="TableHeader"/>
            </w:pPr>
            <w:r>
              <w:t xml:space="preserve">項目</w:t>
            </w:r>
          </w:p>
        </w:tc>
        <w:tc>
          <w:tcPr>
            <w:tcW w:w="6960" w:type="dxa"/>
            <w:shd w:fill="DCE6F1"/>
            <w:vAlign w:val="center"/>
          </w:tcPr>
          <w:p>
            <w:pPr>
              <w:pStyle w:val="TableHeader"/>
            </w:pPr>
            <w:r>
              <w:t xml:space="preserve">來源欄位</w:t>
            </w:r>
          </w:p>
        </w:tc>
      </w:tr>
      <w:tr>
        <w:trPr>
          <w:cantSplit/>
        </w:trPr>
        <w:tc>
          <w:tcPr>
            <w:tcW w:w="2400" w:type="dxa"/>
            <w:shd w:fill="FFFFFF"/>
            <w:vAlign w:val="center"/>
          </w:tcPr>
          <w:p>
            <w:pPr>
              <w:pStyle w:val="TableText"/>
            </w:pPr>
            <w:r>
              <w:t xml:space="preserve">實驗身分</w:t>
            </w:r>
          </w:p>
        </w:tc>
        <w:tc>
          <w:tcPr>
            <w:tcW w:w="6960" w:type="dxa"/>
            <w:shd w:fill="FFFFFF"/>
            <w:vAlign w:val="center"/>
          </w:tcPr>
          <w:p>
            <w:pPr>
              <w:pStyle w:val="TableText"/>
            </w:pPr>
            <w:r>
              <w:t xml:space="preserve">resolved-config.yaml experiment_name；run-manifest.json selection_provenance.stage_config_path</w:t>
            </w:r>
          </w:p>
        </w:tc>
      </w:tr>
      <w:tr>
        <w:trPr>
          <w:cantSplit/>
        </w:trPr>
        <w:tc>
          <w:tcPr>
            <w:tcW w:w="2400" w:type="dxa"/>
            <w:shd w:fill="F7F9FC"/>
            <w:vAlign w:val="center"/>
          </w:tcPr>
          <w:p>
            <w:pPr>
              <w:pStyle w:val="TableText"/>
            </w:pPr>
            <w:r>
              <w:t xml:space="preserve">Raw 分布</w:t>
            </w:r>
          </w:p>
        </w:tc>
        <w:tc>
          <w:tcPr>
            <w:tcW w:w="6960" w:type="dxa"/>
            <w:shd w:fill="F7F9FC"/>
            <w:vAlign w:val="center"/>
          </w:tcPr>
          <w:p>
            <w:pPr>
              <w:pStyle w:val="TableText"/>
            </w:pPr>
            <w:r>
              <w:t xml:space="preserve">validation-benchmark.json models.kronos_full.metrics.aggregate / per_horizon</w:t>
            </w:r>
          </w:p>
        </w:tc>
      </w:tr>
      <w:tr>
        <w:trPr>
          <w:cantSplit/>
        </w:trPr>
        <w:tc>
          <w:tcPr>
            <w:tcW w:w="2400" w:type="dxa"/>
            <w:shd w:fill="FFFFFF"/>
            <w:vAlign w:val="center"/>
          </w:tcPr>
          <w:p>
            <w:pPr>
              <w:pStyle w:val="TableText"/>
            </w:pPr>
            <w:r>
              <w:t xml:space="preserve">校準分布</w:t>
            </w:r>
          </w:p>
        </w:tc>
        <w:tc>
          <w:tcPr>
            <w:tcW w:w="6960" w:type="dxa"/>
            <w:shd w:fill="FFFFFF"/>
            <w:vAlign w:val="center"/>
          </w:tcPr>
          <w:p>
            <w:pPr>
              <w:pStyle w:val="TableText"/>
            </w:pPr>
            <w:r>
              <w:t xml:space="preserve">models.kronos_full.metrics.calibrated.aggregate / per_horizon / by_market</w:t>
            </w:r>
          </w:p>
        </w:tc>
      </w:tr>
      <w:tr>
        <w:trPr>
          <w:cantSplit/>
        </w:trPr>
        <w:tc>
          <w:tcPr>
            <w:tcW w:w="2400" w:type="dxa"/>
            <w:shd w:fill="F7F9FC"/>
            <w:vAlign w:val="center"/>
          </w:tcPr>
          <w:p>
            <w:pPr>
              <w:pStyle w:val="TableText"/>
            </w:pPr>
            <w:r>
              <w:t xml:space="preserve">校準來源</w:t>
            </w:r>
          </w:p>
        </w:tc>
        <w:tc>
          <w:tcPr>
            <w:tcW w:w="6960" w:type="dxa"/>
            <w:shd w:fill="F7F9FC"/>
            <w:vAlign w:val="center"/>
          </w:tcPr>
          <w:p>
            <w:pPr>
              <w:pStyle w:val="TableText"/>
            </w:pPr>
            <w:r>
              <w:t xml:space="preserve">metrics.interval_calibration = interval-calibration.json；fit_split=validation；calibrated.in_sample_fit=false</w:t>
            </w:r>
          </w:p>
        </w:tc>
      </w:tr>
      <w:tr>
        <w:trPr>
          <w:cantSplit/>
        </w:trPr>
        <w:tc>
          <w:tcPr>
            <w:tcW w:w="2400" w:type="dxa"/>
            <w:shd w:fill="FFFFFF"/>
            <w:vAlign w:val="center"/>
          </w:tcPr>
          <w:p>
            <w:pPr>
              <w:pStyle w:val="TableText"/>
            </w:pPr>
            <w:r>
              <w:t xml:space="preserve">市場 raw</w:t>
            </w:r>
          </w:p>
        </w:tc>
        <w:tc>
          <w:tcPr>
            <w:tcW w:w="6960" w:type="dxa"/>
            <w:shd w:fill="FFFFFF"/>
            <w:vAlign w:val="center"/>
          </w:tcPr>
          <w:p>
            <w:pPr>
              <w:pStyle w:val="TableText"/>
            </w:pPr>
            <w:r>
              <w:t xml:space="preserve">models.kronos_full.metrics.subgroups.market.&lt;MARKET&gt;.aggregate / per_horizon</w:t>
            </w:r>
          </w:p>
        </w:tc>
      </w:tr>
      <w:tr>
        <w:trPr>
          <w:cantSplit/>
        </w:trPr>
        <w:tc>
          <w:tcPr>
            <w:tcW w:w="2400" w:type="dxa"/>
            <w:shd w:fill="F7F9FC"/>
            <w:vAlign w:val="center"/>
          </w:tcPr>
          <w:p>
            <w:pPr>
              <w:pStyle w:val="TableText"/>
            </w:pPr>
            <w:r>
              <w:t xml:space="preserve">q50 排序</w:t>
            </w:r>
          </w:p>
        </w:tc>
        <w:tc>
          <w:tcPr>
            <w:tcW w:w="6960" w:type="dxa"/>
            <w:shd w:fill="F7F9FC"/>
            <w:vAlign w:val="center"/>
          </w:tcPr>
          <w:p>
            <w:pPr>
              <w:pStyle w:val="TableText"/>
            </w:pPr>
            <w:r>
              <w:t xml:space="preserve">metrics.cross_sectional_by_horizon.&lt;H&gt;；pooled US TWSE TPEX</w:t>
            </w:r>
          </w:p>
        </w:tc>
      </w:tr>
      <w:tr>
        <w:trPr>
          <w:cantSplit/>
        </w:trPr>
        <w:tc>
          <w:tcPr>
            <w:tcW w:w="2400" w:type="dxa"/>
            <w:shd w:fill="FFFFFF"/>
            <w:vAlign w:val="center"/>
          </w:tcPr>
          <w:p>
            <w:pPr>
              <w:pStyle w:val="TableText"/>
            </w:pPr>
            <w:r>
              <w:t xml:space="preserve">獨立排序</w:t>
            </w:r>
          </w:p>
        </w:tc>
        <w:tc>
          <w:tcPr>
            <w:tcW w:w="6960" w:type="dxa"/>
            <w:shd w:fill="FFFFFF"/>
            <w:vAlign w:val="center"/>
          </w:tcPr>
          <w:p>
            <w:pPr>
              <w:pStyle w:val="TableText"/>
            </w:pPr>
            <w:r>
              <w:t xml:space="preserve">metrics.independent_ranking.by_market.&lt;MARKET&gt;.&lt;H&gt;.rank_ic_mean / rank_ic_ir / evaluated_dates</w:t>
            </w:r>
          </w:p>
        </w:tc>
      </w:tr>
      <w:tr>
        <w:trPr>
          <w:cantSplit/>
        </w:trPr>
        <w:tc>
          <w:tcPr>
            <w:tcW w:w="2400" w:type="dxa"/>
            <w:shd w:fill="F7F9FC"/>
            <w:vAlign w:val="center"/>
          </w:tcPr>
          <w:p>
            <w:pPr>
              <w:pStyle w:val="TableText"/>
            </w:pPr>
            <w:r>
              <w:t xml:space="preserve">固定分布</w:t>
            </w:r>
          </w:p>
        </w:tc>
        <w:tc>
          <w:tcPr>
            <w:tcW w:w="6960" w:type="dxa"/>
            <w:shd w:fill="F7F9FC"/>
            <w:vAlign w:val="center"/>
          </w:tcPr>
          <w:p>
            <w:pPr>
              <w:pStyle w:val="TableText"/>
            </w:pPr>
            <w:r>
              <w:t xml:space="preserve">models.zero_return.metrics.per_horizon.&lt;H&gt;.median_direction_agreement；equals models.always_buy.metrics</w:t>
            </w:r>
          </w:p>
        </w:tc>
      </w:tr>
      <w:tr>
        <w:trPr>
          <w:cantSplit/>
        </w:trPr>
        <w:tc>
          <w:tcPr>
            <w:tcW w:w="2400" w:type="dxa"/>
            <w:shd w:fill="FFFFFF"/>
            <w:vAlign w:val="center"/>
          </w:tcPr>
          <w:p>
            <w:pPr>
              <w:pStyle w:val="TableText"/>
            </w:pPr>
            <w:r>
              <w:t xml:space="preserve">Checkpoint 時序</w:t>
            </w:r>
          </w:p>
        </w:tc>
        <w:tc>
          <w:tcPr>
            <w:tcW w:w="6960" w:type="dxa"/>
            <w:shd w:fill="FFFFFF"/>
            <w:vAlign w:val="center"/>
          </w:tcPr>
          <w:p>
            <w:pPr>
              <w:pStyle w:val="TableText"/>
            </w:pPr>
            <w:r>
              <w:t xml:space="preserve">metrics.jsonl validation/evaluation_index；best-checkpoint.json；checkpoint-leaderboard.json；trainer-state.json</w:t>
            </w:r>
          </w:p>
        </w:tc>
      </w:tr>
      <w:tr>
        <w:trPr>
          <w:cantSplit/>
        </w:trPr>
        <w:tc>
          <w:tcPr>
            <w:tcW w:w="2400" w:type="dxa"/>
            <w:shd w:fill="F7F9FC"/>
            <w:vAlign w:val="center"/>
          </w:tcPr>
          <w:p>
            <w:pPr>
              <w:pStyle w:val="TableText"/>
            </w:pPr>
            <w:r>
              <w:t xml:space="preserve">策略限制程式</w:t>
            </w:r>
          </w:p>
        </w:tc>
        <w:tc>
          <w:tcPr>
            <w:tcW w:w="6960" w:type="dxa"/>
            <w:shd w:fill="F7F9FC"/>
            <w:vAlign w:val="center"/>
          </w:tcPr>
          <w:p>
            <w:pPr>
              <w:pStyle w:val="TableText"/>
            </w:pPr>
            <w:r>
              <w:t xml:space="preserve">src/stock_forecasting/metrics.py cross_sectional_metrics；weights ±0.5 / gross unscaled</w:t>
            </w:r>
          </w:p>
        </w:tc>
      </w:tr>
    </w:tbl>
    <w:p>
      <w:pPr>
        <w:pStyle w:val="a"/>
        <w:spacing w:before="160"/>
      </w:pPr>
      <w:r>
        <w:t xml:space="preserve">缺口：本機三個 run 目錄只有彙總 artifacts，未下載 targets.npy、predictions.npy、membership.npy、ranking-scores.npy 等完整原始序列。現有 JSON 無同市場同日期的 q50 RankIC 對照，也未提供已統一資金尺度的投資組合報酬序列。上述項目是尚未計算／未下載，不是零或沒有改善；報告不能用彙總數字替代重算。</w:t>
      </w:r>
    </w:p>
    <w:p>
      <w:pPr>
        <w:pStyle w:val="21"/>
      </w:pPr>
      <w:r>
        <w:t xml:space="preserve">此批校準模式與未來報告規則</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600"/>
        <w:gridCol w:w="2300"/>
        <w:gridCol w:w="4460"/>
      </w:tblGrid>
      <w:tr>
        <w:trPr>
          <w:cantSplit/>
          <w:tblHeader/>
        </w:trPr>
        <w:tc>
          <w:tcPr>
            <w:tcW w:w="2600" w:type="dxa"/>
            <w:shd w:fill="DCE6F1"/>
            <w:vAlign w:val="center"/>
          </w:tcPr>
          <w:p>
            <w:pPr>
              <w:pStyle w:val="TableHeader"/>
            </w:pPr>
            <w:r>
              <w:t xml:space="preserve">欄位</w:t>
            </w:r>
          </w:p>
        </w:tc>
        <w:tc>
          <w:tcPr>
            <w:tcW w:w="2300" w:type="dxa"/>
            <w:shd w:fill="DCE6F1"/>
            <w:vAlign w:val="center"/>
          </w:tcPr>
          <w:p>
            <w:pPr>
              <w:pStyle w:val="TableHeader"/>
            </w:pPr>
            <w:r>
              <w:t xml:space="preserve">本批狀態</w:t>
            </w:r>
          </w:p>
        </w:tc>
        <w:tc>
          <w:tcPr>
            <w:tcW w:w="4460" w:type="dxa"/>
            <w:shd w:fill="DCE6F1"/>
            <w:vAlign w:val="center"/>
          </w:tcPr>
          <w:p>
            <w:pPr>
              <w:pStyle w:val="TableHeader"/>
            </w:pPr>
            <w:r>
              <w:t xml:space="preserve">解讀規則</w:t>
            </w:r>
          </w:p>
        </w:tc>
      </w:tr>
      <w:tr>
        <w:trPr>
          <w:cantSplit/>
        </w:trPr>
        <w:tc>
          <w:tcPr>
            <w:tcW w:w="2600" w:type="dxa"/>
            <w:shd w:fill="FFFFFF"/>
            <w:vAlign w:val="center"/>
          </w:tcPr>
          <w:p>
            <w:pPr>
              <w:pStyle w:val="TableText"/>
            </w:pPr>
            <w:r>
              <w:t xml:space="preserve">raw</w:t>
            </w:r>
          </w:p>
        </w:tc>
        <w:tc>
          <w:tcPr>
            <w:tcW w:w="2300" w:type="dxa"/>
            <w:shd w:fill="FFFFFF"/>
            <w:vAlign w:val="center"/>
          </w:tcPr>
          <w:p>
            <w:pPr>
              <w:pStyle w:val="TableText"/>
            </w:pPr>
            <w:r>
              <w:t xml:space="preserve">有</w:t>
            </w:r>
          </w:p>
        </w:tc>
        <w:tc>
          <w:tcPr>
            <w:tcW w:w="4460" w:type="dxa"/>
            <w:shd w:fill="FFFFFF"/>
            <w:vAlign w:val="center"/>
          </w:tcPr>
          <w:p>
            <w:pPr>
              <w:pStyle w:val="TableText"/>
            </w:pPr>
            <w:r>
              <w:t xml:space="preserve">checkpoint 選擇使用未校準 validation</w:t>
            </w:r>
          </w:p>
        </w:tc>
      </w:tr>
      <w:tr>
        <w:trPr>
          <w:cantSplit/>
        </w:trPr>
        <w:tc>
          <w:tcPr>
            <w:tcW w:w="2600" w:type="dxa"/>
            <w:shd w:fill="F7F9FC"/>
            <w:vAlign w:val="center"/>
          </w:tcPr>
          <w:p>
            <w:pPr>
              <w:pStyle w:val="TableText"/>
            </w:pPr>
            <w:r>
              <w:t xml:space="preserve">calibrated</w:t>
            </w:r>
          </w:p>
        </w:tc>
        <w:tc>
          <w:tcPr>
            <w:tcW w:w="2300" w:type="dxa"/>
            <w:shd w:fill="F7F9FC"/>
            <w:vAlign w:val="center"/>
          </w:tcPr>
          <w:p>
            <w:pPr>
              <w:pStyle w:val="TableText"/>
            </w:pPr>
            <w:r>
              <w:t xml:space="preserve">有 static 校準</w:t>
            </w:r>
          </w:p>
        </w:tc>
        <w:tc>
          <w:tcPr>
            <w:tcW w:w="4460" w:type="dxa"/>
            <w:shd w:fill="F7F9FC"/>
            <w:vAlign w:val="center"/>
          </w:tcPr>
          <w:p>
            <w:pPr>
              <w:pStyle w:val="TableText"/>
            </w:pPr>
            <w:r>
              <w:t xml:space="preserve">本批為 validation 擬合後凍結套用 test</w:t>
            </w:r>
          </w:p>
        </w:tc>
      </w:tr>
      <w:tr>
        <w:trPr>
          <w:cantSplit/>
        </w:trPr>
        <w:tc>
          <w:tcPr>
            <w:tcW w:w="2600" w:type="dxa"/>
            <w:shd w:fill="FFFFFF"/>
            <w:vAlign w:val="center"/>
          </w:tcPr>
          <w:p>
            <w:pPr>
              <w:pStyle w:val="TableText"/>
            </w:pPr>
            <w:r>
              <w:t xml:space="preserve">calibrated_static</w:t>
            </w:r>
          </w:p>
        </w:tc>
        <w:tc>
          <w:tcPr>
            <w:tcW w:w="2300" w:type="dxa"/>
            <w:shd w:fill="FFFFFF"/>
            <w:vAlign w:val="center"/>
          </w:tcPr>
          <w:p>
            <w:pPr>
              <w:pStyle w:val="TableText"/>
            </w:pPr>
            <w:r>
              <w:t xml:space="preserve">不適用 無獨立欄位</w:t>
            </w:r>
          </w:p>
        </w:tc>
        <w:tc>
          <w:tcPr>
            <w:tcW w:w="4460" w:type="dxa"/>
            <w:shd w:fill="FFFFFF"/>
            <w:vAlign w:val="center"/>
          </w:tcPr>
          <w:p>
            <w:pPr>
              <w:pStyle w:val="TableText"/>
            </w:pPr>
            <w:r>
              <w:t xml:space="preserve">未來 adaptive run 若有，獨立呈現 static 對照</w:t>
            </w:r>
          </w:p>
        </w:tc>
      </w:tr>
      <w:tr>
        <w:trPr>
          <w:cantSplit/>
        </w:trPr>
        <w:tc>
          <w:tcPr>
            <w:tcW w:w="2600" w:type="dxa"/>
            <w:shd w:fill="F7F9FC"/>
            <w:vAlign w:val="center"/>
          </w:tcPr>
          <w:p>
            <w:pPr>
              <w:pStyle w:val="TableText"/>
            </w:pPr>
            <w:r>
              <w:t xml:space="preserve">calibrated_online</w:t>
            </w:r>
          </w:p>
        </w:tc>
        <w:tc>
          <w:tcPr>
            <w:tcW w:w="2300" w:type="dxa"/>
            <w:shd w:fill="F7F9FC"/>
            <w:vAlign w:val="center"/>
          </w:tcPr>
          <w:p>
            <w:pPr>
              <w:pStyle w:val="TableText"/>
            </w:pPr>
            <w:r>
              <w:t xml:space="preserve">不適用 無欄位</w:t>
            </w:r>
          </w:p>
        </w:tc>
        <w:tc>
          <w:tcPr>
            <w:tcW w:w="4460" w:type="dxa"/>
            <w:shd w:fill="F7F9FC"/>
            <w:vAlign w:val="center"/>
          </w:tcPr>
          <w:p>
            <w:pPr>
              <w:pStyle w:val="TableText"/>
            </w:pPr>
            <w:r>
              <w:t xml:space="preserve">未來只用已成熟的過往標籤回饋；非完全凍結 holdout</w:t>
            </w:r>
          </w:p>
        </w:tc>
      </w:tr>
    </w:tbl>
    <w:p>
      <w:pPr>
        <w:pStyle w:val="a"/>
        <w:spacing w:before="160"/>
      </w:pPr>
      <w:r>
        <w:t xml:space="preserve">未來 adaptive run 的 calibrated 是凍結 regime-adaptive 校準，不可沿用本批 static 語意。calibrated_static、calibrated、calibrated_online 若存在，分別列出整體、horizon、市場及可用月份的 pinball、coverage、error、width，註明擬合來源、標籤成熟規則、更新時點與 checkpoint。缺欄位標不適用，缺資料標尚未計算，均不可補零。Online 不改模型或選模，但使用過往 test 回饋，因此不能冒充完全凍結的 test。</w:t>
      </w:r>
    </w:p>
    <w:p>
      <w:pPr>
        <w:pStyle w:val="21"/>
      </w:pPr>
      <w:r>
        <w:t xml:space="preserve">證據檔案 SHA256</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600"/>
        <w:gridCol w:w="6760"/>
      </w:tblGrid>
      <w:tr>
        <w:trPr>
          <w:cantSplit/>
          <w:tblHeader/>
        </w:trPr>
        <w:tc>
          <w:tcPr>
            <w:tcW w:w="2600" w:type="dxa"/>
            <w:shd w:fill="DCE6F1"/>
            <w:vAlign w:val="center"/>
          </w:tcPr>
          <w:p>
            <w:pPr>
              <w:pStyle w:val="TableHeader"/>
            </w:pPr>
            <w:r>
              <w:t xml:space="preserve">檔案</w:t>
            </w:r>
          </w:p>
        </w:tc>
        <w:tc>
          <w:tcPr>
            <w:tcW w:w="6760" w:type="dxa"/>
            <w:shd w:fill="DCE6F1"/>
            <w:vAlign w:val="center"/>
          </w:tcPr>
          <w:p>
            <w:pPr>
              <w:pStyle w:val="TableHeader"/>
            </w:pPr>
            <w:r>
              <w:t xml:space="preserve">SHA256</w:t>
            </w:r>
          </w:p>
        </w:tc>
      </w:tr>
      <w:tr>
        <w:trPr>
          <w:cantSplit/>
        </w:trPr>
        <w:tc>
          <w:tcPr>
            <w:tcW w:w="2600" w:type="dxa"/>
            <w:shd w:fill="FFFFFF"/>
            <w:vAlign w:val="center"/>
          </w:tcPr>
          <w:p>
            <w:pPr>
              <w:pStyle w:val="TableText"/>
            </w:pPr>
            <w:r>
              <w:t xml:space="preserve">resolved-config.yaml</w:t>
            </w:r>
          </w:p>
        </w:tc>
        <w:tc>
          <w:tcPr>
            <w:tcW w:w="6760" w:type="dxa"/>
            <w:shd w:fill="FFFFFF"/>
            <w:vAlign w:val="center"/>
          </w:tcPr>
          <w:p>
            <w:pPr>
              <w:pStyle w:val="TableText"/>
            </w:pPr>
            <w:r>
              <w:t xml:space="preserve">7fe84432df97c78de4f174dfbe36dac66ad04af350c4d5f3960cc4d6b7ccd37b</w:t>
            </w:r>
          </w:p>
        </w:tc>
      </w:tr>
      <w:tr>
        <w:trPr>
          <w:cantSplit/>
        </w:trPr>
        <w:tc>
          <w:tcPr>
            <w:tcW w:w="2600" w:type="dxa"/>
            <w:shd w:fill="F7F9FC"/>
            <w:vAlign w:val="center"/>
          </w:tcPr>
          <w:p>
            <w:pPr>
              <w:pStyle w:val="TableText"/>
            </w:pPr>
            <w:r>
              <w:t xml:space="preserve">run-manifest.json</w:t>
            </w:r>
          </w:p>
        </w:tc>
        <w:tc>
          <w:tcPr>
            <w:tcW w:w="6760" w:type="dxa"/>
            <w:shd w:fill="F7F9FC"/>
            <w:vAlign w:val="center"/>
          </w:tcPr>
          <w:p>
            <w:pPr>
              <w:pStyle w:val="TableText"/>
            </w:pPr>
            <w:r>
              <w:t xml:space="preserve">55ee50be89cade7e64668da6b8a156dd80b275aa8b0bba839aec06d2805e2ebf</w:t>
            </w:r>
          </w:p>
        </w:tc>
      </w:tr>
      <w:tr>
        <w:trPr>
          <w:cantSplit/>
        </w:trPr>
        <w:tc>
          <w:tcPr>
            <w:tcW w:w="2600" w:type="dxa"/>
            <w:shd w:fill="FFFFFF"/>
            <w:vAlign w:val="center"/>
          </w:tcPr>
          <w:p>
            <w:pPr>
              <w:pStyle w:val="TableText"/>
            </w:pPr>
            <w:r>
              <w:t xml:space="preserve">validation-benchmark.json</w:t>
            </w:r>
          </w:p>
        </w:tc>
        <w:tc>
          <w:tcPr>
            <w:tcW w:w="6760" w:type="dxa"/>
            <w:shd w:fill="FFFFFF"/>
            <w:vAlign w:val="center"/>
          </w:tcPr>
          <w:p>
            <w:pPr>
              <w:pStyle w:val="TableText"/>
            </w:pPr>
            <w:r>
              <w:t xml:space="preserve">535d2019fe512cc81ab2fcd62080bd0ba6a440b23d5454c3bda4d27a59acaf83</w:t>
            </w:r>
          </w:p>
        </w:tc>
      </w:tr>
      <w:tr>
        <w:trPr>
          <w:cantSplit/>
        </w:trPr>
        <w:tc>
          <w:tcPr>
            <w:tcW w:w="2600" w:type="dxa"/>
            <w:shd w:fill="F7F9FC"/>
            <w:vAlign w:val="center"/>
          </w:tcPr>
          <w:p>
            <w:pPr>
              <w:pStyle w:val="TableText"/>
            </w:pPr>
            <w:r>
              <w:t xml:space="preserve">interval-calibration.json</w:t>
            </w:r>
          </w:p>
        </w:tc>
        <w:tc>
          <w:tcPr>
            <w:tcW w:w="6760" w:type="dxa"/>
            <w:shd w:fill="F7F9FC"/>
            <w:vAlign w:val="center"/>
          </w:tcPr>
          <w:p>
            <w:pPr>
              <w:pStyle w:val="TableText"/>
            </w:pPr>
            <w:r>
              <w:t xml:space="preserve">fa868ad0ed39da50dbbe2abeb3642916ad16652706ed6f2f08b4baa3368c8b03</w:t>
            </w:r>
          </w:p>
        </w:tc>
      </w:tr>
      <w:tr>
        <w:trPr>
          <w:cantSplit/>
        </w:trPr>
        <w:tc>
          <w:tcPr>
            <w:tcW w:w="2600" w:type="dxa"/>
            <w:shd w:fill="FFFFFF"/>
            <w:vAlign w:val="center"/>
          </w:tcPr>
          <w:p>
            <w:pPr>
              <w:pStyle w:val="TableText"/>
            </w:pPr>
            <w:r>
              <w:t xml:space="preserve">best-checkpoint.json</w:t>
            </w:r>
          </w:p>
        </w:tc>
        <w:tc>
          <w:tcPr>
            <w:tcW w:w="6760" w:type="dxa"/>
            <w:shd w:fill="FFFFFF"/>
            <w:vAlign w:val="center"/>
          </w:tcPr>
          <w:p>
            <w:pPr>
              <w:pStyle w:val="TableText"/>
            </w:pPr>
            <w:r>
              <w:t xml:space="preserve">4481bd1b816f9636e8f38d47be1ed3d94951d71564e6f317f1cfe9814502e551</w:t>
            </w:r>
          </w:p>
        </w:tc>
      </w:tr>
    </w:tbl>
    <w:p>
      <w:pPr>
        <w:pStyle w:val="Kicker"/>
        <w:spacing w:before="160"/>
        <w:pageBreakBefore/>
      </w:pPr>
      <w:r>
        <w:t>MODEL PERFORMANCE EVALUATION</w:t>
      </w:r>
    </w:p>
    <w:p>
      <w:pPr>
        <w:pStyle w:val="ReportTitle"/>
      </w:pPr>
      <w:r>
        <w:t xml:space="preserve">One to Fourteen Day Alpha Forecast and Ranking Evaluation</w:t>
      </w:r>
    </w:p>
    <w:p>
      <w:pPr>
        <w:pStyle w:val="1"/>
      </w:pPr>
      <w:r>
        <w:t xml:space="preserve">A-partial  Stage 2  run-20261007T085308Z-2debcc6e669b4522</w:t>
      </w:r>
    </w:p>
    <w:p>
      <w:pPr>
        <w:pStyle w:val="Metadata"/>
      </w:pPr>
      <w:r>
        <w:t xml:space="preserve">Report revision date: 2026-10-09</w:t>
      </w:r>
    </w:p>
    <w:p>
      <w:pPr>
        <w:pStyle w:val="Metadata"/>
      </w:pPr>
      <w:r>
        <w:t>Best checkpoint: checkpoint-011040 (global step 11,040)</w:t>
      </w:r>
    </w:p>
    <w:p>
      <w:pPr>
        <w:pStyle w:val="Metadata"/>
      </w:pPr>
      <w:r>
        <w:t>Evaluation split: full test; checkpoint selected on validation; test is unlocked</w:t>
      </w:r>
    </w:p>
    <w:p>
      <w:pPr>
        <w:pStyle w:val="Lead"/>
      </w:pPr>
      <w:r>
        <w:t xml:space="preserve">A-partial has raw test normalized pinball 0.293823, rank 2/13. Calibration changes it to 0.293445 and all-horizon coverage from 75.7978% to 77.1449%. q50 is unchanged; assess direction against a training-fixed distribution. Report the independent ranking head separately by market. Current net returns, Sharpe and drawdown have inconsistent capital scales and are not reliable strategy performance.</w:t>
      </w:r>
    </w:p>
    <w:p>
      <w:pPr>
        <w:pStyle w:val="11"/>
      </w:pPr>
      <w:r>
        <w:t>1. Executive summary</w:t>
      </w:r>
    </w:p>
    <w:p>
      <w:pPr>
        <w:pStyle w:val="21"/>
      </w:pPr>
      <w:r>
        <w:t>1.1 The unit of evaluation is all 14 horizons</w:t>
      </w:r>
    </w:p>
    <w:p>
      <w:pPr>
        <w:pStyle w:val="a"/>
      </w:pPr>
      <w:r>
        <w:t>Each sample contains 14 q10/q50/q90 triplets. The selection score is the equal-weight normalized pinball mean across all 14 horizons. This run evaluates the full test split rather than a subset.</w:t>
      </w:r>
    </w:p>
    <w:p>
      <w:pPr>
        <w:pStyle w:val="Decision"/>
        <w:keepNext/>
        <w:spacing w:after="80"/>
      </w:pPr>
      <w:r>
        <w:t>Table 1 | Main findings across days 1 through 14</w:t>
      </w:r>
    </w:p>
    <w:tbl>
      <w:tblPr>
        <w:tblStyle w:val="BenchmarkTable"/>
        <w:tblW w:w="9360" w:type="dxa"/>
        <w:tblLayout w:type="fixed"/>
      </w:tblPr>
      <w:tblGrid>
        <w:gridCol w:w="2650"/>
        <w:gridCol w:w="2800"/>
        <w:gridCol w:w="3910"/>
      </w:tblGrid>
      <w:tr>
        <w:trPr>
          <w:tblHeader/>
        </w:trPr>
        <w:tc>
          <w:tcPr>
            <w:tcW w:w="2650" w:type="dxa"/>
            <w:shd w:val="clear" w:fill="DCE6F1"/>
            <w:vAlign w:val="center"/>
          </w:tcPr>
          <w:p>
            <w:pPr>
              <w:pStyle w:val="TableHeader"/>
            </w:pPr>
            <w:r>
              <w:t>Evaluation area</w:t>
            </w:r>
          </w:p>
        </w:tc>
        <w:tc>
          <w:tcPr>
            <w:tcW w:w="2800" w:type="dxa"/>
            <w:shd w:val="clear" w:fill="DCE6F1"/>
            <w:vAlign w:val="center"/>
          </w:tcPr>
          <w:p>
            <w:pPr>
              <w:pStyle w:val="TableHeader"/>
            </w:pPr>
            <w:r>
              <w:t>Result</w:t>
            </w:r>
          </w:p>
        </w:tc>
        <w:tc>
          <w:tcPr>
            <w:tcW w:w="3910" w:type="dxa"/>
            <w:shd w:val="clear" w:fill="DCE6F1"/>
            <w:vAlign w:val="center"/>
          </w:tcPr>
          <w:p>
            <w:pPr>
              <w:pStyle w:val="TableHeader"/>
            </w:pPr>
            <w:r>
              <w:t>Correct interpretation</w:t>
            </w:r>
          </w:p>
        </w:tc>
      </w:tr>
      <w:tr>
        <w:trPr>
          <w:cantSplit/>
        </w:trPr>
        <w:tc>
          <w:tcPr>
            <w:tcW w:w="2650" w:type="dxa"/>
            <w:vAlign w:val="center"/>
          </w:tcPr>
          <w:p>
            <w:pPr>
              <w:pStyle w:val="TableText"/>
            </w:pPr>
            <w:r>
              <w:t xml:space="preserve">All-horizon raw test score</w:t>
            </w:r>
          </w:p>
        </w:tc>
        <w:tc>
          <w:tcPr>
            <w:tcW w:w="2800" w:type="dxa"/>
            <w:vAlign w:val="center"/>
          </w:tcPr>
          <w:p>
            <w:pPr>
              <w:pStyle w:val="TableNumber"/>
            </w:pPr>
            <w:r>
              <w:t xml:space="preserve">0.293823</w:t>
            </w:r>
          </w:p>
        </w:tc>
        <w:tc>
          <w:tcPr>
            <w:tcW w:w="3910" w:type="dxa"/>
            <w:vAlign w:val="center"/>
          </w:tcPr>
          <w:p>
            <w:pPr>
              <w:pStyle w:val="TableText"/>
            </w:pPr>
            <w:r>
              <w:t xml:space="preserve">Rank 2/13; select checkpoints only on raw validation</w:t>
            </w:r>
          </w:p>
        </w:tc>
      </w:tr>
      <w:tr>
        <w:trPr>
          <w:cantSplit/>
        </w:trPr>
        <w:tc>
          <w:tcPr>
            <w:tcW w:w="2650" w:type="dxa"/>
            <w:vAlign w:val="center"/>
          </w:tcPr>
          <w:p>
            <w:pPr>
              <w:pStyle w:val="TableText"/>
            </w:pPr>
            <w:r>
              <w:t xml:space="preserve">Calibrated distribution error</w:t>
            </w:r>
          </w:p>
        </w:tc>
        <w:tc>
          <w:tcPr>
            <w:tcW w:w="2800" w:type="dxa"/>
            <w:vAlign w:val="center"/>
          </w:tcPr>
          <w:p>
            <w:pPr>
              <w:pStyle w:val="TableNumber"/>
            </w:pPr>
            <w:r>
              <w:t xml:space="preserve">0.293445</w:t>
            </w:r>
          </w:p>
        </w:tc>
        <w:tc>
          <w:tcPr>
            <w:tcW w:w="3910" w:type="dxa"/>
            <w:vAlign w:val="center"/>
          </w:tcPr>
          <w:p>
            <w:pPr>
              <w:pStyle w:val="TableText"/>
            </w:pPr>
            <w:r>
              <w:t xml:space="preserve">Validation-fitted and frozen on test; not a new selection score</w:t>
            </w:r>
          </w:p>
        </w:tc>
      </w:tr>
      <w:tr>
        <w:trPr>
          <w:cantSplit/>
        </w:trPr>
        <w:tc>
          <w:tcPr>
            <w:tcW w:w="2650" w:type="dxa"/>
            <w:vAlign w:val="center"/>
          </w:tcPr>
          <w:p>
            <w:pPr>
              <w:pStyle w:val="TableText"/>
            </w:pPr>
            <w:r>
              <w:t xml:space="preserve">All-horizon coverage raw / calibrated</w:t>
            </w:r>
          </w:p>
        </w:tc>
        <w:tc>
          <w:tcPr>
            <w:tcW w:w="2800" w:type="dxa"/>
            <w:vAlign w:val="center"/>
          </w:tcPr>
          <w:p>
            <w:pPr>
              <w:pStyle w:val="TableNumber"/>
            </w:pPr>
            <w:r>
              <w:t xml:space="preserve">75.7978%</w:t>
              <w:br/>
              <w:t xml:space="preserve">77.1449%</w:t>
            </w:r>
          </w:p>
        </w:tc>
        <w:tc>
          <w:tcPr>
            <w:tcW w:w="3910" w:type="dxa"/>
            <w:vAlign w:val="center"/>
          </w:tcPr>
          <w:p>
            <w:pPr>
              <w:pStyle w:val="TableText"/>
            </w:pPr>
            <w:r>
              <w:t xml:space="preserve">Read with width and markets; no 80% subgroup guarantee</w:t>
            </w:r>
          </w:p>
        </w:tc>
      </w:tr>
      <w:tr>
        <w:trPr>
          <w:cantSplit/>
        </w:trPr>
        <w:tc>
          <w:tcPr>
            <w:tcW w:w="2650" w:type="dxa"/>
            <w:vAlign w:val="center"/>
          </w:tcPr>
          <w:p>
            <w:pPr>
              <w:pStyle w:val="TableText"/>
            </w:pPr>
            <w:r>
              <w:t xml:space="preserve">q50 Pearson correlation</w:t>
            </w:r>
          </w:p>
        </w:tc>
        <w:tc>
          <w:tcPr>
            <w:tcW w:w="2800" w:type="dxa"/>
            <w:vAlign w:val="center"/>
          </w:tcPr>
          <w:p>
            <w:pPr>
              <w:pStyle w:val="TableNumber"/>
            </w:pPr>
            <w:r>
              <w:t xml:space="preserve">0.0569~0.1268</w:t>
            </w:r>
          </w:p>
        </w:tc>
        <w:tc>
          <w:tcPr>
            <w:tcW w:w="3910" w:type="dxa"/>
            <w:vAlign w:val="center"/>
          </w:tcPr>
          <w:p>
            <w:pPr>
              <w:pStyle w:val="TableText"/>
            </w:pPr>
            <w:r>
              <w:t xml:space="preserve">Co-movement of median alpha forecasts and outcomes; unchanged by calibration</w:t>
            </w:r>
          </w:p>
        </w:tc>
      </w:tr>
      <w:tr>
        <w:trPr>
          <w:cantSplit/>
        </w:trPr>
        <w:tc>
          <w:tcPr>
            <w:tcW w:w="2650" w:type="dxa"/>
            <w:vAlign w:val="center"/>
          </w:tcPr>
          <w:p>
            <w:pPr>
              <w:pStyle w:val="TableText"/>
            </w:pPr>
            <w:r>
              <w:t xml:space="preserve">Direction versus fixed distribution</w:t>
            </w:r>
          </w:p>
        </w:tc>
        <w:tc>
          <w:tcPr>
            <w:tcW w:w="2800" w:type="dxa"/>
            <w:vAlign w:val="center"/>
          </w:tcPr>
          <w:p>
            <w:pPr>
              <w:pStyle w:val="TableNumber"/>
            </w:pPr>
            <w:r>
              <w:t xml:space="preserve">-1.1935~+0.2055 pp</w:t>
            </w:r>
          </w:p>
        </w:tc>
        <w:tc>
          <w:tcPr>
            <w:tcW w:w="3910" w:type="dxa"/>
            <w:vAlign w:val="center"/>
          </w:tcPr>
          <w:p>
            <w:pPr>
              <w:pStyle w:val="TableText"/>
            </w:pPr>
            <w:r>
              <w:t xml:space="preserve">Only 5/14 horizons exceed the training-fixed baseline; not stock-price direction</w:t>
            </w:r>
          </w:p>
        </w:tc>
      </w:tr>
      <w:tr>
        <w:trPr>
          <w:cantSplit/>
        </w:trPr>
        <w:tc>
          <w:tcPr>
            <w:tcW w:w="2650" w:type="dxa"/>
            <w:vAlign w:val="center"/>
          </w:tcPr>
          <w:p>
            <w:pPr>
              <w:pStyle w:val="TableText"/>
            </w:pPr>
            <w:r>
              <w:t xml:space="preserve">q50 sorting RankIC</w:t>
            </w:r>
          </w:p>
        </w:tc>
        <w:tc>
          <w:tcPr>
            <w:tcW w:w="2800" w:type="dxa"/>
            <w:vAlign w:val="center"/>
          </w:tcPr>
          <w:p>
            <w:pPr>
              <w:pStyle w:val="TableNumber"/>
            </w:pPr>
            <w:r>
              <w:t xml:space="preserve">0.0765~0.1070</w:t>
            </w:r>
          </w:p>
        </w:tc>
        <w:tc>
          <w:tcPr>
            <w:tcW w:w="3910" w:type="dxa"/>
            <w:vAlign w:val="center"/>
          </w:tcPr>
          <w:p>
            <w:pPr>
              <w:pStyle w:val="TableText"/>
            </w:pPr>
            <w:r>
              <w:t xml:space="preserve">Pooled markets; no same-population comparison against market-specific head metrics</w:t>
            </w:r>
          </w:p>
        </w:tc>
      </w:tr>
      <w:tr>
        <w:trPr>
          <w:cantSplit/>
        </w:trPr>
        <w:tc>
          <w:tcPr>
            <w:tcW w:w="2650" w:type="dxa"/>
            <w:vAlign w:val="center"/>
          </w:tcPr>
          <w:p>
            <w:pPr>
              <w:pStyle w:val="TableText"/>
            </w:pPr>
            <w:r>
              <w:t xml:space="preserve">Independent ranking head RankIC</w:t>
            </w:r>
          </w:p>
        </w:tc>
        <w:tc>
          <w:tcPr>
            <w:tcW w:w="2800" w:type="dxa"/>
            <w:vAlign w:val="center"/>
          </w:tcPr>
          <w:p>
            <w:pPr>
              <w:pStyle w:val="TableNumber"/>
            </w:pPr>
            <w:r>
              <w:t xml:space="preserve">US 0.0247~0.0713; TWSE 0.0287~0.0727; TPEX 0.0250~0.0499</w:t>
            </w:r>
          </w:p>
        </w:tc>
        <w:tc>
          <w:tcPr>
            <w:tcW w:w="3910" w:type="dxa"/>
            <w:vAlign w:val="center"/>
          </w:tcPr>
          <w:p>
            <w:pPr>
              <w:pStyle w:val="TableText"/>
            </w:pPr>
            <w:r>
              <w:t xml:space="preserve">Dimensionless scores; all 42 market-horizon means are positive, stability remains unverified</w:t>
            </w:r>
          </w:p>
        </w:tc>
      </w:tr>
      <w:tr>
        <w:trPr>
          <w:cantSplit/>
        </w:trPr>
        <w:tc>
          <w:tcPr>
            <w:tcW w:w="2650" w:type="dxa"/>
            <w:vAlign w:val="center"/>
          </w:tcPr>
          <w:p>
            <w:pPr>
              <w:pStyle w:val="TableText"/>
            </w:pPr>
            <w:r>
              <w:t xml:space="preserve">Net Sharpe and maximum drawdown</w:t>
            </w:r>
          </w:p>
        </w:tc>
        <w:tc>
          <w:tcPr>
            <w:tcW w:w="2800" w:type="dxa"/>
            <w:vAlign w:val="center"/>
          </w:tcPr>
          <w:p>
            <w:pPr>
              <w:pStyle w:val="TableNumber"/>
            </w:pPr>
            <w:r>
              <w:t xml:space="preserve">Original values retained in Table 9</w:t>
            </w:r>
          </w:p>
        </w:tc>
        <w:tc>
          <w:tcPr>
            <w:tcW w:w="3910" w:type="dxa"/>
            <w:vAlign w:val="center"/>
          </w:tcPr>
          <w:p>
            <w:pPr>
              <w:pStyle w:val="TableText"/>
            </w:pPr>
            <w:r>
              <w:t xml:space="preserve">Legacy simplified diagnostics; inconsistent capital and cost scales, not reliable strategy performance</w:t>
            </w:r>
          </w:p>
        </w:tc>
      </w:tr>
    </w:tbl>
    <w:p>
      <w:pPr>
        <w:pStyle w:val="21"/>
        <w:spacing w:before="160"/>
      </w:pPr>
      <w:r>
        <w:t>1.2 Decision and evidence strength</w:t>
      </w:r>
    </w:p>
    <w:p>
      <w:pPr>
        <w:pStyle w:val="a"/>
      </w:pPr>
      <w:r>
        <w:t xml:space="preserve">Raw distribution error ranks 2/13 and is 5.06% below the training-fixed unconditional distribution baseline 0.309493. The three runs compare configurations on the same test population at one seed, not multi-seed stability. always_buy and zero_return retain distinct source names but identical predictions, not two distinct direction strategies.</w:t>
      </w:r>
    </w:p>
    <w:p>
      <w:pPr>
        <w:pStyle w:val="Decision"/>
      </w:pPr>
      <w:r>
        <w:t xml:space="preserve">Decision: retain the checkpoint and prediction evidence. Do not approve deployment or profit claims before multi-seed stability, same-market ranking comparisons, evaluator capital/cost corrections and formal backtesting.</w:t>
      </w:r>
    </w:p>
    <w:p>
      <w:pPr>
        <w:pStyle w:val="Note"/>
      </w:pPr>
      <w:r>
        <w:t>Selection score measures distribution error across 14 horizons. It is not return, hit rate, or a tradability score.</w:t>
      </w:r>
    </w:p>
    <w:p>
      <w:pPr>
        <w:pStyle w:val="11"/>
      </w:pPr>
      <w:r>
        <w:t xml:space="preserve">2. Evaluation design and evidence boundaries</w:t>
      </w:r>
    </w:p>
    <w:p>
      <w:pPr>
        <w:pStyle w:val="21"/>
      </w:pPr>
      <w:r>
        <w:t>2.1 Data and splits</w:t>
      </w:r>
    </w:p>
    <w:p>
      <w:pPr>
        <w:pStyle w:val="a"/>
      </w:pPr>
      <w:r>
        <w:t xml:space="preserve">The profile is us_tw_eodhd. All three runs have evaluation_split=test and state=ready, with identical 534,327 windows, 112 forecast dates and ordered symbol-date membership. validation-benchmark.json is a workflow filename, not the final evaluation split. Full test forecast dates span 2025-12-01 through 2026-05-11; validation is used only for checkpoint selection, early stopping and calibration fitting.</w:t>
      </w:r>
    </w:p>
    <w:p>
      <w:pPr>
        <w:pStyle w:val="Decision"/>
        <w:keepNext/>
        <w:spacing w:after="80"/>
      </w:pPr>
      <w:r>
        <w:t>Table 2 | Samples and splits</w:t>
      </w:r>
    </w:p>
    <w:tbl>
      <w:tblPr>
        <w:tblStyle w:val="BenchmarkTable"/>
        <w:tblW w:w="9360" w:type="dxa"/>
        <w:tblLayout w:type="fixed"/>
      </w:tblPr>
      <w:tblGrid>
        <w:gridCol w:w="2800"/>
        <w:gridCol w:w="2050"/>
        <w:gridCol w:w="4510"/>
      </w:tblGrid>
      <w:tr>
        <w:trPr>
          <w:tblHeader/>
        </w:trPr>
        <w:tc>
          <w:tcPr>
            <w:tcW w:w="2800" w:type="dxa"/>
            <w:shd w:val="clear" w:fill="DCE6F1"/>
            <w:vAlign w:val="center"/>
          </w:tcPr>
          <w:p>
            <w:pPr>
              <w:pStyle w:val="TableHeader"/>
            </w:pPr>
            <w:r>
              <w:t>Item</w:t>
            </w:r>
          </w:p>
        </w:tc>
        <w:tc>
          <w:tcPr>
            <w:tcW w:w="2050" w:type="dxa"/>
            <w:shd w:val="clear" w:fill="DCE6F1"/>
            <w:vAlign w:val="center"/>
          </w:tcPr>
          <w:p>
            <w:pPr>
              <w:pStyle w:val="TableHeader"/>
            </w:pPr>
            <w:r>
              <w:t>Count or state</w:t>
            </w:r>
          </w:p>
        </w:tc>
        <w:tc>
          <w:tcPr>
            <w:tcW w:w="4510" w:type="dxa"/>
            <w:shd w:val="clear" w:fill="DCE6F1"/>
            <w:vAlign w:val="center"/>
          </w:tcPr>
          <w:p>
            <w:pPr>
              <w:pStyle w:val="TableHeader"/>
            </w:pPr>
            <w:r>
              <w:t>Meaning</w:t>
            </w:r>
          </w:p>
        </w:tc>
      </w:tr>
      <w:tr>
        <w:trPr>
          <w:cantSplit/>
        </w:trPr>
        <w:tc>
          <w:tcPr>
            <w:tcW w:w="2800" w:type="dxa"/>
            <w:vAlign w:val="center"/>
          </w:tcPr>
          <w:p>
            <w:pPr>
              <w:pStyle w:val="TableText"/>
            </w:pPr>
            <w:r>
              <w:t>Training samples per epoch</w:t>
            </w:r>
          </w:p>
        </w:tc>
        <w:tc>
          <w:tcPr>
            <w:tcW w:w="2050" w:type="dxa"/>
            <w:vAlign w:val="center"/>
          </w:tcPr>
          <w:p>
            <w:pPr>
              <w:pStyle w:val="TableNumber"/>
            </w:pPr>
            <w:r>
              <w:t>4,710,117</w:t>
            </w:r>
          </w:p>
        </w:tc>
        <w:tc>
          <w:tcPr>
            <w:tcW w:w="4510" w:type="dxa"/>
            <w:vAlign w:val="center"/>
          </w:tcPr>
          <w:p>
            <w:pPr>
              <w:pStyle w:val="TableText"/>
            </w:pPr>
            <w:r>
              <w:t>Stage 2 sample set; epochs are not counted again</w:t>
            </w:r>
          </w:p>
        </w:tc>
      </w:tr>
      <w:tr>
        <w:trPr>
          <w:cantSplit/>
        </w:trPr>
        <w:tc>
          <w:tcPr>
            <w:tcW w:w="2800" w:type="dxa"/>
            <w:vAlign w:val="center"/>
          </w:tcPr>
          <w:p>
            <w:pPr>
              <w:pStyle w:val="TableText"/>
            </w:pPr>
            <w:r>
              <w:t>Processed training samples</w:t>
            </w:r>
          </w:p>
        </w:tc>
        <w:tc>
          <w:tcPr>
            <w:tcW w:w="2050" w:type="dxa"/>
            <w:vAlign w:val="center"/>
          </w:tcPr>
          <w:p>
            <w:pPr>
              <w:pStyle w:val="TableNumber"/>
            </w:pPr>
            <w:r>
              <w:t>8,478,464 / 23,550,585 (36.00%)</w:t>
            </w:r>
          </w:p>
        </w:tc>
        <w:tc>
          <w:tcPr>
            <w:tcW w:w="4510" w:type="dxa"/>
            <w:vAlign w:val="center"/>
          </w:tcPr>
          <w:p>
            <w:pPr>
              <w:pStyle w:val="TableText"/>
            </w:pPr>
            <w:r>
              <w:t>Early stopping ended training before all planned samples were processed</w:t>
            </w:r>
          </w:p>
        </w:tc>
      </w:tr>
      <w:tr>
        <w:trPr>
          <w:cantSplit/>
        </w:trPr>
        <w:tc>
          <w:tcPr>
            <w:tcW w:w="2800" w:type="dxa"/>
            <w:vAlign w:val="center"/>
          </w:tcPr>
          <w:p>
            <w:pPr>
              <w:pStyle w:val="TableText"/>
            </w:pPr>
            <w:r>
              <w:t>Full validation split</w:t>
            </w:r>
          </w:p>
        </w:tc>
        <w:tc>
          <w:tcPr>
            <w:tcW w:w="2050" w:type="dxa"/>
            <w:vAlign w:val="center"/>
          </w:tcPr>
          <w:p>
            <w:pPr>
              <w:pStyle w:val="TableNumber"/>
            </w:pPr>
            <w:r>
              <w:t>528,315</w:t>
            </w:r>
          </w:p>
        </w:tc>
        <w:tc>
          <w:tcPr>
            <w:tcW w:w="4510" w:type="dxa"/>
            <w:vAlign w:val="center"/>
          </w:tcPr>
          <w:p>
            <w:pPr>
              <w:pStyle w:val="TableText"/>
            </w:pPr>
            <w:r>
              <w:t>Used for checkpoint selection and early stopping</w:t>
            </w:r>
          </w:p>
        </w:tc>
      </w:tr>
      <w:tr>
        <w:trPr>
          <w:cantSplit/>
        </w:trPr>
        <w:tc>
          <w:tcPr>
            <w:tcW w:w="2800" w:type="dxa"/>
            <w:vAlign w:val="center"/>
          </w:tcPr>
          <w:p>
            <w:pPr>
              <w:pStyle w:val="TableText"/>
            </w:pPr>
            <w:r>
              <w:t>Full test split</w:t>
            </w:r>
          </w:p>
        </w:tc>
        <w:tc>
          <w:tcPr>
            <w:tcW w:w="2050" w:type="dxa"/>
            <w:vAlign w:val="center"/>
          </w:tcPr>
          <w:p>
            <w:pPr>
              <w:pStyle w:val="TableNumber"/>
            </w:pPr>
            <w:r>
              <w:t>534,327</w:t>
            </w:r>
          </w:p>
        </w:tc>
        <w:tc>
          <w:tcPr>
            <w:tcW w:w="4510" w:type="dxa"/>
            <w:vAlign w:val="center"/>
          </w:tcPr>
          <w:p>
            <w:pPr>
              <w:pStyle w:val="TableText"/>
            </w:pPr>
            <w:r>
              <w:t>The complete test split was evaluated without subsampling</w:t>
            </w:r>
          </w:p>
        </w:tc>
      </w:tr>
      <w:tr>
        <w:trPr>
          <w:cantSplit/>
        </w:trPr>
        <w:tc>
          <w:tcPr>
            <w:tcW w:w="2800" w:type="dxa"/>
            <w:vAlign w:val="center"/>
          </w:tcPr>
          <w:p>
            <w:pPr>
              <w:pStyle w:val="TableText"/>
            </w:pPr>
            <w:r>
              <w:t>Test dates and date count</w:t>
            </w:r>
          </w:p>
        </w:tc>
        <w:tc>
          <w:tcPr>
            <w:tcW w:w="2050" w:type="dxa"/>
            <w:vAlign w:val="center"/>
          </w:tcPr>
          <w:p>
            <w:pPr>
              <w:pStyle w:val="TableNumber"/>
            </w:pPr>
            <w:r>
              <w:t>2025-12-01 to 2026-05-11; 112 dates</w:t>
            </w:r>
          </w:p>
        </w:tc>
        <w:tc>
          <w:tcPr>
            <w:tcW w:w="4510" w:type="dxa"/>
            <w:vAlign w:val="center"/>
          </w:tcPr>
          <w:p>
            <w:pPr>
              <w:pStyle w:val="TableText"/>
            </w:pPr>
            <w:r>
              <w:t>All 14 horizons share the full symbol-date membership</w:t>
            </w:r>
          </w:p>
        </w:tc>
      </w:tr>
      <w:tr>
        <w:trPr>
          <w:cantSplit/>
        </w:trPr>
        <w:tc>
          <w:tcPr>
            <w:tcW w:w="2800" w:type="dxa"/>
            <w:vAlign w:val="center"/>
          </w:tcPr>
          <w:p>
            <w:pPr>
              <w:pStyle w:val="TableText"/>
            </w:pPr>
            <w:r>
              <w:t>Seed</w:t>
            </w:r>
          </w:p>
        </w:tc>
        <w:tc>
          <w:tcPr>
            <w:tcW w:w="2050" w:type="dxa"/>
            <w:vAlign w:val="center"/>
          </w:tcPr>
          <w:p>
            <w:pPr>
              <w:pStyle w:val="TableNumber"/>
            </w:pPr>
            <w:r>
              <w:t>42</w:t>
            </w:r>
          </w:p>
        </w:tc>
        <w:tc>
          <w:tcPr>
            <w:tcW w:w="4510" w:type="dxa"/>
            <w:vAlign w:val="center"/>
          </w:tcPr>
          <w:p>
            <w:pPr>
              <w:pStyle w:val="TableText"/>
            </w:pPr>
            <w:r>
              <w:t>One seed; retraining variability is unknown</w:t>
            </w:r>
          </w:p>
        </w:tc>
      </w:tr>
      <w:tr>
        <w:trPr>
          <w:cantSplit/>
        </w:trPr>
        <w:tc>
          <w:tcPr>
            <w:tcW w:w="2800" w:type="dxa"/>
            <w:vAlign w:val="center"/>
          </w:tcPr>
          <w:p>
            <w:pPr>
              <w:pStyle w:val="TableText"/>
            </w:pPr>
            <w:r>
              <w:t>Test membership SHA-256</w:t>
            </w:r>
          </w:p>
        </w:tc>
        <w:tc>
          <w:tcPr>
            <w:tcW w:w="2050" w:type="dxa"/>
            <w:vAlign w:val="center"/>
          </w:tcPr>
          <w:p>
            <w:pPr>
              <w:pStyle w:val="TableNumber"/>
            </w:pPr>
            <w:r>
              <w:t>93e2e6a0b74edbdce616b82628aed180dad4d004a9bcd24292a78896c240bc0d</w:t>
            </w:r>
          </w:p>
        </w:tc>
        <w:tc>
          <w:tcPr>
            <w:tcW w:w="4510" w:type="dxa"/>
            <w:vAlign w:val="center"/>
          </w:tcPr>
          <w:p>
            <w:pPr>
              <w:pStyle w:val="TableText"/>
            </w:pPr>
            <w:r>
              <w:t>Reproducible identity of this run’s complete test membership</w:t>
            </w:r>
          </w:p>
        </w:tc>
      </w:tr>
    </w:tbl>
    <w:p>
      <w:pPr>
        <w:pStyle w:val="a"/>
        <w:spacing w:before="160"/>
      </w:pPr>
      <w:r>
        <w:t>The signal is formed after the close on day t. Entry is the next common raw regular-session open for the asset and benchmark; that session is holding day 1. Exit is the raw close on common holding day h. Inputs stop at cutoff_at, so future prices and labels never enter the model.</w:t>
      </w:r>
    </w:p>
    <w:p>
      <w:pPr>
        <w:pStyle w:val="21"/>
      </w:pPr>
      <w:r>
        <w:t>2.2 What the forecast number represents</w:t>
      </w:r>
    </w:p>
    <w:p>
      <w:pPr>
        <w:pStyle w:val="a"/>
      </w:pPr>
      <w:r>
        <w:t>For each horizon, alpha_h equals log(asset adjusted gross return) minus log(benchmark adjusted gross return). It measures relative benchmark outperformance, not valuation, a price target, or standalone stock return. If alpha=0.05, exp(0.05)-1=5.13% relative gross outperformance.</w:t>
      </w:r>
    </w:p>
    <w:p>
      <w:pPr>
        <w:pStyle w:val="11"/>
      </w:pPr>
      <w:r>
        <w:t>3. Model output and plain interpretation</w:t>
      </w:r>
    </w:p>
    <w:p>
      <w:pPr>
        <w:pStyle w:val="21"/>
      </w:pPr>
      <w:r>
        <w:t>3.1 Each horizon has three scenarios</w:t>
      </w:r>
    </w:p>
    <w:p>
      <w:pPr>
        <w:pStyle w:val="a"/>
      </w:pPr>
      <w:r>
        <w:t>Schema 5.0 returns alpha_quantiles with shape [batch, 14, 3]. The second dimension covers days 1 through 14; the third contains q10, q50, and q90 benchmark-relative adjusted execution log returns.</w:t>
      </w:r>
    </w:p>
    <w:p>
      <w:pPr>
        <w:pStyle w:val="Decision"/>
        <w:keepNext/>
        <w:spacing w:after="80"/>
      </w:pPr>
      <w:r>
        <w:t>Table 3 | Plain interpretation of q10 q50 and q90</w:t>
      </w:r>
    </w:p>
    <w:tbl>
      <w:tblPr>
        <w:tblStyle w:val="BenchmarkTable"/>
        <w:tblW w:w="9360" w:type="dxa"/>
        <w:tblLayout w:type="fixed"/>
      </w:tblPr>
      <w:tblGrid>
        <w:gridCol w:w="1300"/>
        <w:gridCol w:w="2400"/>
        <w:gridCol w:w="5660"/>
      </w:tblGrid>
      <w:tr>
        <w:trPr>
          <w:tblHeader/>
        </w:trPr>
        <w:tc>
          <w:tcPr>
            <w:tcW w:w="1300" w:type="dxa"/>
            <w:shd w:val="clear" w:fill="DCE6F1"/>
            <w:vAlign w:val="center"/>
          </w:tcPr>
          <w:p>
            <w:pPr>
              <w:pStyle w:val="TableHeader"/>
            </w:pPr>
            <w:r>
              <w:t>Output</w:t>
            </w:r>
          </w:p>
        </w:tc>
        <w:tc>
          <w:tcPr>
            <w:tcW w:w="2400" w:type="dxa"/>
            <w:shd w:val="clear" w:fill="DCE6F1"/>
            <w:vAlign w:val="center"/>
          </w:tcPr>
          <w:p>
            <w:pPr>
              <w:pStyle w:val="TableHeader"/>
            </w:pPr>
            <w:r>
              <w:t>Plain name</w:t>
            </w:r>
          </w:p>
        </w:tc>
        <w:tc>
          <w:tcPr>
            <w:tcW w:w="5660" w:type="dxa"/>
            <w:shd w:val="clear" w:fill="DCE6F1"/>
            <w:vAlign w:val="center"/>
          </w:tcPr>
          <w:p>
            <w:pPr>
              <w:pStyle w:val="TableHeader"/>
            </w:pPr>
            <w:r>
              <w:t>What this number forecasts</w:t>
            </w:r>
          </w:p>
        </w:tc>
      </w:tr>
      <w:tr>
        <w:trPr>
          <w:cantSplit/>
        </w:trPr>
        <w:tc>
          <w:tcPr>
            <w:tcW w:w="1300" w:type="dxa"/>
            <w:vAlign w:val="center"/>
          </w:tcPr>
          <w:p>
            <w:pPr>
              <w:pStyle w:val="TableText"/>
            </w:pPr>
            <w:r>
              <w:t>q10</w:t>
            </w:r>
          </w:p>
        </w:tc>
        <w:tc>
          <w:tcPr>
            <w:tcW w:w="2400" w:type="dxa"/>
            <w:vAlign w:val="center"/>
          </w:tcPr>
          <w:p>
            <w:pPr>
              <w:pStyle w:val="TableText"/>
            </w:pPr>
            <w:r>
              <w:t>Bearish-side scenario</w:t>
            </w:r>
          </w:p>
        </w:tc>
        <w:tc>
          <w:tcPr>
            <w:tcW w:w="5660" w:type="dxa"/>
            <w:vAlign w:val="center"/>
          </w:tcPr>
          <w:p>
            <w:pPr>
              <w:pStyle w:val="TableText"/>
            </w:pPr>
            <w:r>
              <w:t>About 10% of outcomes are below it; not a 10% chance of a decline</w:t>
            </w:r>
          </w:p>
        </w:tc>
      </w:tr>
      <w:tr>
        <w:trPr>
          <w:cantSplit/>
        </w:trPr>
        <w:tc>
          <w:tcPr>
            <w:tcW w:w="1300" w:type="dxa"/>
            <w:vAlign w:val="center"/>
          </w:tcPr>
          <w:p>
            <w:pPr>
              <w:pStyle w:val="TableText"/>
            </w:pPr>
            <w:r>
              <w:t>q50</w:t>
            </w:r>
          </w:p>
        </w:tc>
        <w:tc>
          <w:tcPr>
            <w:tcW w:w="2400" w:type="dxa"/>
            <w:vAlign w:val="center"/>
          </w:tcPr>
          <w:p>
            <w:pPr>
              <w:pStyle w:val="TableText"/>
            </w:pPr>
            <w:r>
              <w:t>Middle scenario</w:t>
            </w:r>
          </w:p>
        </w:tc>
        <w:tc>
          <w:tcPr>
            <w:tcW w:w="5660" w:type="dxa"/>
            <w:vAlign w:val="center"/>
          </w:tcPr>
          <w:p>
            <w:pPr>
              <w:pStyle w:val="TableText"/>
            </w:pPr>
            <w:r>
              <w:t>Outcomes are roughly half below and half above; often a point forecast and ranking signal</w:t>
            </w:r>
          </w:p>
        </w:tc>
      </w:tr>
      <w:tr>
        <w:trPr>
          <w:cantSplit/>
        </w:trPr>
        <w:tc>
          <w:tcPr>
            <w:tcW w:w="1300" w:type="dxa"/>
            <w:vAlign w:val="center"/>
          </w:tcPr>
          <w:p>
            <w:pPr>
              <w:pStyle w:val="TableText"/>
            </w:pPr>
            <w:r>
              <w:t>q90</w:t>
            </w:r>
          </w:p>
        </w:tc>
        <w:tc>
          <w:tcPr>
            <w:tcW w:w="2400" w:type="dxa"/>
            <w:vAlign w:val="center"/>
          </w:tcPr>
          <w:p>
            <w:pPr>
              <w:pStyle w:val="TableText"/>
            </w:pPr>
            <w:r>
              <w:t>Bullish-side scenario</w:t>
            </w:r>
          </w:p>
        </w:tc>
        <w:tc>
          <w:tcPr>
            <w:tcW w:w="5660" w:type="dxa"/>
            <w:vAlign w:val="center"/>
          </w:tcPr>
          <w:p>
            <w:pPr>
              <w:pStyle w:val="TableText"/>
            </w:pPr>
            <w:r>
              <w:t>About 90% of outcomes are below it; not a guaranteed ceiling</w:t>
            </w:r>
          </w:p>
        </w:tc>
      </w:tr>
    </w:tbl>
    <w:p>
      <w:pPr>
        <w:pStyle w:val="21"/>
        <w:spacing w:before="160"/>
      </w:pPr>
      <w:r>
        <w:t>3.2 Three stock scenarios</w:t>
      </w:r>
    </w:p>
    <w:p>
      <w:pPr>
        <w:pStyle w:val="Decision"/>
        <w:keepNext/>
        <w:spacing w:after="80"/>
      </w:pPr>
      <w:r>
        <w:t>Table 4 | How to read the three numbers</w:t>
      </w:r>
    </w:p>
    <w:tbl>
      <w:tblPr>
        <w:tblStyle w:val="BenchmarkTable"/>
        <w:tblW w:w="9360" w:type="dxa"/>
        <w:tblLayout w:type="fixed"/>
      </w:tblPr>
      <w:tblGrid>
        <w:gridCol w:w="2200"/>
        <w:gridCol w:w="2250"/>
        <w:gridCol w:w="4910"/>
      </w:tblGrid>
      <w:tr>
        <w:trPr>
          <w:tblHeader/>
        </w:trPr>
        <w:tc>
          <w:tcPr>
            <w:tcW w:w="2200" w:type="dxa"/>
            <w:shd w:val="clear" w:fill="DCE6F1"/>
            <w:vAlign w:val="center"/>
          </w:tcPr>
          <w:p>
            <w:pPr>
              <w:pStyle w:val="TableHeader"/>
            </w:pPr>
            <w:r>
              <w:t>Stock pattern</w:t>
            </w:r>
          </w:p>
        </w:tc>
        <w:tc>
          <w:tcPr>
            <w:tcW w:w="2250" w:type="dxa"/>
            <w:shd w:val="clear" w:fill="DCE6F1"/>
            <w:vAlign w:val="center"/>
          </w:tcPr>
          <w:p>
            <w:pPr>
              <w:pStyle w:val="TableHeader"/>
            </w:pPr>
            <w:r>
              <w:t>q10 / q50 / q90</w:t>
            </w:r>
          </w:p>
        </w:tc>
        <w:tc>
          <w:tcPr>
            <w:tcW w:w="4910" w:type="dxa"/>
            <w:shd w:val="clear" w:fill="DCE6F1"/>
            <w:vAlign w:val="center"/>
          </w:tcPr>
          <w:p>
            <w:pPr>
              <w:pStyle w:val="TableHeader"/>
            </w:pPr>
            <w:r>
              <w:t>Interpretation</w:t>
            </w:r>
          </w:p>
        </w:tc>
      </w:tr>
      <w:tr>
        <w:trPr>
          <w:cantSplit/>
        </w:trPr>
        <w:tc>
          <w:tcPr>
            <w:tcW w:w="2200" w:type="dxa"/>
            <w:vAlign w:val="center"/>
          </w:tcPr>
          <w:p>
            <w:pPr>
              <w:pStyle w:val="TableText"/>
            </w:pPr>
            <w:r>
              <w:t>Relative outperformer</w:t>
            </w:r>
          </w:p>
        </w:tc>
        <w:tc>
          <w:tcPr>
            <w:tcW w:w="2250" w:type="dxa"/>
            <w:vAlign w:val="center"/>
          </w:tcPr>
          <w:p>
            <w:pPr>
              <w:pStyle w:val="TableText"/>
            </w:pPr>
            <w:r>
              <w:t>+0.02 / +0.05 / +0.09</w:t>
            </w:r>
          </w:p>
        </w:tc>
        <w:tc>
          <w:tcPr>
            <w:tcW w:w="4910" w:type="dxa"/>
            <w:vAlign w:val="center"/>
          </w:tcPr>
          <w:p>
            <w:pPr>
              <w:pStyle w:val="TableText"/>
            </w:pPr>
            <w:r>
              <w:t>Even q10 is above zero; all scenarios forecast outperformance</w:t>
            </w:r>
          </w:p>
        </w:tc>
      </w:tr>
      <w:tr>
        <w:trPr>
          <w:cantSplit/>
        </w:trPr>
        <w:tc>
          <w:tcPr>
            <w:tcW w:w="2200" w:type="dxa"/>
            <w:vAlign w:val="center"/>
          </w:tcPr>
          <w:p>
            <w:pPr>
              <w:pStyle w:val="TableText"/>
            </w:pPr>
            <w:r>
              <w:t>Weak or distressed stock</w:t>
            </w:r>
          </w:p>
        </w:tc>
        <w:tc>
          <w:tcPr>
            <w:tcW w:w="2250" w:type="dxa"/>
            <w:vAlign w:val="center"/>
          </w:tcPr>
          <w:p>
            <w:pPr>
              <w:pStyle w:val="TableText"/>
            </w:pPr>
            <w:r>
              <w:t>-0.12 / -0.06 / -0.01</w:t>
            </w:r>
          </w:p>
        </w:tc>
        <w:tc>
          <w:tcPr>
            <w:tcW w:w="4910" w:type="dxa"/>
            <w:vAlign w:val="center"/>
          </w:tcPr>
          <w:p>
            <w:pPr>
              <w:pStyle w:val="TableText"/>
            </w:pPr>
            <w:r>
              <w:t>Even q90 is below zero; all scenarios forecast underperformance</w:t>
            </w:r>
          </w:p>
        </w:tc>
      </w:tr>
      <w:tr>
        <w:trPr>
          <w:cantSplit/>
        </w:trPr>
        <w:tc>
          <w:tcPr>
            <w:tcW w:w="2200" w:type="dxa"/>
            <w:vAlign w:val="center"/>
          </w:tcPr>
          <w:p>
            <w:pPr>
              <w:pStyle w:val="TableText"/>
            </w:pPr>
            <w:r>
              <w:t>Highly volatile meme stock</w:t>
            </w:r>
          </w:p>
        </w:tc>
        <w:tc>
          <w:tcPr>
            <w:tcW w:w="2250" w:type="dxa"/>
            <w:vAlign w:val="center"/>
          </w:tcPr>
          <w:p>
            <w:pPr>
              <w:pStyle w:val="TableText"/>
            </w:pPr>
            <w:r>
              <w:t>-0.08 / -0.01 / +0.25</w:t>
            </w:r>
          </w:p>
        </w:tc>
        <w:tc>
          <w:tcPr>
            <w:tcW w:w="4910" w:type="dxa"/>
            <w:vAlign w:val="center"/>
          </w:tcPr>
          <w:p>
            <w:pPr>
              <w:pStyle w:val="TableText"/>
            </w:pPr>
            <w:r>
              <w:t>Middle is near flat but the optimistic tail is large; not a 25% rise probability</w:t>
            </w:r>
          </w:p>
        </w:tc>
      </w:tr>
      <w:tr>
        <w:trPr>
          <w:cantSplit/>
        </w:trPr>
        <w:tc>
          <w:tcPr>
            <w:tcW w:w="2200" w:type="dxa"/>
            <w:vAlign w:val="center"/>
          </w:tcPr>
          <w:p>
            <w:pPr>
              <w:pStyle w:val="TableText"/>
            </w:pPr>
            <w:r>
              <w:t>Bullish middle with downside risk</w:t>
            </w:r>
          </w:p>
        </w:tc>
        <w:tc>
          <w:tcPr>
            <w:tcW w:w="2250" w:type="dxa"/>
            <w:vAlign w:val="center"/>
          </w:tcPr>
          <w:p>
            <w:pPr>
              <w:pStyle w:val="TableText"/>
            </w:pPr>
            <w:r>
              <w:t>-0.04 / +0.03 / +0.10</w:t>
            </w:r>
          </w:p>
        </w:tc>
        <w:tc>
          <w:tcPr>
            <w:tcW w:w="4910" w:type="dxa"/>
            <w:vAlign w:val="center"/>
          </w:tcPr>
          <w:p>
            <w:pPr>
              <w:pStyle w:val="TableText"/>
            </w:pPr>
            <w:r>
              <w:t>q50 is positive while q10 is negative; downside remains possible</w:t>
            </w:r>
          </w:p>
        </w:tc>
      </w:tr>
    </w:tbl>
    <w:p>
      <w:pPr>
        <w:pStyle w:val="Note"/>
        <w:spacing w:before="160"/>
      </w:pPr>
      <w:r>
        <w:t>The signs describe direction versus the benchmark, while the distances describe dispersion. The values are not prices, valuation estimates, or probabilities of three mutually exclusive events.</w:t>
      </w:r>
    </w:p>
    <w:p>
      <w:pPr>
        <w:pStyle w:val="21"/>
      </w:pPr>
      <w:r>
        <w:t>3.3 Output constraints and compatibility field</w:t>
      </w:r>
    </w:p>
    <w:p>
      <w:pPr>
        <w:pStyle w:val="Lead"/>
      </w:pPr>
      <w:r>
        <w:t>The alpha head first produces q50, then constructs q10=q50-lower_gap and q90=q50+upper_gap from positive distances, so q10≤q50≤q90. Bullish, bearish, and strong signals are post-processing labels, not classifier outputs. forecast_horizon=5 and primary_5d are legacy-compatible field names; actual output is [batch,14,3], and the monitor aggregates days 1–14.</w:t>
      </w:r>
    </w:p>
    <w:p>
      <w:pPr>
        <w:pStyle w:val="11"/>
      </w:pPr>
      <w:r>
        <w:t>4. Training completion early stopping and checkpoint</w:t>
      </w:r>
    </w:p>
    <w:p>
      <w:pPr>
        <w:pStyle w:val="21"/>
      </w:pPr>
      <w:r>
        <w:t>4.1 Execution state</w:t>
      </w:r>
    </w:p>
    <w:p>
      <w:pPr>
        <w:pStyle w:val="Decision"/>
        <w:keepNext/>
        <w:spacing w:after="80"/>
      </w:pPr>
      <w:r>
        <w:t>Table 5 | Training summary</w:t>
      </w:r>
    </w:p>
    <w:tbl>
      <w:tblPr>
        <w:tblStyle w:val="BenchmarkTable"/>
        <w:tblW w:w="9360" w:type="dxa"/>
        <w:tblLayout w:type="fixed"/>
      </w:tblPr>
      <w:tblGrid>
        <w:gridCol w:w="3100"/>
        <w:gridCol w:w="6260"/>
      </w:tblGrid>
      <w:tr>
        <w:trPr>
          <w:tblHeader/>
        </w:trPr>
        <w:tc>
          <w:tcPr>
            <w:tcW w:w="3100" w:type="dxa"/>
            <w:shd w:val="clear" w:fill="DCE6F1"/>
            <w:vAlign w:val="center"/>
          </w:tcPr>
          <w:p>
            <w:pPr>
              <w:pStyle w:val="TableHeader"/>
            </w:pPr>
            <w:r>
              <w:t>Item</w:t>
            </w:r>
          </w:p>
        </w:tc>
        <w:tc>
          <w:tcPr>
            <w:tcW w:w="6260" w:type="dxa"/>
            <w:shd w:val="clear" w:fill="DCE6F1"/>
            <w:vAlign w:val="center"/>
          </w:tcPr>
          <w:p>
            <w:pPr>
              <w:pStyle w:val="TableHeader"/>
            </w:pPr>
            <w:r>
              <w:t>Result</w:t>
            </w:r>
          </w:p>
        </w:tc>
      </w:tr>
      <w:tr>
        <w:trPr>
          <w:cantSplit/>
        </w:trPr>
        <w:tc>
          <w:tcPr>
            <w:tcW w:w="3100" w:type="dxa"/>
            <w:vAlign w:val="center"/>
          </w:tcPr>
          <w:p>
            <w:pPr>
              <w:pStyle w:val="TableText"/>
            </w:pPr>
            <w:r>
              <w:t>Completion evidence</w:t>
            </w:r>
          </w:p>
        </w:tc>
        <w:tc>
          <w:tcPr>
            <w:tcW w:w="6260" w:type="dxa"/>
            <w:vAlign w:val="center"/>
          </w:tcPr>
          <w:p>
            <w:pPr>
              <w:pStyle w:val="TableText"/>
            </w:pPr>
            <w:r>
              <w:t>training_completed=true; training and validation lifecycle are ready; test evaluation state is ready</w:t>
            </w:r>
          </w:p>
        </w:tc>
      </w:tr>
      <w:tr>
        <w:trPr>
          <w:cantSplit/>
        </w:trPr>
        <w:tc>
          <w:tcPr>
            <w:tcW w:w="3100" w:type="dxa"/>
            <w:vAlign w:val="center"/>
          </w:tcPr>
          <w:p>
            <w:pPr>
              <w:pStyle w:val="TableText"/>
            </w:pPr>
            <w:r>
              <w:t>Lifecycle state</w:t>
            </w:r>
          </w:p>
        </w:tc>
        <w:tc>
          <w:tcPr>
            <w:tcW w:w="6260" w:type="dxa"/>
            <w:vAlign w:val="center"/>
          </w:tcPr>
          <w:p>
            <w:pPr>
              <w:pStyle w:val="TableText"/>
            </w:pPr>
            <w:r>
              <w:t>training exit code 0; validation exit code 0; neither timed out</w:t>
            </w:r>
          </w:p>
        </w:tc>
      </w:tr>
      <w:tr>
        <w:trPr>
          <w:cantSplit/>
        </w:trPr>
        <w:tc>
          <w:tcPr>
            <w:tcW w:w="3100" w:type="dxa"/>
            <w:vAlign w:val="center"/>
          </w:tcPr>
          <w:p>
            <w:pPr>
              <w:pStyle w:val="TableText"/>
            </w:pPr>
            <w:r>
              <w:t>Epochs and global step</w:t>
            </w:r>
          </w:p>
        </w:tc>
        <w:tc>
          <w:tcPr>
            <w:tcW w:w="6260" w:type="dxa"/>
            <w:vAlign w:val="center"/>
          </w:tcPr>
          <w:p>
            <w:pPr>
              <w:pStyle w:val="TableText"/>
            </w:pPr>
            <w:r>
              <w:t>1 completed epochs; stopped at step 33,119</w:t>
            </w:r>
          </w:p>
        </w:tc>
      </w:tr>
      <w:tr>
        <w:trPr>
          <w:cantSplit/>
        </w:trPr>
        <w:tc>
          <w:tcPr>
            <w:tcW w:w="3100" w:type="dxa"/>
            <w:vAlign w:val="center"/>
          </w:tcPr>
          <w:p>
            <w:pPr>
              <w:pStyle w:val="TableText"/>
            </w:pPr>
            <w:r>
              <w:t>Processed training samples</w:t>
            </w:r>
          </w:p>
        </w:tc>
        <w:tc>
          <w:tcPr>
            <w:tcW w:w="6260" w:type="dxa"/>
            <w:vAlign w:val="center"/>
          </w:tcPr>
          <w:p>
            <w:pPr>
              <w:pStyle w:val="TableText"/>
            </w:pPr>
            <w:r>
              <w:t>8,478,464 / 23,550,585 (36.00%)</w:t>
            </w:r>
          </w:p>
        </w:tc>
      </w:tr>
      <w:tr>
        <w:trPr>
          <w:cantSplit/>
        </w:trPr>
        <w:tc>
          <w:tcPr>
            <w:tcW w:w="3100" w:type="dxa"/>
            <w:vAlign w:val="center"/>
          </w:tcPr>
          <w:p>
            <w:pPr>
              <w:pStyle w:val="TableText"/>
            </w:pPr>
            <w:r>
              <w:t>Validation evaluations</w:t>
            </w:r>
          </w:p>
        </w:tc>
        <w:tc>
          <w:tcPr>
            <w:tcW w:w="6260" w:type="dxa"/>
            <w:vAlign w:val="center"/>
          </w:tcPr>
          <w:p>
            <w:pPr>
              <w:pStyle w:val="TableText"/>
            </w:pPr>
            <w:r>
              <w:t>9</w:t>
            </w:r>
          </w:p>
        </w:tc>
      </w:tr>
      <w:tr>
        <w:trPr>
          <w:cantSplit/>
        </w:trPr>
        <w:tc>
          <w:tcPr>
            <w:tcW w:w="3100" w:type="dxa"/>
            <w:vAlign w:val="center"/>
          </w:tcPr>
          <w:p>
            <w:pPr>
              <w:pStyle w:val="TableText"/>
            </w:pPr>
            <w:r>
              <w:t>Stop reason</w:t>
            </w:r>
          </w:p>
        </w:tc>
        <w:tc>
          <w:tcPr>
            <w:tcW w:w="6260" w:type="dxa"/>
            <w:vAlign w:val="center"/>
          </w:tcPr>
          <w:p>
            <w:pPr>
              <w:pStyle w:val="TableText"/>
            </w:pPr>
            <w:r>
              <w:t>early stopping after 6 stale evaluations</w:t>
            </w:r>
          </w:p>
        </w:tc>
      </w:tr>
      <w:tr>
        <w:trPr>
          <w:cantSplit/>
        </w:trPr>
        <w:tc>
          <w:tcPr>
            <w:tcW w:w="3100" w:type="dxa"/>
            <w:vAlign w:val="center"/>
          </w:tcPr>
          <w:p>
            <w:pPr>
              <w:pStyle w:val="TableText"/>
            </w:pPr>
            <w:r>
              <w:t>Best and final validation monitor</w:t>
            </w:r>
          </w:p>
        </w:tc>
        <w:tc>
          <w:tcPr>
            <w:tcW w:w="6260" w:type="dxa"/>
            <w:vAlign w:val="center"/>
          </w:tcPr>
          <w:p>
            <w:pPr>
              <w:pStyle w:val="TableText"/>
            </w:pPr>
            <w:r>
              <w:t>0.262906 / 0.266378</w:t>
            </w:r>
          </w:p>
        </w:tc>
      </w:tr>
      <w:tr>
        <w:trPr>
          <w:cantSplit/>
        </w:trPr>
        <w:tc>
          <w:tcPr>
            <w:tcW w:w="3100" w:type="dxa"/>
            <w:vAlign w:val="center"/>
          </w:tcPr>
          <w:p>
            <w:pPr>
              <w:pStyle w:val="TableText"/>
            </w:pPr>
            <w:r>
              <w:t>Model</w:t>
            </w:r>
          </w:p>
        </w:tc>
        <w:tc>
          <w:tcPr>
            <w:tcW w:w="6260" w:type="dxa"/>
            <w:vAlign w:val="center"/>
          </w:tcPr>
          <w:p>
            <w:pPr>
              <w:pStyle w:val="TableText"/>
            </w:pPr>
            <w:r>
              <w:t>Kronos-base + LoRA rank 32 / alpha 64; unfreeze last 2 Transformer blocks; ranking loss weight 0.05</w:t>
            </w:r>
          </w:p>
        </w:tc>
      </w:tr>
      <w:tr>
        <w:trPr>
          <w:cantSplit/>
        </w:trPr>
        <w:tc>
          <w:tcPr>
            <w:tcW w:w="3100" w:type="dxa"/>
            <w:vAlign w:val="center"/>
          </w:tcPr>
          <w:p>
            <w:pPr>
              <w:pStyle w:val="TableText"/>
            </w:pPr>
            <w:r>
              <w:t>Training hardware and precision</w:t>
            </w:r>
          </w:p>
        </w:tc>
        <w:tc>
          <w:tcPr>
            <w:tcW w:w="6260" w:type="dxa"/>
            <w:vAlign w:val="center"/>
          </w:tcPr>
          <w:p>
            <w:pPr>
              <w:pStyle w:val="TableText"/>
            </w:pPr>
            <w:r>
              <w:t>NVIDIA GeForce RTX 5090; bfloat16</w:t>
            </w:r>
          </w:p>
        </w:tc>
      </w:tr>
      <w:tr>
        <w:trPr>
          <w:cantSplit/>
        </w:trPr>
        <w:tc>
          <w:tcPr>
            <w:tcW w:w="3100" w:type="dxa"/>
            <w:vAlign w:val="center"/>
          </w:tcPr>
          <w:p>
            <w:pPr>
              <w:pStyle w:val="TableText"/>
            </w:pPr>
            <w:r>
              <w:t>Inference execution</w:t>
            </w:r>
          </w:p>
        </w:tc>
        <w:tc>
          <w:tcPr>
            <w:tcW w:w="6260" w:type="dxa"/>
            <w:vAlign w:val="center"/>
          </w:tcPr>
          <w:p>
            <w:pPr>
              <w:pStyle w:val="TableText"/>
            </w:pPr>
            <w:r>
              <w:t>534,327 samples; 1239.7 samples/s; 11 workers</w:t>
            </w:r>
          </w:p>
        </w:tc>
      </w:tr>
    </w:tbl>
    <w:p>
      <w:pPr>
        <w:pStyle w:val="21"/>
        <w:spacing w:before="160"/>
      </w:pPr>
      <w:r>
        <w:t>4.2 Checkpoint ranking</w:t>
      </w:r>
    </w:p>
    <w:tbl>
      <w:tblPr>
        <w:tblStyle w:val="BenchmarkTable"/>
        <w:tblW w:w="9360" w:type="dxa"/>
        <w:tblLayout w:type="fixed"/>
      </w:tblPr>
      <w:tblGrid>
        <w:gridCol w:w="900"/>
        <w:gridCol w:w="3100"/>
        <w:gridCol w:w="1800"/>
        <w:gridCol w:w="3560"/>
      </w:tblGrid>
      <w:tr>
        <w:trPr>
          <w:tblHeader/>
        </w:trPr>
        <w:tc>
          <w:tcPr>
            <w:tcW w:w="900" w:type="dxa"/>
            <w:shd w:val="clear" w:fill="DCE6F1"/>
            <w:vAlign w:val="center"/>
          </w:tcPr>
          <w:p>
            <w:pPr>
              <w:pStyle w:val="TableHeader"/>
            </w:pPr>
            <w:r>
              <w:t>Rank</w:t>
            </w:r>
          </w:p>
        </w:tc>
        <w:tc>
          <w:tcPr>
            <w:tcW w:w="3100" w:type="dxa"/>
            <w:shd w:val="clear" w:fill="DCE6F1"/>
            <w:vAlign w:val="center"/>
          </w:tcPr>
          <w:p>
            <w:pPr>
              <w:pStyle w:val="TableHeader"/>
            </w:pPr>
            <w:r>
              <w:t>Checkpoint</w:t>
            </w:r>
          </w:p>
        </w:tc>
        <w:tc>
          <w:tcPr>
            <w:tcW w:w="1800" w:type="dxa"/>
            <w:shd w:val="clear" w:fill="DCE6F1"/>
            <w:vAlign w:val="center"/>
          </w:tcPr>
          <w:p>
            <w:pPr>
              <w:pStyle w:val="TableHeader"/>
            </w:pPr>
            <w:r>
              <w:t>Step</w:t>
            </w:r>
          </w:p>
        </w:tc>
        <w:tc>
          <w:tcPr>
            <w:tcW w:w="3560" w:type="dxa"/>
            <w:shd w:val="clear" w:fill="DCE6F1"/>
            <w:vAlign w:val="center"/>
          </w:tcPr>
          <w:p>
            <w:pPr>
              <w:pStyle w:val="TableHeader"/>
            </w:pPr>
            <w:r>
              <w:t>14-horizon score</w:t>
            </w:r>
          </w:p>
        </w:tc>
      </w:tr>
      <w:tr>
        <w:trPr>
          <w:cantSplit/>
        </w:trPr>
        <w:tc>
          <w:tcPr>
            <w:tcW w:w="900" w:type="dxa"/>
            <w:shd w:val="clear" w:fill="EDF5FC"/>
            <w:vAlign w:val="center"/>
          </w:tcPr>
          <w:p>
            <w:pPr>
              <w:pStyle w:val="TableNumber"/>
            </w:pPr>
            <w:r>
              <w:t>1</w:t>
            </w:r>
          </w:p>
        </w:tc>
        <w:tc>
          <w:tcPr>
            <w:tcW w:w="3100" w:type="dxa"/>
            <w:shd w:val="clear" w:fill="EDF5FC"/>
            <w:vAlign w:val="center"/>
          </w:tcPr>
          <w:p>
            <w:pPr>
              <w:pStyle w:val="TableText"/>
            </w:pPr>
            <w:r>
              <w:t>checkpoint-011040</w:t>
            </w:r>
          </w:p>
        </w:tc>
        <w:tc>
          <w:tcPr>
            <w:tcW w:w="1800" w:type="dxa"/>
            <w:shd w:val="clear" w:fill="EDF5FC"/>
            <w:vAlign w:val="center"/>
          </w:tcPr>
          <w:p>
            <w:pPr>
              <w:pStyle w:val="TableNumber"/>
            </w:pPr>
            <w:r>
              <w:t>11,040</w:t>
            </w:r>
          </w:p>
        </w:tc>
        <w:tc>
          <w:tcPr>
            <w:tcW w:w="3560" w:type="dxa"/>
            <w:shd w:val="clear" w:fill="EDF5FC"/>
            <w:vAlign w:val="center"/>
          </w:tcPr>
          <w:p>
            <w:pPr>
              <w:pStyle w:val="TableNumber"/>
            </w:pPr>
            <w:r>
              <w:t>0.262906</w:t>
            </w:r>
          </w:p>
        </w:tc>
      </w:tr>
      <w:tr>
        <w:trPr>
          <w:cantSplit/>
        </w:trPr>
        <w:tc>
          <w:tcPr>
            <w:tcW w:w="900" w:type="dxa"/>
            <w:vAlign w:val="center"/>
          </w:tcPr>
          <w:p>
            <w:pPr>
              <w:pStyle w:val="TableNumber"/>
            </w:pPr>
            <w:r>
              <w:t>2</w:t>
            </w:r>
          </w:p>
        </w:tc>
        <w:tc>
          <w:tcPr>
            <w:tcW w:w="3100" w:type="dxa"/>
            <w:vAlign w:val="center"/>
          </w:tcPr>
          <w:p>
            <w:pPr>
              <w:pStyle w:val="TableText"/>
            </w:pPr>
            <w:r>
              <w:t>checkpoint-014720</w:t>
            </w:r>
          </w:p>
        </w:tc>
        <w:tc>
          <w:tcPr>
            <w:tcW w:w="1800" w:type="dxa"/>
            <w:vAlign w:val="center"/>
          </w:tcPr>
          <w:p>
            <w:pPr>
              <w:pStyle w:val="TableNumber"/>
            </w:pPr>
            <w:r>
              <w:t>14,720</w:t>
            </w:r>
          </w:p>
        </w:tc>
        <w:tc>
          <w:tcPr>
            <w:tcW w:w="3560" w:type="dxa"/>
            <w:vAlign w:val="center"/>
          </w:tcPr>
          <w:p>
            <w:pPr>
              <w:pStyle w:val="TableNumber"/>
            </w:pPr>
            <w:r>
              <w:t>0.262972</w:t>
            </w:r>
          </w:p>
        </w:tc>
      </w:tr>
      <w:tr>
        <w:trPr>
          <w:cantSplit/>
        </w:trPr>
        <w:tc>
          <w:tcPr>
            <w:tcW w:w="900" w:type="dxa"/>
            <w:vAlign w:val="center"/>
          </w:tcPr>
          <w:p>
            <w:pPr>
              <w:pStyle w:val="TableNumber"/>
            </w:pPr>
            <w:r>
              <w:t>3</w:t>
            </w:r>
          </w:p>
        </w:tc>
        <w:tc>
          <w:tcPr>
            <w:tcW w:w="3100" w:type="dxa"/>
            <w:vAlign w:val="center"/>
          </w:tcPr>
          <w:p>
            <w:pPr>
              <w:pStyle w:val="TableText"/>
            </w:pPr>
            <w:r>
              <w:t>checkpoint-007360</w:t>
            </w:r>
          </w:p>
        </w:tc>
        <w:tc>
          <w:tcPr>
            <w:tcW w:w="1800" w:type="dxa"/>
            <w:vAlign w:val="center"/>
          </w:tcPr>
          <w:p>
            <w:pPr>
              <w:pStyle w:val="TableNumber"/>
            </w:pPr>
            <w:r>
              <w:t>7,360</w:t>
            </w:r>
          </w:p>
        </w:tc>
        <w:tc>
          <w:tcPr>
            <w:tcW w:w="3560" w:type="dxa"/>
            <w:vAlign w:val="center"/>
          </w:tcPr>
          <w:p>
            <w:pPr>
              <w:pStyle w:val="TableNumber"/>
            </w:pPr>
            <w:r>
              <w:t>0.263174</w:t>
            </w:r>
          </w:p>
        </w:tc>
      </w:tr>
      <w:tr>
        <w:trPr>
          <w:cantSplit/>
        </w:trPr>
        <w:tc>
          <w:tcPr>
            <w:tcW w:w="900" w:type="dxa"/>
            <w:vAlign w:val="center"/>
          </w:tcPr>
          <w:p>
            <w:pPr>
              <w:pStyle w:val="TableNumber"/>
            </w:pPr>
            <w:r>
              <w:t>4</w:t>
            </w:r>
          </w:p>
        </w:tc>
        <w:tc>
          <w:tcPr>
            <w:tcW w:w="3100" w:type="dxa"/>
            <w:vAlign w:val="center"/>
          </w:tcPr>
          <w:p>
            <w:pPr>
              <w:pStyle w:val="TableText"/>
            </w:pPr>
            <w:r>
              <w:t>checkpoint-018399</w:t>
            </w:r>
          </w:p>
        </w:tc>
        <w:tc>
          <w:tcPr>
            <w:tcW w:w="1800" w:type="dxa"/>
            <w:vAlign w:val="center"/>
          </w:tcPr>
          <w:p>
            <w:pPr>
              <w:pStyle w:val="TableNumber"/>
            </w:pPr>
            <w:r>
              <w:t>18,399</w:t>
            </w:r>
          </w:p>
        </w:tc>
        <w:tc>
          <w:tcPr>
            <w:tcW w:w="3560" w:type="dxa"/>
            <w:vAlign w:val="center"/>
          </w:tcPr>
          <w:p>
            <w:pPr>
              <w:pStyle w:val="TableNumber"/>
            </w:pPr>
            <w:r>
              <w:t>0.263823</w:t>
            </w:r>
          </w:p>
        </w:tc>
      </w:tr>
      <w:tr>
        <w:trPr>
          <w:cantSplit/>
        </w:trPr>
        <w:tc>
          <w:tcPr>
            <w:tcW w:w="900" w:type="dxa"/>
            <w:vAlign w:val="center"/>
          </w:tcPr>
          <w:p>
            <w:pPr>
              <w:pStyle w:val="TableNumber"/>
            </w:pPr>
            <w:r>
              <w:t>5</w:t>
            </w:r>
          </w:p>
        </w:tc>
        <w:tc>
          <w:tcPr>
            <w:tcW w:w="3100" w:type="dxa"/>
            <w:vAlign w:val="center"/>
          </w:tcPr>
          <w:p>
            <w:pPr>
              <w:pStyle w:val="TableText"/>
            </w:pPr>
            <w:r>
              <w:t>checkpoint-003680</w:t>
            </w:r>
          </w:p>
        </w:tc>
        <w:tc>
          <w:tcPr>
            <w:tcW w:w="1800" w:type="dxa"/>
            <w:vAlign w:val="center"/>
          </w:tcPr>
          <w:p>
            <w:pPr>
              <w:pStyle w:val="TableNumber"/>
            </w:pPr>
            <w:r>
              <w:t>3,680</w:t>
            </w:r>
          </w:p>
        </w:tc>
        <w:tc>
          <w:tcPr>
            <w:tcW w:w="3560" w:type="dxa"/>
            <w:vAlign w:val="center"/>
          </w:tcPr>
          <w:p>
            <w:pPr>
              <w:pStyle w:val="TableNumber"/>
            </w:pPr>
            <w:r>
              <w:t>0.264334</w:t>
            </w:r>
          </w:p>
        </w:tc>
      </w:tr>
    </w:tbl>
    <w:p>
      <w:pPr>
        <w:pStyle w:val="a"/>
        <w:spacing w:before="160"/>
      </w:pPr>
      <w:r>
        <w:t xml:space="preserve">Best checkpoint-011040 occurs at validation/checkpoint evaluation number 3, global step 11,040, approximately 0.6000 epoch. Raw validation monitor is 0.262906; raw test score is 0.293823. Retained top-five rank is not chronology. Calibration is fitted after selection; calibrated test results must not retrospectively select checkpoints.</w:t>
      </w:r>
    </w:p>
    <w:p>
      <w:pPr>
        <w:pStyle w:val="11"/>
      </w:pPr>
      <w:r>
        <w:t>5. All-horizon comparison of thirteen models</w:t>
      </w:r>
    </w:p>
    <w:p>
      <w:pPr>
        <w:pStyle w:val="Decision"/>
        <w:keepNext/>
        <w:spacing w:after="80"/>
      </w:pPr>
      <w:r>
        <w:t>Table 6 | Top six distribution forecasts</w:t>
      </w:r>
    </w:p>
    <w:tbl>
      <w:tblPr>
        <w:tblStyle w:val="BenchmarkTable"/>
        <w:tblW w:w="9360" w:type="dxa"/>
        <w:tblLayout w:type="fixed"/>
      </w:tblPr>
      <w:tblGrid>
        <w:gridCol w:w="650"/>
        <w:gridCol w:w="2800"/>
        <w:gridCol w:w="1900"/>
        <w:gridCol w:w="1330"/>
        <w:gridCol w:w="1330"/>
        <w:gridCol w:w="1350"/>
      </w:tblGrid>
      <w:tr>
        <w:trPr>
          <w:tblHeader/>
        </w:trPr>
        <w:tc>
          <w:tcPr>
            <w:tcW w:w="650" w:type="dxa"/>
            <w:shd w:val="clear" w:fill="DCE6F1"/>
            <w:vAlign w:val="center"/>
          </w:tcPr>
          <w:p>
            <w:pPr>
              <w:pStyle w:val="TableHeader"/>
            </w:pPr>
            <w:r>
              <w:t>Rank</w:t>
            </w:r>
          </w:p>
        </w:tc>
        <w:tc>
          <w:tcPr>
            <w:tcW w:w="2800" w:type="dxa"/>
            <w:shd w:val="clear" w:fill="DCE6F1"/>
            <w:vAlign w:val="center"/>
          </w:tcPr>
          <w:p>
            <w:pPr>
              <w:pStyle w:val="TableHeader"/>
            </w:pPr>
            <w:r>
              <w:t>Model</w:t>
            </w:r>
          </w:p>
        </w:tc>
        <w:tc>
          <w:tcPr>
            <w:tcW w:w="1900" w:type="dxa"/>
            <w:shd w:val="clear" w:fill="DCE6F1"/>
            <w:vAlign w:val="center"/>
          </w:tcPr>
          <w:p>
            <w:pPr>
              <w:pStyle w:val="TableHeader"/>
            </w:pPr>
            <w:r>
              <w:t>Days 1–14 score</w:t>
            </w:r>
          </w:p>
        </w:tc>
        <w:tc>
          <w:tcPr>
            <w:tcW w:w="1330" w:type="dxa"/>
            <w:shd w:val="clear" w:fill="DCE6F1"/>
            <w:vAlign w:val="center"/>
          </w:tcPr>
          <w:p>
            <w:pPr>
              <w:pStyle w:val="TableHeader"/>
            </w:pPr>
            <w:r>
              <w:t xml:space="preserve">14H Coverage</w:t>
            </w:r>
          </w:p>
        </w:tc>
        <w:tc>
          <w:tcPr>
            <w:tcW w:w="1330" w:type="dxa"/>
            <w:shd w:val="clear" w:fill="DCE6F1"/>
            <w:vAlign w:val="center"/>
          </w:tcPr>
          <w:p>
            <w:pPr>
              <w:pStyle w:val="TableHeader"/>
            </w:pPr>
            <w:r>
              <w:t xml:space="preserve">14H mean q50 corr.</w:t>
            </w:r>
          </w:p>
        </w:tc>
        <w:tc>
          <w:tcPr>
            <w:tcW w:w="1350" w:type="dxa"/>
            <w:shd w:val="clear" w:fill="DCE6F1"/>
            <w:vAlign w:val="center"/>
          </w:tcPr>
          <w:p>
            <w:pPr>
              <w:pStyle w:val="TableHeader"/>
            </w:pPr>
            <w:r>
              <w:t xml:space="preserve">5d legacy Sharpe</w:t>
            </w:r>
          </w:p>
        </w:tc>
      </w:tr>
      <w:tr>
        <w:trPr>
          <w:cantSplit/>
        </w:trPr>
        <w:tc>
          <w:tcPr>
            <w:tcW w:w="650" w:type="dxa"/>
            <w:shd w:val="clear" w:fill="EDF5FC"/>
            <w:vAlign w:val="center"/>
          </w:tcPr>
          <w:p>
            <w:pPr>
              <w:pStyle w:val="TableNumber"/>
            </w:pPr>
            <w:r>
              <w:t>1</w:t>
            </w:r>
          </w:p>
        </w:tc>
        <w:tc>
          <w:tcPr>
            <w:tcW w:w="2800" w:type="dxa"/>
            <w:shd w:val="clear" w:fill="EDF5FC"/>
            <w:vAlign w:val="center"/>
          </w:tcPr>
          <w:p>
            <w:pPr>
              <w:pStyle w:val="TableText"/>
            </w:pPr>
            <w:r>
              <w:t>Compact PatchTST</w:t>
            </w:r>
          </w:p>
        </w:tc>
        <w:tc>
          <w:tcPr>
            <w:tcW w:w="1900" w:type="dxa"/>
            <w:shd w:val="clear" w:fill="EDF5FC"/>
            <w:vAlign w:val="center"/>
          </w:tcPr>
          <w:p>
            <w:pPr>
              <w:pStyle w:val="TableNumber"/>
            </w:pPr>
            <w:r>
              <w:t>0.293639</w:t>
            </w:r>
          </w:p>
        </w:tc>
        <w:tc>
          <w:tcPr>
            <w:tcW w:w="1330" w:type="dxa"/>
            <w:shd w:val="clear" w:fill="EDF5FC"/>
            <w:vAlign w:val="center"/>
          </w:tcPr>
          <w:p>
            <w:pPr>
              <w:pStyle w:val="TableNumber"/>
            </w:pPr>
            <w:r>
              <w:t xml:space="preserve">77.33%</w:t>
            </w:r>
          </w:p>
        </w:tc>
        <w:tc>
          <w:tcPr>
            <w:tcW w:w="1330" w:type="dxa"/>
            <w:shd w:val="clear" w:fill="EDF5FC"/>
            <w:vAlign w:val="center"/>
          </w:tcPr>
          <w:p>
            <w:pPr>
              <w:pStyle w:val="TableNumber"/>
            </w:pPr>
            <w:r>
              <w:t xml:space="preserve">0.0858</w:t>
            </w:r>
          </w:p>
        </w:tc>
        <w:tc>
          <w:tcPr>
            <w:tcW w:w="1350" w:type="dxa"/>
            <w:shd w:val="clear" w:fill="EDF5FC"/>
            <w:vAlign w:val="center"/>
          </w:tcPr>
          <w:p>
            <w:pPr>
              <w:pStyle w:val="TableNumber"/>
            </w:pPr>
            <w:r>
              <w:t>2.045</w:t>
            </w:r>
          </w:p>
        </w:tc>
      </w:tr>
      <w:tr>
        <w:trPr>
          <w:cantSplit/>
        </w:trPr>
        <w:tc>
          <w:tcPr>
            <w:tcW w:w="650" w:type="dxa"/>
            <w:vAlign w:val="center"/>
          </w:tcPr>
          <w:p>
            <w:pPr>
              <w:pStyle w:val="TableNumber"/>
            </w:pPr>
            <w:r>
              <w:t>2</w:t>
            </w:r>
          </w:p>
        </w:tc>
        <w:tc>
          <w:tcPr>
            <w:tcW w:w="2800" w:type="dxa"/>
            <w:vAlign w:val="center"/>
          </w:tcPr>
          <w:p>
            <w:pPr>
              <w:pStyle w:val="TableText"/>
            </w:pPr>
            <w:r>
              <w:t>Kronos-base + LoRA</w:t>
            </w:r>
          </w:p>
        </w:tc>
        <w:tc>
          <w:tcPr>
            <w:tcW w:w="1900" w:type="dxa"/>
            <w:vAlign w:val="center"/>
          </w:tcPr>
          <w:p>
            <w:pPr>
              <w:pStyle w:val="TableNumber"/>
            </w:pPr>
            <w:r>
              <w:t>0.293823</w:t>
            </w:r>
          </w:p>
        </w:tc>
        <w:tc>
          <w:tcPr>
            <w:tcW w:w="1330" w:type="dxa"/>
            <w:vAlign w:val="center"/>
          </w:tcPr>
          <w:p>
            <w:pPr>
              <w:pStyle w:val="TableNumber"/>
            </w:pPr>
            <w:r>
              <w:t xml:space="preserve">75.80%</w:t>
            </w:r>
          </w:p>
        </w:tc>
        <w:tc>
          <w:tcPr>
            <w:tcW w:w="1330" w:type="dxa"/>
            <w:vAlign w:val="center"/>
          </w:tcPr>
          <w:p>
            <w:pPr>
              <w:pStyle w:val="TableNumber"/>
            </w:pPr>
            <w:r>
              <w:t xml:space="preserve">0.0979</w:t>
            </w:r>
          </w:p>
        </w:tc>
        <w:tc>
          <w:tcPr>
            <w:tcW w:w="1350" w:type="dxa"/>
            <w:vAlign w:val="center"/>
          </w:tcPr>
          <w:p>
            <w:pPr>
              <w:pStyle w:val="TableNumber"/>
            </w:pPr>
            <w:r>
              <w:t>2.674</w:t>
            </w:r>
          </w:p>
        </w:tc>
      </w:tr>
      <w:tr>
        <w:trPr>
          <w:cantSplit/>
        </w:trPr>
        <w:tc>
          <w:tcPr>
            <w:tcW w:w="650" w:type="dxa"/>
            <w:vAlign w:val="center"/>
          </w:tcPr>
          <w:p>
            <w:pPr>
              <w:pStyle w:val="TableNumber"/>
            </w:pPr>
            <w:r>
              <w:t>3</w:t>
            </w:r>
          </w:p>
        </w:tc>
        <w:tc>
          <w:tcPr>
            <w:tcW w:w="2800" w:type="dxa"/>
            <w:vAlign w:val="center"/>
          </w:tcPr>
          <w:p>
            <w:pPr>
              <w:pStyle w:val="TableText"/>
            </w:pPr>
            <w:r>
              <w:t>Paired GRU</w:t>
            </w:r>
          </w:p>
        </w:tc>
        <w:tc>
          <w:tcPr>
            <w:tcW w:w="1900" w:type="dxa"/>
            <w:vAlign w:val="center"/>
          </w:tcPr>
          <w:p>
            <w:pPr>
              <w:pStyle w:val="TableNumber"/>
            </w:pPr>
            <w:r>
              <w:t>0.293948</w:t>
            </w:r>
          </w:p>
        </w:tc>
        <w:tc>
          <w:tcPr>
            <w:tcW w:w="1330" w:type="dxa"/>
            <w:vAlign w:val="center"/>
          </w:tcPr>
          <w:p>
            <w:pPr>
              <w:pStyle w:val="TableNumber"/>
            </w:pPr>
            <w:r>
              <w:t xml:space="preserve">75.40%</w:t>
            </w:r>
          </w:p>
        </w:tc>
        <w:tc>
          <w:tcPr>
            <w:tcW w:w="1330" w:type="dxa"/>
            <w:vAlign w:val="center"/>
          </w:tcPr>
          <w:p>
            <w:pPr>
              <w:pStyle w:val="TableNumber"/>
            </w:pPr>
            <w:r>
              <w:t xml:space="preserve">0.0950</w:t>
            </w:r>
          </w:p>
        </w:tc>
        <w:tc>
          <w:tcPr>
            <w:tcW w:w="1350" w:type="dxa"/>
            <w:vAlign w:val="center"/>
          </w:tcPr>
          <w:p>
            <w:pPr>
              <w:pStyle w:val="TableNumber"/>
            </w:pPr>
            <w:r>
              <w:t>1.831</w:t>
            </w:r>
          </w:p>
        </w:tc>
      </w:tr>
      <w:tr>
        <w:trPr>
          <w:cantSplit/>
        </w:trPr>
        <w:tc>
          <w:tcPr>
            <w:tcW w:w="650" w:type="dxa"/>
            <w:vAlign w:val="center"/>
          </w:tcPr>
          <w:p>
            <w:pPr>
              <w:pStyle w:val="TableNumber"/>
            </w:pPr>
            <w:r>
              <w:t>4</w:t>
            </w:r>
          </w:p>
        </w:tc>
        <w:tc>
          <w:tcPr>
            <w:tcW w:w="2800" w:type="dxa"/>
            <w:vAlign w:val="center"/>
          </w:tcPr>
          <w:p>
            <w:pPr>
              <w:pStyle w:val="TableText"/>
            </w:pPr>
            <w:r>
              <w:t>Quantile GBDT</w:t>
            </w:r>
          </w:p>
        </w:tc>
        <w:tc>
          <w:tcPr>
            <w:tcW w:w="1900" w:type="dxa"/>
            <w:vAlign w:val="center"/>
          </w:tcPr>
          <w:p>
            <w:pPr>
              <w:pStyle w:val="TableNumber"/>
            </w:pPr>
            <w:r>
              <w:t>0.294929</w:t>
            </w:r>
          </w:p>
        </w:tc>
        <w:tc>
          <w:tcPr>
            <w:tcW w:w="1330" w:type="dxa"/>
            <w:vAlign w:val="center"/>
          </w:tcPr>
          <w:p>
            <w:pPr>
              <w:pStyle w:val="TableNumber"/>
            </w:pPr>
            <w:r>
              <w:t xml:space="preserve">74.98%</w:t>
            </w:r>
          </w:p>
        </w:tc>
        <w:tc>
          <w:tcPr>
            <w:tcW w:w="1330" w:type="dxa"/>
            <w:vAlign w:val="center"/>
          </w:tcPr>
          <w:p>
            <w:pPr>
              <w:pStyle w:val="TableNumber"/>
            </w:pPr>
            <w:r>
              <w:t xml:space="preserve">0.0498</w:t>
            </w:r>
          </w:p>
        </w:tc>
        <w:tc>
          <w:tcPr>
            <w:tcW w:w="1350" w:type="dxa"/>
            <w:vAlign w:val="center"/>
          </w:tcPr>
          <w:p>
            <w:pPr>
              <w:pStyle w:val="TableNumber"/>
            </w:pPr>
            <w:r>
              <w:t>0.559</w:t>
            </w:r>
          </w:p>
        </w:tc>
      </w:tr>
      <w:tr>
        <w:trPr>
          <w:cantSplit/>
        </w:trPr>
        <w:tc>
          <w:tcPr>
            <w:tcW w:w="650" w:type="dxa"/>
            <w:vAlign w:val="center"/>
          </w:tcPr>
          <w:p>
            <w:pPr>
              <w:pStyle w:val="TableNumber"/>
            </w:pPr>
            <w:r>
              <w:t>5</w:t>
            </w:r>
          </w:p>
        </w:tc>
        <w:tc>
          <w:tcPr>
            <w:tcW w:w="2800" w:type="dxa"/>
            <w:vAlign w:val="center"/>
          </w:tcPr>
          <w:p>
            <w:pPr>
              <w:pStyle w:val="TableText"/>
            </w:pPr>
            <w:r>
              <w:t xml:space="preserve">always_buy</w:t>
              <w:br/>
              <w:t xml:space="preserve">Fixed training distribution</w:t>
            </w:r>
          </w:p>
        </w:tc>
        <w:tc>
          <w:tcPr>
            <w:tcW w:w="1900" w:type="dxa"/>
            <w:vAlign w:val="center"/>
          </w:tcPr>
          <w:p>
            <w:pPr>
              <w:pStyle w:val="TableNumber"/>
            </w:pPr>
            <w:r>
              <w:t>0.309493</w:t>
            </w:r>
          </w:p>
        </w:tc>
        <w:tc>
          <w:tcPr>
            <w:tcW w:w="1330" w:type="dxa"/>
            <w:vAlign w:val="center"/>
          </w:tcPr>
          <w:p>
            <w:pPr>
              <w:pStyle w:val="TableNumber"/>
            </w:pPr>
            <w:r>
              <w:t xml:space="preserve">75.08%</w:t>
            </w:r>
          </w:p>
        </w:tc>
        <w:tc>
          <w:tcPr>
            <w:tcW w:w="1330" w:type="dxa"/>
            <w:vAlign w:val="center"/>
          </w:tcPr>
          <w:p>
            <w:pPr>
              <w:pStyle w:val="TableNumber"/>
            </w:pPr>
            <w:r>
              <w:t xml:space="preserve">N/A fixed forecast</w:t>
            </w:r>
          </w:p>
        </w:tc>
        <w:tc>
          <w:tcPr>
            <w:tcW w:w="1350" w:type="dxa"/>
            <w:vAlign w:val="center"/>
          </w:tcPr>
          <w:p>
            <w:pPr>
              <w:pStyle w:val="TableNumber"/>
            </w:pPr>
            <w:r>
              <w:t>0.000</w:t>
            </w:r>
          </w:p>
        </w:tc>
      </w:tr>
      <w:tr>
        <w:trPr>
          <w:cantSplit/>
        </w:trPr>
        <w:tc>
          <w:tcPr>
            <w:tcW w:w="650" w:type="dxa"/>
            <w:vAlign w:val="center"/>
          </w:tcPr>
          <w:p>
            <w:pPr>
              <w:pStyle w:val="TableNumber"/>
            </w:pPr>
            <w:r>
              <w:t>6</w:t>
            </w:r>
          </w:p>
        </w:tc>
        <w:tc>
          <w:tcPr>
            <w:tcW w:w="2800" w:type="dxa"/>
            <w:vAlign w:val="center"/>
          </w:tcPr>
          <w:p>
            <w:pPr>
              <w:pStyle w:val="TableText"/>
            </w:pPr>
            <w:r>
              <w:t xml:space="preserve">zero_return</w:t>
              <w:br/>
              <w:t xml:space="preserve">Fixed training distribution</w:t>
            </w:r>
          </w:p>
        </w:tc>
        <w:tc>
          <w:tcPr>
            <w:tcW w:w="1900" w:type="dxa"/>
            <w:vAlign w:val="center"/>
          </w:tcPr>
          <w:p>
            <w:pPr>
              <w:pStyle w:val="TableNumber"/>
            </w:pPr>
            <w:r>
              <w:t>0.309493</w:t>
            </w:r>
          </w:p>
        </w:tc>
        <w:tc>
          <w:tcPr>
            <w:tcW w:w="1330" w:type="dxa"/>
            <w:vAlign w:val="center"/>
          </w:tcPr>
          <w:p>
            <w:pPr>
              <w:pStyle w:val="TableNumber"/>
            </w:pPr>
            <w:r>
              <w:t xml:space="preserve">75.08%</w:t>
            </w:r>
          </w:p>
        </w:tc>
        <w:tc>
          <w:tcPr>
            <w:tcW w:w="1330" w:type="dxa"/>
            <w:vAlign w:val="center"/>
          </w:tcPr>
          <w:p>
            <w:pPr>
              <w:pStyle w:val="TableNumber"/>
            </w:pPr>
            <w:r>
              <w:t xml:space="preserve">N/A fixed forecast</w:t>
            </w:r>
          </w:p>
        </w:tc>
        <w:tc>
          <w:tcPr>
            <w:tcW w:w="1350" w:type="dxa"/>
            <w:vAlign w:val="center"/>
          </w:tcPr>
          <w:p>
            <w:pPr>
              <w:pStyle w:val="TableNumber"/>
            </w:pPr>
            <w:r>
              <w:t>0.000</w:t>
            </w:r>
          </w:p>
        </w:tc>
      </w:tr>
    </w:tbl>
    <w:p>
      <w:pPr>
        <w:pStyle w:val="a"/>
        <w:spacing w:before="160"/>
      </w:pPr>
      <w:r>
        <w:t xml:space="preserve">Raw normalized pinball ranks first at 1/14 horizons among 13 complete-output models. Table 6 now uses all-horizon coverage and mean q50 correlation rather than treating primary_5d references as aggregates. Legacy Sharpe is explicitly a five-day simplified diagnostic; its source values are retained but excluded from strategy superiority claims.</w:t>
      </w:r>
    </w:p>
    <w:p>
      <w:pPr>
        <w:pStyle w:val="11"/>
      </w:pPr>
      <w:r>
        <w:t>6. Complete results for days one through fourteen</w:t>
      </w:r>
    </w:p>
    <w:p>
      <w:pPr>
        <w:pStyle w:val="21"/>
      </w:pPr>
      <w:r>
        <w:t>6.1 Error and comparability across horizons</w:t>
      </w:r>
    </w:p>
    <w:p>
      <w:pPr>
        <w:pStyle w:val="Decision"/>
        <w:keepNext/>
        <w:spacing w:after="80"/>
      </w:pPr>
      <w:r>
        <w:t>Table 7 | Forecast error at every horizon</w:t>
      </w:r>
    </w:p>
    <w:tbl>
      <w:tblPr>
        <w:tblStyle w:val="BenchmarkTable"/>
        <w:tblW w:w="9360" w:type="dxa"/>
        <w:tblLayout w:type="fixed"/>
      </w:tblPr>
      <w:tblGrid>
        <w:gridCol w:w="650"/>
        <w:gridCol w:w="1400"/>
        <w:gridCol w:w="1550"/>
        <w:gridCol w:w="1550"/>
        <w:gridCol w:w="1050"/>
        <w:gridCol w:w="1550"/>
        <w:gridCol w:w="1610"/>
      </w:tblGrid>
      <w:tr>
        <w:trPr>
          <w:tblHeader/>
        </w:trPr>
        <w:tc>
          <w:tcPr>
            <w:tcW w:w="650" w:type="dxa"/>
            <w:shd w:val="clear" w:fill="DCE6F1"/>
            <w:vAlign w:val="center"/>
          </w:tcPr>
          <w:p>
            <w:pPr>
              <w:pStyle w:val="TableHeader"/>
            </w:pPr>
            <w:r>
              <w:t>H</w:t>
            </w:r>
          </w:p>
        </w:tc>
        <w:tc>
          <w:tcPr>
            <w:tcW w:w="1400" w:type="dxa"/>
            <w:shd w:val="clear" w:fill="DCE6F1"/>
            <w:vAlign w:val="center"/>
          </w:tcPr>
          <w:p>
            <w:pPr>
              <w:pStyle w:val="TableHeader"/>
            </w:pPr>
            <w:r>
              <w:t>Train robust scale</w:t>
            </w:r>
          </w:p>
        </w:tc>
        <w:tc>
          <w:tcPr>
            <w:tcW w:w="1550" w:type="dxa"/>
            <w:shd w:val="clear" w:fill="DCE6F1"/>
            <w:vAlign w:val="center"/>
          </w:tcPr>
          <w:p>
            <w:pPr>
              <w:pStyle w:val="TableHeader"/>
            </w:pPr>
            <w:r>
              <w:t>Raw pinball</w:t>
            </w:r>
          </w:p>
        </w:tc>
        <w:tc>
          <w:tcPr>
            <w:tcW w:w="1550" w:type="dxa"/>
            <w:shd w:val="clear" w:fill="DCE6F1"/>
            <w:vAlign w:val="center"/>
          </w:tcPr>
          <w:p>
            <w:pPr>
              <w:pStyle w:val="TableHeader"/>
            </w:pPr>
            <w:r>
              <w:t>N-pinball</w:t>
            </w:r>
          </w:p>
        </w:tc>
        <w:tc>
          <w:tcPr>
            <w:tcW w:w="1050" w:type="dxa"/>
            <w:shd w:val="clear" w:fill="DCE6F1"/>
            <w:vAlign w:val="center"/>
          </w:tcPr>
          <w:p>
            <w:pPr>
              <w:pStyle w:val="TableHeader"/>
            </w:pPr>
            <w:r>
              <w:t>Rank</w:t>
            </w:r>
          </w:p>
        </w:tc>
        <w:tc>
          <w:tcPr>
            <w:tcW w:w="1550" w:type="dxa"/>
            <w:shd w:val="clear" w:fill="DCE6F1"/>
            <w:vAlign w:val="center"/>
          </w:tcPr>
          <w:p>
            <w:pPr>
              <w:pStyle w:val="TableHeader"/>
            </w:pPr>
            <w:r>
              <w:t>q50 MAE</w:t>
            </w:r>
          </w:p>
        </w:tc>
        <w:tc>
          <w:tcPr>
            <w:tcW w:w="1610" w:type="dxa"/>
            <w:shd w:val="clear" w:fill="DCE6F1"/>
            <w:vAlign w:val="center"/>
          </w:tcPr>
          <w:p>
            <w:pPr>
              <w:pStyle w:val="TableHeader"/>
            </w:pPr>
            <w:r>
              <w:t>N-MAE</w:t>
            </w:r>
          </w:p>
        </w:tc>
      </w:tr>
      <w:tr>
        <w:trPr>
          <w:cantSplit/>
        </w:trPr>
        <w:tc>
          <w:tcPr>
            <w:tcW w:w="650" w:type="dxa"/>
            <w:vAlign w:val="center"/>
          </w:tcPr>
          <w:p>
            <w:pPr>
              <w:pStyle w:val="TableText"/>
            </w:pPr>
            <w:r>
              <w:t>1d</w:t>
            </w:r>
          </w:p>
        </w:tc>
        <w:tc>
          <w:tcPr>
            <w:tcW w:w="1400" w:type="dxa"/>
            <w:vAlign w:val="center"/>
          </w:tcPr>
          <w:p>
            <w:pPr>
              <w:pStyle w:val="TableNumber"/>
            </w:pPr>
            <w:r>
              <w:t>0.02261</w:t>
            </w:r>
          </w:p>
        </w:tc>
        <w:tc>
          <w:tcPr>
            <w:tcW w:w="1550" w:type="dxa"/>
            <w:vAlign w:val="center"/>
          </w:tcPr>
          <w:p>
            <w:pPr>
              <w:pStyle w:val="TableNumber"/>
            </w:pPr>
            <w:r>
              <w:t>0.00654</w:t>
            </w:r>
          </w:p>
        </w:tc>
        <w:tc>
          <w:tcPr>
            <w:tcW w:w="1550" w:type="dxa"/>
            <w:vAlign w:val="center"/>
          </w:tcPr>
          <w:p>
            <w:pPr>
              <w:pStyle w:val="TableNumber"/>
            </w:pPr>
            <w:r>
              <w:t>0.28921</w:t>
            </w:r>
          </w:p>
        </w:tc>
        <w:tc>
          <w:tcPr>
            <w:tcW w:w="1050" w:type="dxa"/>
            <w:vAlign w:val="center"/>
          </w:tcPr>
          <w:p>
            <w:pPr>
              <w:pStyle w:val="TableNumber"/>
            </w:pPr>
            <w:r>
              <w:t>3/13</w:t>
            </w:r>
          </w:p>
        </w:tc>
        <w:tc>
          <w:tcPr>
            <w:tcW w:w="1550" w:type="dxa"/>
            <w:vAlign w:val="center"/>
          </w:tcPr>
          <w:p>
            <w:pPr>
              <w:pStyle w:val="TableNumber"/>
            </w:pPr>
            <w:r>
              <w:t>0.01980</w:t>
            </w:r>
          </w:p>
        </w:tc>
        <w:tc>
          <w:tcPr>
            <w:tcW w:w="1610" w:type="dxa"/>
            <w:vAlign w:val="center"/>
          </w:tcPr>
          <w:p>
            <w:pPr>
              <w:pStyle w:val="TableNumber"/>
            </w:pPr>
            <w:r>
              <w:t>0.8759</w:t>
            </w:r>
          </w:p>
        </w:tc>
      </w:tr>
      <w:tr>
        <w:trPr>
          <w:cantSplit/>
        </w:trPr>
        <w:tc>
          <w:tcPr>
            <w:tcW w:w="650" w:type="dxa"/>
            <w:vAlign w:val="center"/>
          </w:tcPr>
          <w:p>
            <w:pPr>
              <w:pStyle w:val="TableText"/>
            </w:pPr>
            <w:r>
              <w:t>2d</w:t>
            </w:r>
          </w:p>
        </w:tc>
        <w:tc>
          <w:tcPr>
            <w:tcW w:w="1400" w:type="dxa"/>
            <w:vAlign w:val="center"/>
          </w:tcPr>
          <w:p>
            <w:pPr>
              <w:pStyle w:val="TableNumber"/>
            </w:pPr>
            <w:r>
              <w:t>0.03416</w:t>
            </w:r>
          </w:p>
        </w:tc>
        <w:tc>
          <w:tcPr>
            <w:tcW w:w="1550" w:type="dxa"/>
            <w:vAlign w:val="center"/>
          </w:tcPr>
          <w:p>
            <w:pPr>
              <w:pStyle w:val="TableNumber"/>
            </w:pPr>
            <w:r>
              <w:t>0.01000</w:t>
            </w:r>
          </w:p>
        </w:tc>
        <w:tc>
          <w:tcPr>
            <w:tcW w:w="1550" w:type="dxa"/>
            <w:vAlign w:val="center"/>
          </w:tcPr>
          <w:p>
            <w:pPr>
              <w:pStyle w:val="TableNumber"/>
            </w:pPr>
            <w:r>
              <w:t>0.29273</w:t>
            </w:r>
          </w:p>
        </w:tc>
        <w:tc>
          <w:tcPr>
            <w:tcW w:w="1050" w:type="dxa"/>
            <w:vAlign w:val="center"/>
          </w:tcPr>
          <w:p>
            <w:pPr>
              <w:pStyle w:val="TableNumber"/>
            </w:pPr>
            <w:r>
              <w:t>3/13</w:t>
            </w:r>
          </w:p>
        </w:tc>
        <w:tc>
          <w:tcPr>
            <w:tcW w:w="1550" w:type="dxa"/>
            <w:vAlign w:val="center"/>
          </w:tcPr>
          <w:p>
            <w:pPr>
              <w:pStyle w:val="TableNumber"/>
            </w:pPr>
            <w:r>
              <w:t>0.03008</w:t>
            </w:r>
          </w:p>
        </w:tc>
        <w:tc>
          <w:tcPr>
            <w:tcW w:w="1610" w:type="dxa"/>
            <w:vAlign w:val="center"/>
          </w:tcPr>
          <w:p>
            <w:pPr>
              <w:pStyle w:val="TableNumber"/>
            </w:pPr>
            <w:r>
              <w:t>0.8805</w:t>
            </w:r>
          </w:p>
        </w:tc>
      </w:tr>
      <w:tr>
        <w:trPr>
          <w:cantSplit/>
        </w:trPr>
        <w:tc>
          <w:tcPr>
            <w:tcW w:w="650" w:type="dxa"/>
            <w:vAlign w:val="center"/>
          </w:tcPr>
          <w:p>
            <w:pPr>
              <w:pStyle w:val="TableText"/>
            </w:pPr>
            <w:r>
              <w:t>3d</w:t>
            </w:r>
          </w:p>
        </w:tc>
        <w:tc>
          <w:tcPr>
            <w:tcW w:w="1400" w:type="dxa"/>
            <w:vAlign w:val="center"/>
          </w:tcPr>
          <w:p>
            <w:pPr>
              <w:pStyle w:val="TableNumber"/>
            </w:pPr>
            <w:r>
              <w:t>0.04291</w:t>
            </w:r>
          </w:p>
        </w:tc>
        <w:tc>
          <w:tcPr>
            <w:tcW w:w="1550" w:type="dxa"/>
            <w:vAlign w:val="center"/>
          </w:tcPr>
          <w:p>
            <w:pPr>
              <w:pStyle w:val="TableNumber"/>
            </w:pPr>
            <w:r>
              <w:t>0.01265</w:t>
            </w:r>
          </w:p>
        </w:tc>
        <w:tc>
          <w:tcPr>
            <w:tcW w:w="1550" w:type="dxa"/>
            <w:vAlign w:val="center"/>
          </w:tcPr>
          <w:p>
            <w:pPr>
              <w:pStyle w:val="TableNumber"/>
            </w:pPr>
            <w:r>
              <w:t>0.29488</w:t>
            </w:r>
          </w:p>
        </w:tc>
        <w:tc>
          <w:tcPr>
            <w:tcW w:w="1050" w:type="dxa"/>
            <w:vAlign w:val="center"/>
          </w:tcPr>
          <w:p>
            <w:pPr>
              <w:pStyle w:val="TableNumber"/>
            </w:pPr>
            <w:r>
              <w:t>2/13</w:t>
            </w:r>
          </w:p>
        </w:tc>
        <w:tc>
          <w:tcPr>
            <w:tcW w:w="1550" w:type="dxa"/>
            <w:vAlign w:val="center"/>
          </w:tcPr>
          <w:p>
            <w:pPr>
              <w:pStyle w:val="TableNumber"/>
            </w:pPr>
            <w:r>
              <w:t>0.03797</w:t>
            </w:r>
          </w:p>
        </w:tc>
        <w:tc>
          <w:tcPr>
            <w:tcW w:w="1610" w:type="dxa"/>
            <w:vAlign w:val="center"/>
          </w:tcPr>
          <w:p>
            <w:pPr>
              <w:pStyle w:val="TableNumber"/>
            </w:pPr>
            <w:r>
              <w:t>0.8849</w:t>
            </w:r>
          </w:p>
        </w:tc>
      </w:tr>
      <w:tr>
        <w:trPr>
          <w:cantSplit/>
        </w:trPr>
        <w:tc>
          <w:tcPr>
            <w:tcW w:w="650" w:type="dxa"/>
            <w:vAlign w:val="center"/>
          </w:tcPr>
          <w:p>
            <w:pPr>
              <w:pStyle w:val="TableText"/>
            </w:pPr>
            <w:r>
              <w:t>4d</w:t>
            </w:r>
          </w:p>
        </w:tc>
        <w:tc>
          <w:tcPr>
            <w:tcW w:w="1400" w:type="dxa"/>
            <w:vAlign w:val="center"/>
          </w:tcPr>
          <w:p>
            <w:pPr>
              <w:pStyle w:val="TableNumber"/>
            </w:pPr>
            <w:r>
              <w:t>0.05070</w:t>
            </w:r>
          </w:p>
        </w:tc>
        <w:tc>
          <w:tcPr>
            <w:tcW w:w="1550" w:type="dxa"/>
            <w:vAlign w:val="center"/>
          </w:tcPr>
          <w:p>
            <w:pPr>
              <w:pStyle w:val="TableNumber"/>
            </w:pPr>
            <w:r>
              <w:t>0.01487</w:t>
            </w:r>
          </w:p>
        </w:tc>
        <w:tc>
          <w:tcPr>
            <w:tcW w:w="1550" w:type="dxa"/>
            <w:vAlign w:val="center"/>
          </w:tcPr>
          <w:p>
            <w:pPr>
              <w:pStyle w:val="TableNumber"/>
            </w:pPr>
            <w:r>
              <w:t>0.29330</w:t>
            </w:r>
          </w:p>
        </w:tc>
        <w:tc>
          <w:tcPr>
            <w:tcW w:w="1050" w:type="dxa"/>
            <w:vAlign w:val="center"/>
          </w:tcPr>
          <w:p>
            <w:pPr>
              <w:pStyle w:val="TableNumber"/>
            </w:pPr>
            <w:r>
              <w:t>1/13</w:t>
            </w:r>
          </w:p>
        </w:tc>
        <w:tc>
          <w:tcPr>
            <w:tcW w:w="1550" w:type="dxa"/>
            <w:vAlign w:val="center"/>
          </w:tcPr>
          <w:p>
            <w:pPr>
              <w:pStyle w:val="TableNumber"/>
            </w:pPr>
            <w:r>
              <w:t>0.04463</w:t>
            </w:r>
          </w:p>
        </w:tc>
        <w:tc>
          <w:tcPr>
            <w:tcW w:w="1610" w:type="dxa"/>
            <w:vAlign w:val="center"/>
          </w:tcPr>
          <w:p>
            <w:pPr>
              <w:pStyle w:val="TableNumber"/>
            </w:pPr>
            <w:r>
              <w:t>0.8803</w:t>
            </w:r>
          </w:p>
        </w:tc>
      </w:tr>
      <w:tr>
        <w:trPr>
          <w:cantSplit/>
        </w:trPr>
        <w:tc>
          <w:tcPr>
            <w:tcW w:w="650" w:type="dxa"/>
            <w:vAlign w:val="center"/>
          </w:tcPr>
          <w:p>
            <w:pPr>
              <w:pStyle w:val="TableText"/>
            </w:pPr>
            <w:r>
              <w:t>5d</w:t>
            </w:r>
          </w:p>
        </w:tc>
        <w:tc>
          <w:tcPr>
            <w:tcW w:w="1400" w:type="dxa"/>
            <w:vAlign w:val="center"/>
          </w:tcPr>
          <w:p>
            <w:pPr>
              <w:pStyle w:val="TableNumber"/>
            </w:pPr>
            <w:r>
              <w:t>0.05783</w:t>
            </w:r>
          </w:p>
        </w:tc>
        <w:tc>
          <w:tcPr>
            <w:tcW w:w="1550" w:type="dxa"/>
            <w:vAlign w:val="center"/>
          </w:tcPr>
          <w:p>
            <w:pPr>
              <w:pStyle w:val="TableNumber"/>
            </w:pPr>
            <w:r>
              <w:t>0.01685</w:t>
            </w:r>
          </w:p>
        </w:tc>
        <w:tc>
          <w:tcPr>
            <w:tcW w:w="1550" w:type="dxa"/>
            <w:vAlign w:val="center"/>
          </w:tcPr>
          <w:p>
            <w:pPr>
              <w:pStyle w:val="TableNumber"/>
            </w:pPr>
            <w:r>
              <w:t>0.29140</w:t>
            </w:r>
          </w:p>
        </w:tc>
        <w:tc>
          <w:tcPr>
            <w:tcW w:w="1050" w:type="dxa"/>
            <w:vAlign w:val="center"/>
          </w:tcPr>
          <w:p>
            <w:pPr>
              <w:pStyle w:val="TableNumber"/>
            </w:pPr>
            <w:r>
              <w:t>2/13</w:t>
            </w:r>
          </w:p>
        </w:tc>
        <w:tc>
          <w:tcPr>
            <w:tcW w:w="1550" w:type="dxa"/>
            <w:vAlign w:val="center"/>
          </w:tcPr>
          <w:p>
            <w:pPr>
              <w:pStyle w:val="TableNumber"/>
            </w:pPr>
            <w:r>
              <w:t>0.05050</w:t>
            </w:r>
          </w:p>
        </w:tc>
        <w:tc>
          <w:tcPr>
            <w:tcW w:w="1610" w:type="dxa"/>
            <w:vAlign w:val="center"/>
          </w:tcPr>
          <w:p>
            <w:pPr>
              <w:pStyle w:val="TableNumber"/>
            </w:pPr>
            <w:r>
              <w:t>0.8732</w:t>
            </w:r>
          </w:p>
        </w:tc>
      </w:tr>
      <w:tr>
        <w:trPr>
          <w:cantSplit/>
        </w:trPr>
        <w:tc>
          <w:tcPr>
            <w:tcW w:w="650" w:type="dxa"/>
            <w:vAlign w:val="center"/>
          </w:tcPr>
          <w:p>
            <w:pPr>
              <w:pStyle w:val="TableText"/>
            </w:pPr>
            <w:r>
              <w:t>6d</w:t>
            </w:r>
          </w:p>
        </w:tc>
        <w:tc>
          <w:tcPr>
            <w:tcW w:w="1400" w:type="dxa"/>
            <w:vAlign w:val="center"/>
          </w:tcPr>
          <w:p>
            <w:pPr>
              <w:pStyle w:val="TableNumber"/>
            </w:pPr>
            <w:r>
              <w:t>0.06364</w:t>
            </w:r>
          </w:p>
        </w:tc>
        <w:tc>
          <w:tcPr>
            <w:tcW w:w="1550" w:type="dxa"/>
            <w:vAlign w:val="center"/>
          </w:tcPr>
          <w:p>
            <w:pPr>
              <w:pStyle w:val="TableNumber"/>
            </w:pPr>
            <w:r>
              <w:t>0.01870</w:t>
            </w:r>
          </w:p>
        </w:tc>
        <w:tc>
          <w:tcPr>
            <w:tcW w:w="1550" w:type="dxa"/>
            <w:vAlign w:val="center"/>
          </w:tcPr>
          <w:p>
            <w:pPr>
              <w:pStyle w:val="TableNumber"/>
            </w:pPr>
            <w:r>
              <w:t>0.29390</w:t>
            </w:r>
          </w:p>
        </w:tc>
        <w:tc>
          <w:tcPr>
            <w:tcW w:w="1050" w:type="dxa"/>
            <w:vAlign w:val="center"/>
          </w:tcPr>
          <w:p>
            <w:pPr>
              <w:pStyle w:val="TableNumber"/>
            </w:pPr>
            <w:r>
              <w:t>3/13</w:t>
            </w:r>
          </w:p>
        </w:tc>
        <w:tc>
          <w:tcPr>
            <w:tcW w:w="1550" w:type="dxa"/>
            <w:vAlign w:val="center"/>
          </w:tcPr>
          <w:p>
            <w:pPr>
              <w:pStyle w:val="TableNumber"/>
            </w:pPr>
            <w:r>
              <w:t>0.05611</w:t>
            </w:r>
          </w:p>
        </w:tc>
        <w:tc>
          <w:tcPr>
            <w:tcW w:w="1610" w:type="dxa"/>
            <w:vAlign w:val="center"/>
          </w:tcPr>
          <w:p>
            <w:pPr>
              <w:pStyle w:val="TableNumber"/>
            </w:pPr>
            <w:r>
              <w:t>0.8817</w:t>
            </w:r>
          </w:p>
        </w:tc>
      </w:tr>
      <w:tr>
        <w:trPr>
          <w:cantSplit/>
        </w:trPr>
        <w:tc>
          <w:tcPr>
            <w:tcW w:w="650" w:type="dxa"/>
            <w:vAlign w:val="center"/>
          </w:tcPr>
          <w:p>
            <w:pPr>
              <w:pStyle w:val="TableText"/>
            </w:pPr>
            <w:r>
              <w:t>7d</w:t>
            </w:r>
          </w:p>
        </w:tc>
        <w:tc>
          <w:tcPr>
            <w:tcW w:w="1400" w:type="dxa"/>
            <w:vAlign w:val="center"/>
          </w:tcPr>
          <w:p>
            <w:pPr>
              <w:pStyle w:val="TableNumber"/>
            </w:pPr>
            <w:r>
              <w:t>0.06932</w:t>
            </w:r>
          </w:p>
        </w:tc>
        <w:tc>
          <w:tcPr>
            <w:tcW w:w="1550" w:type="dxa"/>
            <w:vAlign w:val="center"/>
          </w:tcPr>
          <w:p>
            <w:pPr>
              <w:pStyle w:val="TableNumber"/>
            </w:pPr>
            <w:r>
              <w:t>0.02040</w:t>
            </w:r>
          </w:p>
        </w:tc>
        <w:tc>
          <w:tcPr>
            <w:tcW w:w="1550" w:type="dxa"/>
            <w:vAlign w:val="center"/>
          </w:tcPr>
          <w:p>
            <w:pPr>
              <w:pStyle w:val="TableNumber"/>
            </w:pPr>
            <w:r>
              <w:t>0.29426</w:t>
            </w:r>
          </w:p>
        </w:tc>
        <w:tc>
          <w:tcPr>
            <w:tcW w:w="1050" w:type="dxa"/>
            <w:vAlign w:val="center"/>
          </w:tcPr>
          <w:p>
            <w:pPr>
              <w:pStyle w:val="TableNumber"/>
            </w:pPr>
            <w:r>
              <w:t>2/13</w:t>
            </w:r>
          </w:p>
        </w:tc>
        <w:tc>
          <w:tcPr>
            <w:tcW w:w="1550" w:type="dxa"/>
            <w:vAlign w:val="center"/>
          </w:tcPr>
          <w:p>
            <w:pPr>
              <w:pStyle w:val="TableNumber"/>
            </w:pPr>
            <w:r>
              <w:t>0.06127</w:t>
            </w:r>
          </w:p>
        </w:tc>
        <w:tc>
          <w:tcPr>
            <w:tcW w:w="1610" w:type="dxa"/>
            <w:vAlign w:val="center"/>
          </w:tcPr>
          <w:p>
            <w:pPr>
              <w:pStyle w:val="TableNumber"/>
            </w:pPr>
            <w:r>
              <w:t>0.8838</w:t>
            </w:r>
          </w:p>
        </w:tc>
      </w:tr>
      <w:tr>
        <w:trPr>
          <w:cantSplit/>
        </w:trPr>
        <w:tc>
          <w:tcPr>
            <w:tcW w:w="650" w:type="dxa"/>
            <w:vAlign w:val="center"/>
          </w:tcPr>
          <w:p>
            <w:pPr>
              <w:pStyle w:val="TableText"/>
            </w:pPr>
            <w:r>
              <w:t>8d</w:t>
            </w:r>
          </w:p>
        </w:tc>
        <w:tc>
          <w:tcPr>
            <w:tcW w:w="1400" w:type="dxa"/>
            <w:vAlign w:val="center"/>
          </w:tcPr>
          <w:p>
            <w:pPr>
              <w:pStyle w:val="TableNumber"/>
            </w:pPr>
            <w:r>
              <w:t>0.07444</w:t>
            </w:r>
          </w:p>
        </w:tc>
        <w:tc>
          <w:tcPr>
            <w:tcW w:w="1550" w:type="dxa"/>
            <w:vAlign w:val="center"/>
          </w:tcPr>
          <w:p>
            <w:pPr>
              <w:pStyle w:val="TableNumber"/>
            </w:pPr>
            <w:r>
              <w:t>0.02194</w:t>
            </w:r>
          </w:p>
        </w:tc>
        <w:tc>
          <w:tcPr>
            <w:tcW w:w="1550" w:type="dxa"/>
            <w:vAlign w:val="center"/>
          </w:tcPr>
          <w:p>
            <w:pPr>
              <w:pStyle w:val="TableNumber"/>
            </w:pPr>
            <w:r>
              <w:t>0.29472</w:t>
            </w:r>
          </w:p>
        </w:tc>
        <w:tc>
          <w:tcPr>
            <w:tcW w:w="1050" w:type="dxa"/>
            <w:vAlign w:val="center"/>
          </w:tcPr>
          <w:p>
            <w:pPr>
              <w:pStyle w:val="TableNumber"/>
            </w:pPr>
            <w:r>
              <w:t>2/13</w:t>
            </w:r>
          </w:p>
        </w:tc>
        <w:tc>
          <w:tcPr>
            <w:tcW w:w="1550" w:type="dxa"/>
            <w:vAlign w:val="center"/>
          </w:tcPr>
          <w:p>
            <w:pPr>
              <w:pStyle w:val="TableNumber"/>
            </w:pPr>
            <w:r>
              <w:t>0.06597</w:t>
            </w:r>
          </w:p>
        </w:tc>
        <w:tc>
          <w:tcPr>
            <w:tcW w:w="1610" w:type="dxa"/>
            <w:vAlign w:val="center"/>
          </w:tcPr>
          <w:p>
            <w:pPr>
              <w:pStyle w:val="TableNumber"/>
            </w:pPr>
            <w:r>
              <w:t>0.8861</w:t>
            </w:r>
          </w:p>
        </w:tc>
      </w:tr>
      <w:tr>
        <w:trPr>
          <w:cantSplit/>
        </w:trPr>
        <w:tc>
          <w:tcPr>
            <w:tcW w:w="650" w:type="dxa"/>
            <w:vAlign w:val="center"/>
          </w:tcPr>
          <w:p>
            <w:pPr>
              <w:pStyle w:val="TableText"/>
            </w:pPr>
            <w:r>
              <w:t>9d</w:t>
            </w:r>
          </w:p>
        </w:tc>
        <w:tc>
          <w:tcPr>
            <w:tcW w:w="1400" w:type="dxa"/>
            <w:vAlign w:val="center"/>
          </w:tcPr>
          <w:p>
            <w:pPr>
              <w:pStyle w:val="TableNumber"/>
            </w:pPr>
            <w:r>
              <w:t>0.07922</w:t>
            </w:r>
          </w:p>
        </w:tc>
        <w:tc>
          <w:tcPr>
            <w:tcW w:w="1550" w:type="dxa"/>
            <w:vAlign w:val="center"/>
          </w:tcPr>
          <w:p>
            <w:pPr>
              <w:pStyle w:val="TableNumber"/>
            </w:pPr>
            <w:r>
              <w:t>0.02341</w:t>
            </w:r>
          </w:p>
        </w:tc>
        <w:tc>
          <w:tcPr>
            <w:tcW w:w="1550" w:type="dxa"/>
            <w:vAlign w:val="center"/>
          </w:tcPr>
          <w:p>
            <w:pPr>
              <w:pStyle w:val="TableNumber"/>
            </w:pPr>
            <w:r>
              <w:t>0.29557</w:t>
            </w:r>
          </w:p>
        </w:tc>
        <w:tc>
          <w:tcPr>
            <w:tcW w:w="1050" w:type="dxa"/>
            <w:vAlign w:val="center"/>
          </w:tcPr>
          <w:p>
            <w:pPr>
              <w:pStyle w:val="TableNumber"/>
            </w:pPr>
            <w:r>
              <w:t>3/13</w:t>
            </w:r>
          </w:p>
        </w:tc>
        <w:tc>
          <w:tcPr>
            <w:tcW w:w="1550" w:type="dxa"/>
            <w:vAlign w:val="center"/>
          </w:tcPr>
          <w:p>
            <w:pPr>
              <w:pStyle w:val="TableNumber"/>
            </w:pPr>
            <w:r>
              <w:t>0.07043</w:t>
            </w:r>
          </w:p>
        </w:tc>
        <w:tc>
          <w:tcPr>
            <w:tcW w:w="1610" w:type="dxa"/>
            <w:vAlign w:val="center"/>
          </w:tcPr>
          <w:p>
            <w:pPr>
              <w:pStyle w:val="TableNumber"/>
            </w:pPr>
            <w:r>
              <w:t>0.8891</w:t>
            </w:r>
          </w:p>
        </w:tc>
      </w:tr>
      <w:tr>
        <w:trPr>
          <w:cantSplit/>
        </w:trPr>
        <w:tc>
          <w:tcPr>
            <w:tcW w:w="650" w:type="dxa"/>
            <w:vAlign w:val="center"/>
          </w:tcPr>
          <w:p>
            <w:pPr>
              <w:pStyle w:val="TableText"/>
            </w:pPr>
            <w:r>
              <w:t>10d</w:t>
            </w:r>
          </w:p>
        </w:tc>
        <w:tc>
          <w:tcPr>
            <w:tcW w:w="1400" w:type="dxa"/>
            <w:vAlign w:val="center"/>
          </w:tcPr>
          <w:p>
            <w:pPr>
              <w:pStyle w:val="TableNumber"/>
            </w:pPr>
            <w:r>
              <w:t>0.08419</w:t>
            </w:r>
          </w:p>
        </w:tc>
        <w:tc>
          <w:tcPr>
            <w:tcW w:w="1550" w:type="dxa"/>
            <w:vAlign w:val="center"/>
          </w:tcPr>
          <w:p>
            <w:pPr>
              <w:pStyle w:val="TableNumber"/>
            </w:pPr>
            <w:r>
              <w:t>0.02481</w:t>
            </w:r>
          </w:p>
        </w:tc>
        <w:tc>
          <w:tcPr>
            <w:tcW w:w="1550" w:type="dxa"/>
            <w:vAlign w:val="center"/>
          </w:tcPr>
          <w:p>
            <w:pPr>
              <w:pStyle w:val="TableNumber"/>
            </w:pPr>
            <w:r>
              <w:t>0.29474</w:t>
            </w:r>
          </w:p>
        </w:tc>
        <w:tc>
          <w:tcPr>
            <w:tcW w:w="1050" w:type="dxa"/>
            <w:vAlign w:val="center"/>
          </w:tcPr>
          <w:p>
            <w:pPr>
              <w:pStyle w:val="TableNumber"/>
            </w:pPr>
            <w:r>
              <w:t>2/13</w:t>
            </w:r>
          </w:p>
        </w:tc>
        <w:tc>
          <w:tcPr>
            <w:tcW w:w="1550" w:type="dxa"/>
            <w:vAlign w:val="center"/>
          </w:tcPr>
          <w:p>
            <w:pPr>
              <w:pStyle w:val="TableNumber"/>
            </w:pPr>
            <w:r>
              <w:t>0.07465</w:t>
            </w:r>
          </w:p>
        </w:tc>
        <w:tc>
          <w:tcPr>
            <w:tcW w:w="1610" w:type="dxa"/>
            <w:vAlign w:val="center"/>
          </w:tcPr>
          <w:p>
            <w:pPr>
              <w:pStyle w:val="TableNumber"/>
            </w:pPr>
            <w:r>
              <w:t>0.8867</w:t>
            </w:r>
          </w:p>
        </w:tc>
      </w:tr>
      <w:tr>
        <w:trPr>
          <w:cantSplit/>
        </w:trPr>
        <w:tc>
          <w:tcPr>
            <w:tcW w:w="650" w:type="dxa"/>
            <w:vAlign w:val="center"/>
          </w:tcPr>
          <w:p>
            <w:pPr>
              <w:pStyle w:val="TableText"/>
            </w:pPr>
            <w:r>
              <w:t>11d</w:t>
            </w:r>
          </w:p>
        </w:tc>
        <w:tc>
          <w:tcPr>
            <w:tcW w:w="1400" w:type="dxa"/>
            <w:vAlign w:val="center"/>
          </w:tcPr>
          <w:p>
            <w:pPr>
              <w:pStyle w:val="TableNumber"/>
            </w:pPr>
            <w:r>
              <w:t>0.08848</w:t>
            </w:r>
          </w:p>
        </w:tc>
        <w:tc>
          <w:tcPr>
            <w:tcW w:w="1550" w:type="dxa"/>
            <w:vAlign w:val="center"/>
          </w:tcPr>
          <w:p>
            <w:pPr>
              <w:pStyle w:val="TableNumber"/>
            </w:pPr>
            <w:r>
              <w:t>0.02614</w:t>
            </w:r>
          </w:p>
        </w:tc>
        <w:tc>
          <w:tcPr>
            <w:tcW w:w="1550" w:type="dxa"/>
            <w:vAlign w:val="center"/>
          </w:tcPr>
          <w:p>
            <w:pPr>
              <w:pStyle w:val="TableNumber"/>
            </w:pPr>
            <w:r>
              <w:t>0.29545</w:t>
            </w:r>
          </w:p>
        </w:tc>
        <w:tc>
          <w:tcPr>
            <w:tcW w:w="1050" w:type="dxa"/>
            <w:vAlign w:val="center"/>
          </w:tcPr>
          <w:p>
            <w:pPr>
              <w:pStyle w:val="TableNumber"/>
            </w:pPr>
            <w:r>
              <w:t>2/13</w:t>
            </w:r>
          </w:p>
        </w:tc>
        <w:tc>
          <w:tcPr>
            <w:tcW w:w="1550" w:type="dxa"/>
            <w:vAlign w:val="center"/>
          </w:tcPr>
          <w:p>
            <w:pPr>
              <w:pStyle w:val="TableNumber"/>
            </w:pPr>
            <w:r>
              <w:t>0.07869</w:t>
            </w:r>
          </w:p>
        </w:tc>
        <w:tc>
          <w:tcPr>
            <w:tcW w:w="1610" w:type="dxa"/>
            <w:vAlign w:val="center"/>
          </w:tcPr>
          <w:p>
            <w:pPr>
              <w:pStyle w:val="TableNumber"/>
            </w:pPr>
            <w:r>
              <w:t>0.8894</w:t>
            </w:r>
          </w:p>
        </w:tc>
      </w:tr>
      <w:tr>
        <w:trPr>
          <w:cantSplit/>
        </w:trPr>
        <w:tc>
          <w:tcPr>
            <w:tcW w:w="650" w:type="dxa"/>
            <w:vAlign w:val="center"/>
          </w:tcPr>
          <w:p>
            <w:pPr>
              <w:pStyle w:val="TableText"/>
            </w:pPr>
            <w:r>
              <w:t>12d</w:t>
            </w:r>
          </w:p>
        </w:tc>
        <w:tc>
          <w:tcPr>
            <w:tcW w:w="1400" w:type="dxa"/>
            <w:vAlign w:val="center"/>
          </w:tcPr>
          <w:p>
            <w:pPr>
              <w:pStyle w:val="TableNumber"/>
            </w:pPr>
            <w:r>
              <w:t>0.09337</w:t>
            </w:r>
          </w:p>
        </w:tc>
        <w:tc>
          <w:tcPr>
            <w:tcW w:w="1550" w:type="dxa"/>
            <w:vAlign w:val="center"/>
          </w:tcPr>
          <w:p>
            <w:pPr>
              <w:pStyle w:val="TableNumber"/>
            </w:pPr>
            <w:r>
              <w:t>0.02748</w:t>
            </w:r>
          </w:p>
        </w:tc>
        <w:tc>
          <w:tcPr>
            <w:tcW w:w="1550" w:type="dxa"/>
            <w:vAlign w:val="center"/>
          </w:tcPr>
          <w:p>
            <w:pPr>
              <w:pStyle w:val="TableNumber"/>
            </w:pPr>
            <w:r>
              <w:t>0.29430</w:t>
            </w:r>
          </w:p>
        </w:tc>
        <w:tc>
          <w:tcPr>
            <w:tcW w:w="1050" w:type="dxa"/>
            <w:vAlign w:val="center"/>
          </w:tcPr>
          <w:p>
            <w:pPr>
              <w:pStyle w:val="TableNumber"/>
            </w:pPr>
            <w:r>
              <w:t>2/13</w:t>
            </w:r>
          </w:p>
        </w:tc>
        <w:tc>
          <w:tcPr>
            <w:tcW w:w="1550" w:type="dxa"/>
            <w:vAlign w:val="center"/>
          </w:tcPr>
          <w:p>
            <w:pPr>
              <w:pStyle w:val="TableNumber"/>
            </w:pPr>
            <w:r>
              <w:t>0.08273</w:t>
            </w:r>
          </w:p>
        </w:tc>
        <w:tc>
          <w:tcPr>
            <w:tcW w:w="1610" w:type="dxa"/>
            <w:vAlign w:val="center"/>
          </w:tcPr>
          <w:p>
            <w:pPr>
              <w:pStyle w:val="TableNumber"/>
            </w:pPr>
            <w:r>
              <w:t>0.8860</w:t>
            </w:r>
          </w:p>
        </w:tc>
      </w:tr>
      <w:tr>
        <w:trPr>
          <w:cantSplit/>
        </w:trPr>
        <w:tc>
          <w:tcPr>
            <w:tcW w:w="650" w:type="dxa"/>
            <w:vAlign w:val="center"/>
          </w:tcPr>
          <w:p>
            <w:pPr>
              <w:pStyle w:val="TableText"/>
            </w:pPr>
            <w:r>
              <w:t>13d</w:t>
            </w:r>
          </w:p>
        </w:tc>
        <w:tc>
          <w:tcPr>
            <w:tcW w:w="1400" w:type="dxa"/>
            <w:vAlign w:val="center"/>
          </w:tcPr>
          <w:p>
            <w:pPr>
              <w:pStyle w:val="TableNumber"/>
            </w:pPr>
            <w:r>
              <w:t>0.09795</w:t>
            </w:r>
          </w:p>
        </w:tc>
        <w:tc>
          <w:tcPr>
            <w:tcW w:w="1550" w:type="dxa"/>
            <w:vAlign w:val="center"/>
          </w:tcPr>
          <w:p>
            <w:pPr>
              <w:pStyle w:val="TableNumber"/>
            </w:pPr>
            <w:r>
              <w:t>0.02876</w:t>
            </w:r>
          </w:p>
        </w:tc>
        <w:tc>
          <w:tcPr>
            <w:tcW w:w="1550" w:type="dxa"/>
            <w:vAlign w:val="center"/>
          </w:tcPr>
          <w:p>
            <w:pPr>
              <w:pStyle w:val="TableNumber"/>
            </w:pPr>
            <w:r>
              <w:t>0.29365</w:t>
            </w:r>
          </w:p>
        </w:tc>
        <w:tc>
          <w:tcPr>
            <w:tcW w:w="1050" w:type="dxa"/>
            <w:vAlign w:val="center"/>
          </w:tcPr>
          <w:p>
            <w:pPr>
              <w:pStyle w:val="TableNumber"/>
            </w:pPr>
            <w:r>
              <w:t>2/13</w:t>
            </w:r>
          </w:p>
        </w:tc>
        <w:tc>
          <w:tcPr>
            <w:tcW w:w="1550" w:type="dxa"/>
            <w:vAlign w:val="center"/>
          </w:tcPr>
          <w:p>
            <w:pPr>
              <w:pStyle w:val="TableNumber"/>
            </w:pPr>
            <w:r>
              <w:t>0.08653</w:t>
            </w:r>
          </w:p>
        </w:tc>
        <w:tc>
          <w:tcPr>
            <w:tcW w:w="1610" w:type="dxa"/>
            <w:vAlign w:val="center"/>
          </w:tcPr>
          <w:p>
            <w:pPr>
              <w:pStyle w:val="TableNumber"/>
            </w:pPr>
            <w:r>
              <w:t>0.8834</w:t>
            </w:r>
          </w:p>
        </w:tc>
      </w:tr>
      <w:tr>
        <w:trPr>
          <w:cantSplit/>
        </w:trPr>
        <w:tc>
          <w:tcPr>
            <w:tcW w:w="650" w:type="dxa"/>
            <w:vAlign w:val="center"/>
          </w:tcPr>
          <w:p>
            <w:pPr>
              <w:pStyle w:val="TableText"/>
            </w:pPr>
            <w:r>
              <w:t>14d</w:t>
            </w:r>
          </w:p>
        </w:tc>
        <w:tc>
          <w:tcPr>
            <w:tcW w:w="1400" w:type="dxa"/>
            <w:vAlign w:val="center"/>
          </w:tcPr>
          <w:p>
            <w:pPr>
              <w:pStyle w:val="TableNumber"/>
            </w:pPr>
            <w:r>
              <w:t>0.10162</w:t>
            </w:r>
          </w:p>
        </w:tc>
        <w:tc>
          <w:tcPr>
            <w:tcW w:w="1550" w:type="dxa"/>
            <w:vAlign w:val="center"/>
          </w:tcPr>
          <w:p>
            <w:pPr>
              <w:pStyle w:val="TableNumber"/>
            </w:pPr>
            <w:r>
              <w:t>0.03002</w:t>
            </w:r>
          </w:p>
        </w:tc>
        <w:tc>
          <w:tcPr>
            <w:tcW w:w="1550" w:type="dxa"/>
            <w:vAlign w:val="center"/>
          </w:tcPr>
          <w:p>
            <w:pPr>
              <w:pStyle w:val="TableNumber"/>
            </w:pPr>
            <w:r>
              <w:t>0.29542</w:t>
            </w:r>
          </w:p>
        </w:tc>
        <w:tc>
          <w:tcPr>
            <w:tcW w:w="1050" w:type="dxa"/>
            <w:vAlign w:val="center"/>
          </w:tcPr>
          <w:p>
            <w:pPr>
              <w:pStyle w:val="TableNumber"/>
            </w:pPr>
            <w:r>
              <w:t>2/13</w:t>
            </w:r>
          </w:p>
        </w:tc>
        <w:tc>
          <w:tcPr>
            <w:tcW w:w="1550" w:type="dxa"/>
            <w:vAlign w:val="center"/>
          </w:tcPr>
          <w:p>
            <w:pPr>
              <w:pStyle w:val="TableNumber"/>
            </w:pPr>
            <w:r>
              <w:t>0.09036</w:t>
            </w:r>
          </w:p>
        </w:tc>
        <w:tc>
          <w:tcPr>
            <w:tcW w:w="1610" w:type="dxa"/>
            <w:vAlign w:val="center"/>
          </w:tcPr>
          <w:p>
            <w:pPr>
              <w:pStyle w:val="TableNumber"/>
            </w:pPr>
            <w:r>
              <w:t>0.8892</w:t>
            </w:r>
          </w:p>
        </w:tc>
      </w:tr>
    </w:tbl>
    <w:p>
      <w:pPr>
        <w:pStyle w:val="a"/>
        <w:spacing w:before="160"/>
      </w:pPr>
      <w:r>
        <w:t>After normalization by the train-only robust scale, normalized pinball ranges from 0.28921 to 0.29557. It measures distribution error relative to each horizon’s training scale; it does not show that raw return error is smaller at longer horizons.</w:t>
      </w:r>
    </w:p>
    <w:p>
      <w:pPr>
        <w:pStyle w:val="21"/>
      </w:pPr>
      <w:r>
        <w:t>6.2 q50 and interval calibration</w:t>
      </w:r>
    </w:p>
    <w:p>
      <w:pPr>
        <w:pStyle w:val="Decision"/>
        <w:keepNext/>
        <w:spacing w:after="80"/>
      </w:pPr>
      <w:r>
        <w:t xml:space="preserve">Table 8 | Raw q50 and intervals with unchanged calibrated q50</w:t>
      </w:r>
    </w:p>
    <w:tbl>
      <w:tblPr>
        <w:tblStyle w:val="BenchmarkTable"/>
        <w:tblW w:w="9360" w:type="dxa"/>
        <w:tblLayout w:type="fixed"/>
      </w:tblPr>
      <w:tblGrid>
        <w:gridCol w:w="700"/>
        <w:gridCol w:w="1600"/>
        <w:gridCol w:w="1650"/>
        <w:gridCol w:w="1650"/>
        <w:gridCol w:w="1800"/>
        <w:gridCol w:w="1960"/>
      </w:tblGrid>
      <w:tr>
        <w:trPr>
          <w:tblHeader/>
        </w:trPr>
        <w:tc>
          <w:tcPr>
            <w:tcW w:w="700" w:type="dxa"/>
            <w:shd w:val="clear" w:fill="DCE6F1"/>
            <w:vAlign w:val="center"/>
          </w:tcPr>
          <w:p>
            <w:pPr>
              <w:pStyle w:val="TableHeader"/>
            </w:pPr>
            <w:r>
              <w:t>H</w:t>
            </w:r>
          </w:p>
        </w:tc>
        <w:tc>
          <w:tcPr>
            <w:tcW w:w="1600" w:type="dxa"/>
            <w:shd w:val="clear" w:fill="DCE6F1"/>
            <w:vAlign w:val="center"/>
          </w:tcPr>
          <w:p>
            <w:pPr>
              <w:pStyle w:val="TableHeader"/>
            </w:pPr>
            <w:r>
              <w:t>q50 corr.</w:t>
            </w:r>
          </w:p>
        </w:tc>
        <w:tc>
          <w:tcPr>
            <w:tcW w:w="1650" w:type="dxa"/>
            <w:shd w:val="clear" w:fill="DCE6F1"/>
            <w:vAlign w:val="center"/>
          </w:tcPr>
          <w:p>
            <w:pPr>
              <w:pStyle w:val="TableHeader"/>
            </w:pPr>
            <w:r>
              <w:t>Direction agreement</w:t>
            </w:r>
          </w:p>
        </w:tc>
        <w:tc>
          <w:tcPr>
            <w:tcW w:w="1650" w:type="dxa"/>
            <w:shd w:val="clear" w:fill="DCE6F1"/>
            <w:vAlign w:val="center"/>
          </w:tcPr>
          <w:p>
            <w:pPr>
              <w:pStyle w:val="TableHeader"/>
            </w:pPr>
            <w:r>
              <w:t>Coverage</w:t>
            </w:r>
          </w:p>
        </w:tc>
        <w:tc>
          <w:tcPr>
            <w:tcW w:w="1800" w:type="dxa"/>
            <w:shd w:val="clear" w:fill="DCE6F1"/>
            <w:vAlign w:val="center"/>
          </w:tcPr>
          <w:p>
            <w:pPr>
              <w:pStyle w:val="TableHeader"/>
            </w:pPr>
            <w:r>
              <w:t>Below 80% (pp)</w:t>
            </w:r>
          </w:p>
        </w:tc>
        <w:tc>
          <w:tcPr>
            <w:tcW w:w="1960" w:type="dxa"/>
            <w:shd w:val="clear" w:fill="DCE6F1"/>
            <w:vAlign w:val="center"/>
          </w:tcPr>
          <w:p>
            <w:pPr>
              <w:pStyle w:val="TableHeader"/>
            </w:pPr>
            <w:r>
              <w:t>Interval width</w:t>
            </w:r>
          </w:p>
        </w:tc>
      </w:tr>
      <w:tr>
        <w:trPr>
          <w:cantSplit/>
        </w:trPr>
        <w:tc>
          <w:tcPr>
            <w:tcW w:w="700" w:type="dxa"/>
            <w:vAlign w:val="center"/>
          </w:tcPr>
          <w:p>
            <w:pPr>
              <w:pStyle w:val="TableText"/>
            </w:pPr>
            <w:r>
              <w:t>1d</w:t>
            </w:r>
          </w:p>
        </w:tc>
        <w:tc>
          <w:tcPr>
            <w:tcW w:w="1600" w:type="dxa"/>
            <w:vAlign w:val="center"/>
          </w:tcPr>
          <w:p>
            <w:pPr>
              <w:pStyle w:val="TableNumber"/>
            </w:pPr>
            <w:r>
              <w:t>0.0569</w:t>
            </w:r>
          </w:p>
        </w:tc>
        <w:tc>
          <w:tcPr>
            <w:tcW w:w="1650" w:type="dxa"/>
            <w:vAlign w:val="center"/>
          </w:tcPr>
          <w:p>
            <w:pPr>
              <w:pStyle w:val="TableNumber"/>
            </w:pPr>
            <w:r>
              <w:t>52.59%</w:t>
            </w:r>
          </w:p>
        </w:tc>
        <w:tc>
          <w:tcPr>
            <w:tcW w:w="1650" w:type="dxa"/>
            <w:vAlign w:val="center"/>
          </w:tcPr>
          <w:p>
            <w:pPr>
              <w:pStyle w:val="TableNumber"/>
            </w:pPr>
            <w:r>
              <w:t>78.07%</w:t>
            </w:r>
          </w:p>
        </w:tc>
        <w:tc>
          <w:tcPr>
            <w:tcW w:w="1800" w:type="dxa"/>
            <w:vAlign w:val="center"/>
          </w:tcPr>
          <w:p>
            <w:pPr>
              <w:pStyle w:val="TableNumber"/>
            </w:pPr>
            <w:r>
              <w:t>1.93</w:t>
            </w:r>
          </w:p>
        </w:tc>
        <w:tc>
          <w:tcPr>
            <w:tcW w:w="1960" w:type="dxa"/>
            <w:vAlign w:val="center"/>
          </w:tcPr>
          <w:p>
            <w:pPr>
              <w:pStyle w:val="TableNumber"/>
            </w:pPr>
            <w:r>
              <w:t>0.05955</w:t>
            </w:r>
          </w:p>
        </w:tc>
      </w:tr>
      <w:tr>
        <w:trPr>
          <w:cantSplit/>
        </w:trPr>
        <w:tc>
          <w:tcPr>
            <w:tcW w:w="700" w:type="dxa"/>
            <w:vAlign w:val="center"/>
          </w:tcPr>
          <w:p>
            <w:pPr>
              <w:pStyle w:val="TableText"/>
            </w:pPr>
            <w:r>
              <w:t>2d</w:t>
            </w:r>
          </w:p>
        </w:tc>
        <w:tc>
          <w:tcPr>
            <w:tcW w:w="1600" w:type="dxa"/>
            <w:vAlign w:val="center"/>
          </w:tcPr>
          <w:p>
            <w:pPr>
              <w:pStyle w:val="TableNumber"/>
            </w:pPr>
            <w:r>
              <w:t>0.0614</w:t>
            </w:r>
          </w:p>
        </w:tc>
        <w:tc>
          <w:tcPr>
            <w:tcW w:w="1650" w:type="dxa"/>
            <w:vAlign w:val="center"/>
          </w:tcPr>
          <w:p>
            <w:pPr>
              <w:pStyle w:val="TableNumber"/>
            </w:pPr>
            <w:r>
              <w:t>52.66%</w:t>
            </w:r>
          </w:p>
        </w:tc>
        <w:tc>
          <w:tcPr>
            <w:tcW w:w="1650" w:type="dxa"/>
            <w:vAlign w:val="center"/>
          </w:tcPr>
          <w:p>
            <w:pPr>
              <w:pStyle w:val="TableNumber"/>
            </w:pPr>
            <w:r>
              <w:t>77.19%</w:t>
            </w:r>
          </w:p>
        </w:tc>
        <w:tc>
          <w:tcPr>
            <w:tcW w:w="1800" w:type="dxa"/>
            <w:vAlign w:val="center"/>
          </w:tcPr>
          <w:p>
            <w:pPr>
              <w:pStyle w:val="TableNumber"/>
            </w:pPr>
            <w:r>
              <w:t>2.81</w:t>
            </w:r>
          </w:p>
        </w:tc>
        <w:tc>
          <w:tcPr>
            <w:tcW w:w="1960" w:type="dxa"/>
            <w:vAlign w:val="center"/>
          </w:tcPr>
          <w:p>
            <w:pPr>
              <w:pStyle w:val="TableNumber"/>
            </w:pPr>
            <w:r>
              <w:t>0.08790</w:t>
            </w:r>
          </w:p>
        </w:tc>
      </w:tr>
      <w:tr>
        <w:trPr>
          <w:cantSplit/>
        </w:trPr>
        <w:tc>
          <w:tcPr>
            <w:tcW w:w="700" w:type="dxa"/>
            <w:vAlign w:val="center"/>
          </w:tcPr>
          <w:p>
            <w:pPr>
              <w:pStyle w:val="TableText"/>
            </w:pPr>
            <w:r>
              <w:t>3d</w:t>
            </w:r>
          </w:p>
        </w:tc>
        <w:tc>
          <w:tcPr>
            <w:tcW w:w="1600" w:type="dxa"/>
            <w:vAlign w:val="center"/>
          </w:tcPr>
          <w:p>
            <w:pPr>
              <w:pStyle w:val="TableNumber"/>
            </w:pPr>
            <w:r>
              <w:t>0.0670</w:t>
            </w:r>
          </w:p>
        </w:tc>
        <w:tc>
          <w:tcPr>
            <w:tcW w:w="1650" w:type="dxa"/>
            <w:vAlign w:val="center"/>
          </w:tcPr>
          <w:p>
            <w:pPr>
              <w:pStyle w:val="TableNumber"/>
            </w:pPr>
            <w:r>
              <w:t>52.95%</w:t>
            </w:r>
          </w:p>
        </w:tc>
        <w:tc>
          <w:tcPr>
            <w:tcW w:w="1650" w:type="dxa"/>
            <w:vAlign w:val="center"/>
          </w:tcPr>
          <w:p>
            <w:pPr>
              <w:pStyle w:val="TableNumber"/>
            </w:pPr>
            <w:r>
              <w:t>76.33%</w:t>
            </w:r>
          </w:p>
        </w:tc>
        <w:tc>
          <w:tcPr>
            <w:tcW w:w="1800" w:type="dxa"/>
            <w:vAlign w:val="center"/>
          </w:tcPr>
          <w:p>
            <w:pPr>
              <w:pStyle w:val="TableNumber"/>
            </w:pPr>
            <w:r>
              <w:t>3.67</w:t>
            </w:r>
          </w:p>
        </w:tc>
        <w:tc>
          <w:tcPr>
            <w:tcW w:w="1960" w:type="dxa"/>
            <w:vAlign w:val="center"/>
          </w:tcPr>
          <w:p>
            <w:pPr>
              <w:pStyle w:val="TableNumber"/>
            </w:pPr>
            <w:r>
              <w:t>0.10873</w:t>
            </w:r>
          </w:p>
        </w:tc>
      </w:tr>
      <w:tr>
        <w:trPr>
          <w:cantSplit/>
        </w:trPr>
        <w:tc>
          <w:tcPr>
            <w:tcW w:w="700" w:type="dxa"/>
            <w:vAlign w:val="center"/>
          </w:tcPr>
          <w:p>
            <w:pPr>
              <w:pStyle w:val="TableText"/>
            </w:pPr>
            <w:r>
              <w:t>4d</w:t>
            </w:r>
          </w:p>
        </w:tc>
        <w:tc>
          <w:tcPr>
            <w:tcW w:w="1600" w:type="dxa"/>
            <w:vAlign w:val="center"/>
          </w:tcPr>
          <w:p>
            <w:pPr>
              <w:pStyle w:val="TableNumber"/>
            </w:pPr>
            <w:r>
              <w:t>0.0749</w:t>
            </w:r>
          </w:p>
        </w:tc>
        <w:tc>
          <w:tcPr>
            <w:tcW w:w="1650" w:type="dxa"/>
            <w:vAlign w:val="center"/>
          </w:tcPr>
          <w:p>
            <w:pPr>
              <w:pStyle w:val="TableNumber"/>
            </w:pPr>
            <w:r>
              <w:t>52.91%</w:t>
            </w:r>
          </w:p>
        </w:tc>
        <w:tc>
          <w:tcPr>
            <w:tcW w:w="1650" w:type="dxa"/>
            <w:vAlign w:val="center"/>
          </w:tcPr>
          <w:p>
            <w:pPr>
              <w:pStyle w:val="TableNumber"/>
            </w:pPr>
            <w:r>
              <w:t>76.40%</w:t>
            </w:r>
          </w:p>
        </w:tc>
        <w:tc>
          <w:tcPr>
            <w:tcW w:w="1800" w:type="dxa"/>
            <w:vAlign w:val="center"/>
          </w:tcPr>
          <w:p>
            <w:pPr>
              <w:pStyle w:val="TableNumber"/>
            </w:pPr>
            <w:r>
              <w:t>3.60</w:t>
            </w:r>
          </w:p>
        </w:tc>
        <w:tc>
          <w:tcPr>
            <w:tcW w:w="1960" w:type="dxa"/>
            <w:vAlign w:val="center"/>
          </w:tcPr>
          <w:p>
            <w:pPr>
              <w:pStyle w:val="TableNumber"/>
            </w:pPr>
            <w:r>
              <w:t>0.12864</w:t>
            </w:r>
          </w:p>
        </w:tc>
      </w:tr>
      <w:tr>
        <w:trPr>
          <w:cantSplit/>
        </w:trPr>
        <w:tc>
          <w:tcPr>
            <w:tcW w:w="700" w:type="dxa"/>
            <w:vAlign w:val="center"/>
          </w:tcPr>
          <w:p>
            <w:pPr>
              <w:pStyle w:val="TableText"/>
            </w:pPr>
            <w:r>
              <w:t>5d</w:t>
            </w:r>
          </w:p>
        </w:tc>
        <w:tc>
          <w:tcPr>
            <w:tcW w:w="1600" w:type="dxa"/>
            <w:vAlign w:val="center"/>
          </w:tcPr>
          <w:p>
            <w:pPr>
              <w:pStyle w:val="TableNumber"/>
            </w:pPr>
            <w:r>
              <w:t>0.0833</w:t>
            </w:r>
          </w:p>
        </w:tc>
        <w:tc>
          <w:tcPr>
            <w:tcW w:w="1650" w:type="dxa"/>
            <w:vAlign w:val="center"/>
          </w:tcPr>
          <w:p>
            <w:pPr>
              <w:pStyle w:val="TableNumber"/>
            </w:pPr>
            <w:r>
              <w:t>54.22%</w:t>
            </w:r>
          </w:p>
        </w:tc>
        <w:tc>
          <w:tcPr>
            <w:tcW w:w="1650" w:type="dxa"/>
            <w:vAlign w:val="center"/>
          </w:tcPr>
          <w:p>
            <w:pPr>
              <w:pStyle w:val="TableNumber"/>
            </w:pPr>
            <w:r>
              <w:t>75.88%</w:t>
            </w:r>
          </w:p>
        </w:tc>
        <w:tc>
          <w:tcPr>
            <w:tcW w:w="1800" w:type="dxa"/>
            <w:vAlign w:val="center"/>
          </w:tcPr>
          <w:p>
            <w:pPr>
              <w:pStyle w:val="TableNumber"/>
            </w:pPr>
            <w:r>
              <w:t>4.12</w:t>
            </w:r>
          </w:p>
        </w:tc>
        <w:tc>
          <w:tcPr>
            <w:tcW w:w="1960" w:type="dxa"/>
            <w:vAlign w:val="center"/>
          </w:tcPr>
          <w:p>
            <w:pPr>
              <w:pStyle w:val="TableNumber"/>
            </w:pPr>
            <w:r>
              <w:t>0.14413</w:t>
            </w:r>
          </w:p>
        </w:tc>
      </w:tr>
      <w:tr>
        <w:trPr>
          <w:cantSplit/>
        </w:trPr>
        <w:tc>
          <w:tcPr>
            <w:tcW w:w="700" w:type="dxa"/>
            <w:vAlign w:val="center"/>
          </w:tcPr>
          <w:p>
            <w:pPr>
              <w:pStyle w:val="TableText"/>
            </w:pPr>
            <w:r>
              <w:t>6d</w:t>
            </w:r>
          </w:p>
        </w:tc>
        <w:tc>
          <w:tcPr>
            <w:tcW w:w="1600" w:type="dxa"/>
            <w:vAlign w:val="center"/>
          </w:tcPr>
          <w:p>
            <w:pPr>
              <w:pStyle w:val="TableNumber"/>
            </w:pPr>
            <w:r>
              <w:t>0.0906</w:t>
            </w:r>
          </w:p>
        </w:tc>
        <w:tc>
          <w:tcPr>
            <w:tcW w:w="1650" w:type="dxa"/>
            <w:vAlign w:val="center"/>
          </w:tcPr>
          <w:p>
            <w:pPr>
              <w:pStyle w:val="TableNumber"/>
            </w:pPr>
            <w:r>
              <w:t>54.47%</w:t>
            </w:r>
          </w:p>
        </w:tc>
        <w:tc>
          <w:tcPr>
            <w:tcW w:w="1650" w:type="dxa"/>
            <w:vAlign w:val="center"/>
          </w:tcPr>
          <w:p>
            <w:pPr>
              <w:pStyle w:val="TableNumber"/>
            </w:pPr>
            <w:r>
              <w:t>75.58%</w:t>
            </w:r>
          </w:p>
        </w:tc>
        <w:tc>
          <w:tcPr>
            <w:tcW w:w="1800" w:type="dxa"/>
            <w:vAlign w:val="center"/>
          </w:tcPr>
          <w:p>
            <w:pPr>
              <w:pStyle w:val="TableNumber"/>
            </w:pPr>
            <w:r>
              <w:t>4.42</w:t>
            </w:r>
          </w:p>
        </w:tc>
        <w:tc>
          <w:tcPr>
            <w:tcW w:w="1960" w:type="dxa"/>
            <w:vAlign w:val="center"/>
          </w:tcPr>
          <w:p>
            <w:pPr>
              <w:pStyle w:val="TableNumber"/>
            </w:pPr>
            <w:r>
              <w:t>0.15946</w:t>
            </w:r>
          </w:p>
        </w:tc>
      </w:tr>
      <w:tr>
        <w:trPr>
          <w:cantSplit/>
        </w:trPr>
        <w:tc>
          <w:tcPr>
            <w:tcW w:w="700" w:type="dxa"/>
            <w:vAlign w:val="center"/>
          </w:tcPr>
          <w:p>
            <w:pPr>
              <w:pStyle w:val="TableText"/>
            </w:pPr>
            <w:r>
              <w:t>7d</w:t>
            </w:r>
          </w:p>
        </w:tc>
        <w:tc>
          <w:tcPr>
            <w:tcW w:w="1600" w:type="dxa"/>
            <w:vAlign w:val="center"/>
          </w:tcPr>
          <w:p>
            <w:pPr>
              <w:pStyle w:val="TableNumber"/>
            </w:pPr>
            <w:r>
              <w:t>0.1037</w:t>
            </w:r>
          </w:p>
        </w:tc>
        <w:tc>
          <w:tcPr>
            <w:tcW w:w="1650" w:type="dxa"/>
            <w:vAlign w:val="center"/>
          </w:tcPr>
          <w:p>
            <w:pPr>
              <w:pStyle w:val="TableNumber"/>
            </w:pPr>
            <w:r>
              <w:t>55.13%</w:t>
            </w:r>
          </w:p>
        </w:tc>
        <w:tc>
          <w:tcPr>
            <w:tcW w:w="1650" w:type="dxa"/>
            <w:vAlign w:val="center"/>
          </w:tcPr>
          <w:p>
            <w:pPr>
              <w:pStyle w:val="TableNumber"/>
            </w:pPr>
            <w:r>
              <w:t>74.94%</w:t>
            </w:r>
          </w:p>
        </w:tc>
        <w:tc>
          <w:tcPr>
            <w:tcW w:w="1800" w:type="dxa"/>
            <w:vAlign w:val="center"/>
          </w:tcPr>
          <w:p>
            <w:pPr>
              <w:pStyle w:val="TableNumber"/>
            </w:pPr>
            <w:r>
              <w:t>5.06</w:t>
            </w:r>
          </w:p>
        </w:tc>
        <w:tc>
          <w:tcPr>
            <w:tcW w:w="1960" w:type="dxa"/>
            <w:vAlign w:val="center"/>
          </w:tcPr>
          <w:p>
            <w:pPr>
              <w:pStyle w:val="TableNumber"/>
            </w:pPr>
            <w:r>
              <w:t>0.17197</w:t>
            </w:r>
          </w:p>
        </w:tc>
      </w:tr>
      <w:tr>
        <w:trPr>
          <w:cantSplit/>
        </w:trPr>
        <w:tc>
          <w:tcPr>
            <w:tcW w:w="700" w:type="dxa"/>
            <w:vAlign w:val="center"/>
          </w:tcPr>
          <w:p>
            <w:pPr>
              <w:pStyle w:val="TableText"/>
            </w:pPr>
            <w:r>
              <w:t>8d</w:t>
            </w:r>
          </w:p>
        </w:tc>
        <w:tc>
          <w:tcPr>
            <w:tcW w:w="1600" w:type="dxa"/>
            <w:vAlign w:val="center"/>
          </w:tcPr>
          <w:p>
            <w:pPr>
              <w:pStyle w:val="TableNumber"/>
            </w:pPr>
            <w:r>
              <w:t>0.1081</w:t>
            </w:r>
          </w:p>
        </w:tc>
        <w:tc>
          <w:tcPr>
            <w:tcW w:w="1650" w:type="dxa"/>
            <w:vAlign w:val="center"/>
          </w:tcPr>
          <w:p>
            <w:pPr>
              <w:pStyle w:val="TableNumber"/>
            </w:pPr>
            <w:r>
              <w:t>55.11%</w:t>
            </w:r>
          </w:p>
        </w:tc>
        <w:tc>
          <w:tcPr>
            <w:tcW w:w="1650" w:type="dxa"/>
            <w:vAlign w:val="center"/>
          </w:tcPr>
          <w:p>
            <w:pPr>
              <w:pStyle w:val="TableNumber"/>
            </w:pPr>
            <w:r>
              <w:t>75.58%</w:t>
            </w:r>
          </w:p>
        </w:tc>
        <w:tc>
          <w:tcPr>
            <w:tcW w:w="1800" w:type="dxa"/>
            <w:vAlign w:val="center"/>
          </w:tcPr>
          <w:p>
            <w:pPr>
              <w:pStyle w:val="TableNumber"/>
            </w:pPr>
            <w:r>
              <w:t>4.42</w:t>
            </w:r>
          </w:p>
        </w:tc>
        <w:tc>
          <w:tcPr>
            <w:tcW w:w="1960" w:type="dxa"/>
            <w:vAlign w:val="center"/>
          </w:tcPr>
          <w:p>
            <w:pPr>
              <w:pStyle w:val="TableNumber"/>
            </w:pPr>
            <w:r>
              <w:t>0.18814</w:t>
            </w:r>
          </w:p>
        </w:tc>
      </w:tr>
      <w:tr>
        <w:trPr>
          <w:cantSplit/>
        </w:trPr>
        <w:tc>
          <w:tcPr>
            <w:tcW w:w="700" w:type="dxa"/>
            <w:vAlign w:val="center"/>
          </w:tcPr>
          <w:p>
            <w:pPr>
              <w:pStyle w:val="TableText"/>
            </w:pPr>
            <w:r>
              <w:t>9d</w:t>
            </w:r>
          </w:p>
        </w:tc>
        <w:tc>
          <w:tcPr>
            <w:tcW w:w="1600" w:type="dxa"/>
            <w:vAlign w:val="center"/>
          </w:tcPr>
          <w:p>
            <w:pPr>
              <w:pStyle w:val="TableNumber"/>
            </w:pPr>
            <w:r>
              <w:t>0.1141</w:t>
            </w:r>
          </w:p>
        </w:tc>
        <w:tc>
          <w:tcPr>
            <w:tcW w:w="1650" w:type="dxa"/>
            <w:vAlign w:val="center"/>
          </w:tcPr>
          <w:p>
            <w:pPr>
              <w:pStyle w:val="TableNumber"/>
            </w:pPr>
            <w:r>
              <w:t>55.46%</w:t>
            </w:r>
          </w:p>
        </w:tc>
        <w:tc>
          <w:tcPr>
            <w:tcW w:w="1650" w:type="dxa"/>
            <w:vAlign w:val="center"/>
          </w:tcPr>
          <w:p>
            <w:pPr>
              <w:pStyle w:val="TableNumber"/>
            </w:pPr>
            <w:r>
              <w:t>75.38%</w:t>
            </w:r>
          </w:p>
        </w:tc>
        <w:tc>
          <w:tcPr>
            <w:tcW w:w="1800" w:type="dxa"/>
            <w:vAlign w:val="center"/>
          </w:tcPr>
          <w:p>
            <w:pPr>
              <w:pStyle w:val="TableNumber"/>
            </w:pPr>
            <w:r>
              <w:t>4.62</w:t>
            </w:r>
          </w:p>
        </w:tc>
        <w:tc>
          <w:tcPr>
            <w:tcW w:w="1960" w:type="dxa"/>
            <w:vAlign w:val="center"/>
          </w:tcPr>
          <w:p>
            <w:pPr>
              <w:pStyle w:val="TableNumber"/>
            </w:pPr>
            <w:r>
              <w:t>0.20130</w:t>
            </w:r>
          </w:p>
        </w:tc>
      </w:tr>
      <w:tr>
        <w:trPr>
          <w:cantSplit/>
        </w:trPr>
        <w:tc>
          <w:tcPr>
            <w:tcW w:w="700" w:type="dxa"/>
            <w:vAlign w:val="center"/>
          </w:tcPr>
          <w:p>
            <w:pPr>
              <w:pStyle w:val="TableText"/>
            </w:pPr>
            <w:r>
              <w:t>10d</w:t>
            </w:r>
          </w:p>
        </w:tc>
        <w:tc>
          <w:tcPr>
            <w:tcW w:w="1600" w:type="dxa"/>
            <w:vAlign w:val="center"/>
          </w:tcPr>
          <w:p>
            <w:pPr>
              <w:pStyle w:val="TableNumber"/>
            </w:pPr>
            <w:r>
              <w:t>0.1160</w:t>
            </w:r>
          </w:p>
        </w:tc>
        <w:tc>
          <w:tcPr>
            <w:tcW w:w="1650" w:type="dxa"/>
            <w:vAlign w:val="center"/>
          </w:tcPr>
          <w:p>
            <w:pPr>
              <w:pStyle w:val="TableNumber"/>
            </w:pPr>
            <w:r>
              <w:t>55.51%</w:t>
            </w:r>
          </w:p>
        </w:tc>
        <w:tc>
          <w:tcPr>
            <w:tcW w:w="1650" w:type="dxa"/>
            <w:vAlign w:val="center"/>
          </w:tcPr>
          <w:p>
            <w:pPr>
              <w:pStyle w:val="TableNumber"/>
            </w:pPr>
            <w:r>
              <w:t>75.48%</w:t>
            </w:r>
          </w:p>
        </w:tc>
        <w:tc>
          <w:tcPr>
            <w:tcW w:w="1800" w:type="dxa"/>
            <w:vAlign w:val="center"/>
          </w:tcPr>
          <w:p>
            <w:pPr>
              <w:pStyle w:val="TableNumber"/>
            </w:pPr>
            <w:r>
              <w:t>4.52</w:t>
            </w:r>
          </w:p>
        </w:tc>
        <w:tc>
          <w:tcPr>
            <w:tcW w:w="1960" w:type="dxa"/>
            <w:vAlign w:val="center"/>
          </w:tcPr>
          <w:p>
            <w:pPr>
              <w:pStyle w:val="TableNumber"/>
            </w:pPr>
            <w:r>
              <w:t>0.21398</w:t>
            </w:r>
          </w:p>
        </w:tc>
      </w:tr>
      <w:tr>
        <w:trPr>
          <w:cantSplit/>
        </w:trPr>
        <w:tc>
          <w:tcPr>
            <w:tcW w:w="700" w:type="dxa"/>
            <w:vAlign w:val="center"/>
          </w:tcPr>
          <w:p>
            <w:pPr>
              <w:pStyle w:val="TableText"/>
            </w:pPr>
            <w:r>
              <w:t>11d</w:t>
            </w:r>
          </w:p>
        </w:tc>
        <w:tc>
          <w:tcPr>
            <w:tcW w:w="1600" w:type="dxa"/>
            <w:vAlign w:val="center"/>
          </w:tcPr>
          <w:p>
            <w:pPr>
              <w:pStyle w:val="TableNumber"/>
            </w:pPr>
            <w:r>
              <w:t>0.1207</w:t>
            </w:r>
          </w:p>
        </w:tc>
        <w:tc>
          <w:tcPr>
            <w:tcW w:w="1650" w:type="dxa"/>
            <w:vAlign w:val="center"/>
          </w:tcPr>
          <w:p>
            <w:pPr>
              <w:pStyle w:val="TableNumber"/>
            </w:pPr>
            <w:r>
              <w:t>55.96%</w:t>
            </w:r>
          </w:p>
        </w:tc>
        <w:tc>
          <w:tcPr>
            <w:tcW w:w="1650" w:type="dxa"/>
            <w:vAlign w:val="center"/>
          </w:tcPr>
          <w:p>
            <w:pPr>
              <w:pStyle w:val="TableNumber"/>
            </w:pPr>
            <w:r>
              <w:t>75.43%</w:t>
            </w:r>
          </w:p>
        </w:tc>
        <w:tc>
          <w:tcPr>
            <w:tcW w:w="1800" w:type="dxa"/>
            <w:vAlign w:val="center"/>
          </w:tcPr>
          <w:p>
            <w:pPr>
              <w:pStyle w:val="TableNumber"/>
            </w:pPr>
            <w:r>
              <w:t>4.57</w:t>
            </w:r>
          </w:p>
        </w:tc>
        <w:tc>
          <w:tcPr>
            <w:tcW w:w="1960" w:type="dxa"/>
            <w:vAlign w:val="center"/>
          </w:tcPr>
          <w:p>
            <w:pPr>
              <w:pStyle w:val="TableNumber"/>
            </w:pPr>
            <w:r>
              <w:t>0.22576</w:t>
            </w:r>
          </w:p>
        </w:tc>
      </w:tr>
      <w:tr>
        <w:trPr>
          <w:cantSplit/>
        </w:trPr>
        <w:tc>
          <w:tcPr>
            <w:tcW w:w="700" w:type="dxa"/>
            <w:vAlign w:val="center"/>
          </w:tcPr>
          <w:p>
            <w:pPr>
              <w:pStyle w:val="TableText"/>
            </w:pPr>
            <w:r>
              <w:t>12d</w:t>
            </w:r>
          </w:p>
        </w:tc>
        <w:tc>
          <w:tcPr>
            <w:tcW w:w="1600" w:type="dxa"/>
            <w:vAlign w:val="center"/>
          </w:tcPr>
          <w:p>
            <w:pPr>
              <w:pStyle w:val="TableNumber"/>
            </w:pPr>
            <w:r>
              <w:t>0.1236</w:t>
            </w:r>
          </w:p>
        </w:tc>
        <w:tc>
          <w:tcPr>
            <w:tcW w:w="1650" w:type="dxa"/>
            <w:vAlign w:val="center"/>
          </w:tcPr>
          <w:p>
            <w:pPr>
              <w:pStyle w:val="TableNumber"/>
            </w:pPr>
            <w:r>
              <w:t>55.93%</w:t>
            </w:r>
          </w:p>
        </w:tc>
        <w:tc>
          <w:tcPr>
            <w:tcW w:w="1650" w:type="dxa"/>
            <w:vAlign w:val="center"/>
          </w:tcPr>
          <w:p>
            <w:pPr>
              <w:pStyle w:val="TableNumber"/>
            </w:pPr>
            <w:r>
              <w:t>75.13%</w:t>
            </w:r>
          </w:p>
        </w:tc>
        <w:tc>
          <w:tcPr>
            <w:tcW w:w="1800" w:type="dxa"/>
            <w:vAlign w:val="center"/>
          </w:tcPr>
          <w:p>
            <w:pPr>
              <w:pStyle w:val="TableNumber"/>
            </w:pPr>
            <w:r>
              <w:t>4.87</w:t>
            </w:r>
          </w:p>
        </w:tc>
        <w:tc>
          <w:tcPr>
            <w:tcW w:w="1960" w:type="dxa"/>
            <w:vAlign w:val="center"/>
          </w:tcPr>
          <w:p>
            <w:pPr>
              <w:pStyle w:val="TableNumber"/>
            </w:pPr>
            <w:r>
              <w:t>0.23637</w:t>
            </w:r>
          </w:p>
        </w:tc>
      </w:tr>
      <w:tr>
        <w:trPr>
          <w:cantSplit/>
        </w:trPr>
        <w:tc>
          <w:tcPr>
            <w:tcW w:w="700" w:type="dxa"/>
            <w:vAlign w:val="center"/>
          </w:tcPr>
          <w:p>
            <w:pPr>
              <w:pStyle w:val="TableText"/>
            </w:pPr>
            <w:r>
              <w:t>13d</w:t>
            </w:r>
          </w:p>
        </w:tc>
        <w:tc>
          <w:tcPr>
            <w:tcW w:w="1600" w:type="dxa"/>
            <w:vAlign w:val="center"/>
          </w:tcPr>
          <w:p>
            <w:pPr>
              <w:pStyle w:val="TableNumber"/>
            </w:pPr>
            <w:r>
              <w:t>0.1227</w:t>
            </w:r>
          </w:p>
        </w:tc>
        <w:tc>
          <w:tcPr>
            <w:tcW w:w="1650" w:type="dxa"/>
            <w:vAlign w:val="center"/>
          </w:tcPr>
          <w:p>
            <w:pPr>
              <w:pStyle w:val="TableNumber"/>
            </w:pPr>
            <w:r>
              <w:t>56.43%</w:t>
            </w:r>
          </w:p>
        </w:tc>
        <w:tc>
          <w:tcPr>
            <w:tcW w:w="1650" w:type="dxa"/>
            <w:vAlign w:val="center"/>
          </w:tcPr>
          <w:p>
            <w:pPr>
              <w:pStyle w:val="TableNumber"/>
            </w:pPr>
            <w:r>
              <w:t>74.83%</w:t>
            </w:r>
          </w:p>
        </w:tc>
        <w:tc>
          <w:tcPr>
            <w:tcW w:w="1800" w:type="dxa"/>
            <w:vAlign w:val="center"/>
          </w:tcPr>
          <w:p>
            <w:pPr>
              <w:pStyle w:val="TableNumber"/>
            </w:pPr>
            <w:r>
              <w:t>5.17</w:t>
            </w:r>
          </w:p>
        </w:tc>
        <w:tc>
          <w:tcPr>
            <w:tcW w:w="1960" w:type="dxa"/>
            <w:vAlign w:val="center"/>
          </w:tcPr>
          <w:p>
            <w:pPr>
              <w:pStyle w:val="TableNumber"/>
            </w:pPr>
            <w:r>
              <w:t>0.24662</w:t>
            </w:r>
          </w:p>
        </w:tc>
      </w:tr>
      <w:tr>
        <w:trPr>
          <w:cantSplit/>
        </w:trPr>
        <w:tc>
          <w:tcPr>
            <w:tcW w:w="700" w:type="dxa"/>
            <w:vAlign w:val="center"/>
          </w:tcPr>
          <w:p>
            <w:pPr>
              <w:pStyle w:val="TableText"/>
            </w:pPr>
            <w:r>
              <w:t>14d</w:t>
            </w:r>
          </w:p>
        </w:tc>
        <w:tc>
          <w:tcPr>
            <w:tcW w:w="1600" w:type="dxa"/>
            <w:vAlign w:val="center"/>
          </w:tcPr>
          <w:p>
            <w:pPr>
              <w:pStyle w:val="TableNumber"/>
            </w:pPr>
            <w:r>
              <w:t>0.1268</w:t>
            </w:r>
          </w:p>
        </w:tc>
        <w:tc>
          <w:tcPr>
            <w:tcW w:w="1650" w:type="dxa"/>
            <w:vAlign w:val="center"/>
          </w:tcPr>
          <w:p>
            <w:pPr>
              <w:pStyle w:val="TableNumber"/>
            </w:pPr>
            <w:r>
              <w:t>56.54%</w:t>
            </w:r>
          </w:p>
        </w:tc>
        <w:tc>
          <w:tcPr>
            <w:tcW w:w="1650" w:type="dxa"/>
            <w:vAlign w:val="center"/>
          </w:tcPr>
          <w:p>
            <w:pPr>
              <w:pStyle w:val="TableNumber"/>
            </w:pPr>
            <w:r>
              <w:t>74.96%</w:t>
            </w:r>
          </w:p>
        </w:tc>
        <w:tc>
          <w:tcPr>
            <w:tcW w:w="1800" w:type="dxa"/>
            <w:vAlign w:val="center"/>
          </w:tcPr>
          <w:p>
            <w:pPr>
              <w:pStyle w:val="TableNumber"/>
            </w:pPr>
            <w:r>
              <w:t>5.04</w:t>
            </w:r>
          </w:p>
        </w:tc>
        <w:tc>
          <w:tcPr>
            <w:tcW w:w="1960" w:type="dxa"/>
            <w:vAlign w:val="center"/>
          </w:tcPr>
          <w:p>
            <w:pPr>
              <w:pStyle w:val="TableNumber"/>
            </w:pPr>
            <w:r>
              <w:t>0.25873</w:t>
            </w:r>
          </w:p>
        </w:tc>
      </w:tr>
    </w:tbl>
    <w:p>
      <w:pPr>
        <w:pStyle w:val="a"/>
        <w:spacing w:before="160"/>
      </w:pPr>
      <w:r>
        <w:t xml:space="preserve">Table 8 reports raw results. The added tables compare raw and calibrated intervals and the fixed-distribution baseline. Original q50 MAE, correlation and direction agreement are retained and exactly unchanged by calibration; interval improvement is not point-forecast or direction improvement.</w:t>
      </w:r>
    </w:p>
    <w:p>
      <w:pPr>
        <w:pStyle w:val="21"/>
      </w:pPr>
      <w:r>
        <w:t xml:space="preserve">6.2a Complete raw and calibrated distributions</w:t>
      </w:r>
    </w:p>
    <w:p>
      <w:pPr>
        <w:pStyle w:val="Decision"/>
      </w:pPr>
      <w:r>
        <w:t xml:space="preserve">Table 8a | Raw on the first line and calibrated on the second</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pPr>
            <w:r>
              <w:t xml:space="preserve">H</w:t>
            </w:r>
          </w:p>
        </w:tc>
        <w:tc>
          <w:tcPr>
            <w:tcW w:w="2075" w:type="dxa"/>
            <w:shd w:fill="DCE6F1"/>
            <w:vAlign w:val="center"/>
          </w:tcPr>
          <w:p>
            <w:pPr>
              <w:pStyle w:val="TableHeader"/>
            </w:pPr>
            <w:r>
              <w:t xml:space="preserve">N pinball</w:t>
              <w:br/>
              <w:t xml:space="preserve">raw / calibrated</w:t>
            </w:r>
          </w:p>
        </w:tc>
        <w:tc>
          <w:tcPr>
            <w:tcW w:w="2075" w:type="dxa"/>
            <w:shd w:fill="DCE6F1"/>
            <w:vAlign w:val="center"/>
          </w:tcPr>
          <w:p>
            <w:pPr>
              <w:pStyle w:val="TableHeader"/>
            </w:pPr>
            <w:r>
              <w:t xml:space="preserve">Coverage</w:t>
              <w:br/>
              <w:t xml:space="preserve">raw / calibrated</w:t>
            </w:r>
          </w:p>
        </w:tc>
        <w:tc>
          <w:tcPr>
            <w:tcW w:w="2200" w:type="dxa"/>
            <w:shd w:fill="DCE6F1"/>
            <w:vAlign w:val="center"/>
          </w:tcPr>
          <w:p>
            <w:pPr>
              <w:pStyle w:val="TableHeader"/>
            </w:pPr>
            <w:r>
              <w:t xml:space="preserve">Coverage error pp</w:t>
              <w:br/>
              <w:t xml:space="preserve">raw / calibrated</w:t>
            </w:r>
          </w:p>
        </w:tc>
        <w:tc>
          <w:tcPr>
            <w:tcW w:w="2360" w:type="dxa"/>
            <w:shd w:fill="DCE6F1"/>
            <w:vAlign w:val="center"/>
          </w:tcPr>
          <w:p>
            <w:pPr>
              <w:pStyle w:val="TableHeader"/>
            </w:pPr>
            <w:r>
              <w:t xml:space="preserve">Width</w:t>
              <w:br/>
              <w:t xml:space="preserve">raw / calibrated</w:t>
            </w:r>
          </w:p>
        </w:tc>
      </w:tr>
      <w:tr>
        <w:trPr>
          <w:cantSplit/>
        </w:trPr>
        <w:tc>
          <w:tcPr>
            <w:tcW w:w="650" w:type="dxa"/>
            <w:shd w:fill="FFFFFF"/>
            <w:vAlign w:val="center"/>
          </w:tcPr>
          <w:p>
            <w:pPr>
              <w:pStyle w:val="TableNumber"/>
            </w:pPr>
            <w:r>
              <w:t xml:space="preserve">All</w:t>
            </w:r>
          </w:p>
        </w:tc>
        <w:tc>
          <w:tcPr>
            <w:tcW w:w="2075" w:type="dxa"/>
            <w:shd w:fill="FFFFFF"/>
            <w:vAlign w:val="center"/>
          </w:tcPr>
          <w:p>
            <w:pPr>
              <w:pStyle w:val="TableNumber"/>
            </w:pPr>
            <w:r>
              <w:t xml:space="preserve">0.293823</w:t>
              <w:br/>
              <w:t xml:space="preserve">0.293445</w:t>
            </w:r>
          </w:p>
        </w:tc>
        <w:tc>
          <w:tcPr>
            <w:tcW w:w="2075" w:type="dxa"/>
            <w:shd w:fill="FFFFFF"/>
            <w:vAlign w:val="center"/>
          </w:tcPr>
          <w:p>
            <w:pPr>
              <w:pStyle w:val="TableNumber"/>
            </w:pPr>
            <w:r>
              <w:t xml:space="preserve">75.7978%</w:t>
              <w:br/>
              <w:t xml:space="preserve">77.1449%</w:t>
            </w:r>
          </w:p>
        </w:tc>
        <w:tc>
          <w:tcPr>
            <w:tcW w:w="2200" w:type="dxa"/>
            <w:shd w:fill="FFFFFF"/>
            <w:vAlign w:val="center"/>
          </w:tcPr>
          <w:p>
            <w:pPr>
              <w:pStyle w:val="TableNumber"/>
            </w:pPr>
            <w:r>
              <w:t xml:space="preserve">4.2022</w:t>
              <w:br/>
              <w:t xml:space="preserve">2.8551</w:t>
            </w:r>
          </w:p>
        </w:tc>
        <w:tc>
          <w:tcPr>
            <w:tcW w:w="2360" w:type="dxa"/>
            <w:shd w:fill="FFFFFF"/>
            <w:vAlign w:val="center"/>
          </w:tcPr>
          <w:p>
            <w:pPr>
              <w:pStyle w:val="TableNumber"/>
            </w:pPr>
            <w:r>
              <w:t xml:space="preserve">0.173663</w:t>
              <w:br/>
              <w:t xml:space="preserve">0.178931</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0.289210</w:t>
              <w:br/>
              <w:t xml:space="preserve">0.289274</w:t>
            </w:r>
          </w:p>
        </w:tc>
        <w:tc>
          <w:tcPr>
            <w:tcW w:w="2075" w:type="dxa"/>
            <w:shd w:fill="F7F9FC"/>
            <w:vAlign w:val="center"/>
          </w:tcPr>
          <w:p>
            <w:pPr>
              <w:pStyle w:val="TableNumber"/>
            </w:pPr>
            <w:r>
              <w:t xml:space="preserve">78.0661%</w:t>
              <w:br/>
              <w:t xml:space="preserve">78.9586%</w:t>
            </w:r>
          </w:p>
        </w:tc>
        <w:tc>
          <w:tcPr>
            <w:tcW w:w="2200" w:type="dxa"/>
            <w:shd w:fill="F7F9FC"/>
            <w:vAlign w:val="center"/>
          </w:tcPr>
          <w:p>
            <w:pPr>
              <w:pStyle w:val="TableNumber"/>
            </w:pPr>
            <w:r>
              <w:t xml:space="preserve">1.9339</w:t>
              <w:br/>
              <w:t xml:space="preserve">1.0414</w:t>
            </w:r>
          </w:p>
        </w:tc>
        <w:tc>
          <w:tcPr>
            <w:tcW w:w="2360" w:type="dxa"/>
            <w:shd w:fill="F7F9FC"/>
            <w:vAlign w:val="center"/>
          </w:tcPr>
          <w:p>
            <w:pPr>
              <w:pStyle w:val="TableNumber"/>
            </w:pPr>
            <w:r>
              <w:t xml:space="preserve">0.059548</w:t>
              <w:br/>
              <w:t xml:space="preserve">0.060967</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0.292728</w:t>
              <w:br/>
              <w:t xml:space="preserve">0.292585</w:t>
            </w:r>
          </w:p>
        </w:tc>
        <w:tc>
          <w:tcPr>
            <w:tcW w:w="2075" w:type="dxa"/>
            <w:shd w:fill="FFFFFF"/>
            <w:vAlign w:val="center"/>
          </w:tcPr>
          <w:p>
            <w:pPr>
              <w:pStyle w:val="TableNumber"/>
            </w:pPr>
            <w:r>
              <w:t xml:space="preserve">77.1892%</w:t>
              <w:br/>
              <w:t xml:space="preserve">78.2190%</w:t>
            </w:r>
          </w:p>
        </w:tc>
        <w:tc>
          <w:tcPr>
            <w:tcW w:w="2200" w:type="dxa"/>
            <w:shd w:fill="FFFFFF"/>
            <w:vAlign w:val="center"/>
          </w:tcPr>
          <w:p>
            <w:pPr>
              <w:pStyle w:val="TableNumber"/>
            </w:pPr>
            <w:r>
              <w:t xml:space="preserve">2.8108</w:t>
              <w:br/>
              <w:t xml:space="preserve">1.7810</w:t>
            </w:r>
          </w:p>
        </w:tc>
        <w:tc>
          <w:tcPr>
            <w:tcW w:w="2360" w:type="dxa"/>
            <w:shd w:fill="FFFFFF"/>
            <w:vAlign w:val="center"/>
          </w:tcPr>
          <w:p>
            <w:pPr>
              <w:pStyle w:val="TableNumber"/>
            </w:pPr>
            <w:r>
              <w:t xml:space="preserve">0.087901</w:t>
              <w:br/>
              <w:t xml:space="preserve">0.090198</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0.294884</w:t>
              <w:br/>
              <w:t xml:space="preserve">0.294571</w:t>
            </w:r>
          </w:p>
        </w:tc>
        <w:tc>
          <w:tcPr>
            <w:tcW w:w="2075" w:type="dxa"/>
            <w:shd w:fill="F7F9FC"/>
            <w:vAlign w:val="center"/>
          </w:tcPr>
          <w:p>
            <w:pPr>
              <w:pStyle w:val="TableNumber"/>
            </w:pPr>
            <w:r>
              <w:t xml:space="preserve">76.3345%</w:t>
              <w:br/>
              <w:t xml:space="preserve">77.3545%</w:t>
            </w:r>
          </w:p>
        </w:tc>
        <w:tc>
          <w:tcPr>
            <w:tcW w:w="2200" w:type="dxa"/>
            <w:shd w:fill="F7F9FC"/>
            <w:vAlign w:val="center"/>
          </w:tcPr>
          <w:p>
            <w:pPr>
              <w:pStyle w:val="TableNumber"/>
            </w:pPr>
            <w:r>
              <w:t xml:space="preserve">3.6655</w:t>
              <w:br/>
              <w:t xml:space="preserve">2.6455</w:t>
            </w:r>
          </w:p>
        </w:tc>
        <w:tc>
          <w:tcPr>
            <w:tcW w:w="2360" w:type="dxa"/>
            <w:shd w:fill="F7F9FC"/>
            <w:vAlign w:val="center"/>
          </w:tcPr>
          <w:p>
            <w:pPr>
              <w:pStyle w:val="TableNumber"/>
            </w:pPr>
            <w:r>
              <w:t xml:space="preserve">0.108726</w:t>
              <w:br/>
              <w:t xml:space="preserve">0.111309</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0.293304</w:t>
              <w:br/>
              <w:t xml:space="preserve">0.293024</w:t>
            </w:r>
          </w:p>
        </w:tc>
        <w:tc>
          <w:tcPr>
            <w:tcW w:w="2075" w:type="dxa"/>
            <w:shd w:fill="FFFFFF"/>
            <w:vAlign w:val="center"/>
          </w:tcPr>
          <w:p>
            <w:pPr>
              <w:pStyle w:val="TableNumber"/>
            </w:pPr>
            <w:r>
              <w:t xml:space="preserve">76.3987%</w:t>
              <w:br/>
              <w:t xml:space="preserve">77.3564%</w:t>
            </w:r>
          </w:p>
        </w:tc>
        <w:tc>
          <w:tcPr>
            <w:tcW w:w="2200" w:type="dxa"/>
            <w:shd w:fill="FFFFFF"/>
            <w:vAlign w:val="center"/>
          </w:tcPr>
          <w:p>
            <w:pPr>
              <w:pStyle w:val="TableNumber"/>
            </w:pPr>
            <w:r>
              <w:t xml:space="preserve">3.6013</w:t>
              <w:br/>
              <w:t xml:space="preserve">2.6436</w:t>
            </w:r>
          </w:p>
        </w:tc>
        <w:tc>
          <w:tcPr>
            <w:tcW w:w="2360" w:type="dxa"/>
            <w:shd w:fill="FFFFFF"/>
            <w:vAlign w:val="center"/>
          </w:tcPr>
          <w:p>
            <w:pPr>
              <w:pStyle w:val="TableNumber"/>
            </w:pPr>
            <w:r>
              <w:t xml:space="preserve">0.128641</w:t>
              <w:br/>
              <w:t xml:space="preserve">0.131170</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0.291401</w:t>
              <w:br/>
              <w:t xml:space="preserve">0.290828</w:t>
            </w:r>
          </w:p>
        </w:tc>
        <w:tc>
          <w:tcPr>
            <w:tcW w:w="2075" w:type="dxa"/>
            <w:shd w:fill="F7F9FC"/>
            <w:vAlign w:val="center"/>
          </w:tcPr>
          <w:p>
            <w:pPr>
              <w:pStyle w:val="TableNumber"/>
            </w:pPr>
            <w:r>
              <w:t xml:space="preserve">75.8801%</w:t>
              <w:br/>
              <w:t xml:space="preserve">77.2791%</w:t>
            </w:r>
          </w:p>
        </w:tc>
        <w:tc>
          <w:tcPr>
            <w:tcW w:w="2200" w:type="dxa"/>
            <w:shd w:fill="F7F9FC"/>
            <w:vAlign w:val="center"/>
          </w:tcPr>
          <w:p>
            <w:pPr>
              <w:pStyle w:val="TableNumber"/>
            </w:pPr>
            <w:r>
              <w:t xml:space="preserve">4.1199</w:t>
              <w:br/>
              <w:t xml:space="preserve">2.7209</w:t>
            </w:r>
          </w:p>
        </w:tc>
        <w:tc>
          <w:tcPr>
            <w:tcW w:w="2360" w:type="dxa"/>
            <w:shd w:fill="F7F9FC"/>
            <w:vAlign w:val="center"/>
          </w:tcPr>
          <w:p>
            <w:pPr>
              <w:pStyle w:val="TableNumber"/>
            </w:pPr>
            <w:r>
              <w:t xml:space="preserve">0.144128</w:t>
              <w:br/>
              <w:t xml:space="preserve">0.148808</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0.293895</w:t>
              <w:br/>
              <w:t xml:space="preserve">0.293544</w:t>
            </w:r>
          </w:p>
        </w:tc>
        <w:tc>
          <w:tcPr>
            <w:tcW w:w="2075" w:type="dxa"/>
            <w:shd w:fill="FFFFFF"/>
            <w:vAlign w:val="center"/>
          </w:tcPr>
          <w:p>
            <w:pPr>
              <w:pStyle w:val="TableNumber"/>
            </w:pPr>
            <w:r>
              <w:t xml:space="preserve">75.5769%</w:t>
              <w:br/>
              <w:t xml:space="preserve">76.9619%</w:t>
            </w:r>
          </w:p>
        </w:tc>
        <w:tc>
          <w:tcPr>
            <w:tcW w:w="2200" w:type="dxa"/>
            <w:shd w:fill="FFFFFF"/>
            <w:vAlign w:val="center"/>
          </w:tcPr>
          <w:p>
            <w:pPr>
              <w:pStyle w:val="TableNumber"/>
            </w:pPr>
            <w:r>
              <w:t xml:space="preserve">4.4231</w:t>
              <w:br/>
              <w:t xml:space="preserve">3.0381</w:t>
            </w:r>
          </w:p>
        </w:tc>
        <w:tc>
          <w:tcPr>
            <w:tcW w:w="2360" w:type="dxa"/>
            <w:shd w:fill="FFFFFF"/>
            <w:vAlign w:val="center"/>
          </w:tcPr>
          <w:p>
            <w:pPr>
              <w:pStyle w:val="TableNumber"/>
            </w:pPr>
            <w:r>
              <w:t xml:space="preserve">0.159459</w:t>
              <w:br/>
              <w:t xml:space="preserve">0.164210</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0.294264</w:t>
              <w:br/>
              <w:t xml:space="preserve">0.293744</w:t>
            </w:r>
          </w:p>
        </w:tc>
        <w:tc>
          <w:tcPr>
            <w:tcW w:w="2075" w:type="dxa"/>
            <w:shd w:fill="F7F9FC"/>
            <w:vAlign w:val="center"/>
          </w:tcPr>
          <w:p>
            <w:pPr>
              <w:pStyle w:val="TableNumber"/>
            </w:pPr>
            <w:r>
              <w:t xml:space="preserve">74.9412%</w:t>
              <w:br/>
              <w:t xml:space="preserve">76.6227%</w:t>
            </w:r>
          </w:p>
        </w:tc>
        <w:tc>
          <w:tcPr>
            <w:tcW w:w="2200" w:type="dxa"/>
            <w:shd w:fill="F7F9FC"/>
            <w:vAlign w:val="center"/>
          </w:tcPr>
          <w:p>
            <w:pPr>
              <w:pStyle w:val="TableNumber"/>
            </w:pPr>
            <w:r>
              <w:t xml:space="preserve">5.0588</w:t>
              <w:br/>
              <w:t xml:space="preserve">3.3773</w:t>
            </w:r>
          </w:p>
        </w:tc>
        <w:tc>
          <w:tcPr>
            <w:tcW w:w="2360" w:type="dxa"/>
            <w:shd w:fill="F7F9FC"/>
            <w:vAlign w:val="center"/>
          </w:tcPr>
          <w:p>
            <w:pPr>
              <w:pStyle w:val="TableNumber"/>
            </w:pPr>
            <w:r>
              <w:t xml:space="preserve">0.171965</w:t>
              <w:br/>
              <w:t xml:space="preserve">0.177962</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0.294717</w:t>
              <w:br/>
              <w:t xml:space="preserve">0.294434</w:t>
            </w:r>
          </w:p>
        </w:tc>
        <w:tc>
          <w:tcPr>
            <w:tcW w:w="2075" w:type="dxa"/>
            <w:shd w:fill="FFFFFF"/>
            <w:vAlign w:val="center"/>
          </w:tcPr>
          <w:p>
            <w:pPr>
              <w:pStyle w:val="TableNumber"/>
            </w:pPr>
            <w:r>
              <w:t xml:space="preserve">75.5766%</w:t>
              <w:br/>
              <w:t xml:space="preserve">76.6583%</w:t>
            </w:r>
          </w:p>
        </w:tc>
        <w:tc>
          <w:tcPr>
            <w:tcW w:w="2200" w:type="dxa"/>
            <w:shd w:fill="FFFFFF"/>
            <w:vAlign w:val="center"/>
          </w:tcPr>
          <w:p>
            <w:pPr>
              <w:pStyle w:val="TableNumber"/>
            </w:pPr>
            <w:r>
              <w:t xml:space="preserve">4.4234</w:t>
              <w:br/>
              <w:t xml:space="preserve">3.3417</w:t>
            </w:r>
          </w:p>
        </w:tc>
        <w:tc>
          <w:tcPr>
            <w:tcW w:w="2360" w:type="dxa"/>
            <w:shd w:fill="FFFFFF"/>
            <w:vAlign w:val="center"/>
          </w:tcPr>
          <w:p>
            <w:pPr>
              <w:pStyle w:val="TableNumber"/>
            </w:pPr>
            <w:r>
              <w:t xml:space="preserve">0.188144</w:t>
              <w:br/>
              <w:t xml:space="preserve">0.192074</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0.295575</w:t>
              <w:br/>
              <w:t xml:space="preserve">0.295242</w:t>
            </w:r>
          </w:p>
        </w:tc>
        <w:tc>
          <w:tcPr>
            <w:tcW w:w="2075" w:type="dxa"/>
            <w:shd w:fill="F7F9FC"/>
            <w:vAlign w:val="center"/>
          </w:tcPr>
          <w:p>
            <w:pPr>
              <w:pStyle w:val="TableNumber"/>
            </w:pPr>
            <w:r>
              <w:t xml:space="preserve">75.3842%</w:t>
              <w:br/>
              <w:t xml:space="preserve">76.8226%</w:t>
            </w:r>
          </w:p>
        </w:tc>
        <w:tc>
          <w:tcPr>
            <w:tcW w:w="2200" w:type="dxa"/>
            <w:shd w:fill="F7F9FC"/>
            <w:vAlign w:val="center"/>
          </w:tcPr>
          <w:p>
            <w:pPr>
              <w:pStyle w:val="TableNumber"/>
            </w:pPr>
            <w:r>
              <w:t xml:space="preserve">4.6158</w:t>
              <w:br/>
              <w:t xml:space="preserve">3.1774</w:t>
            </w:r>
          </w:p>
        </w:tc>
        <w:tc>
          <w:tcPr>
            <w:tcW w:w="2360" w:type="dxa"/>
            <w:shd w:fill="F7F9FC"/>
            <w:vAlign w:val="center"/>
          </w:tcPr>
          <w:p>
            <w:pPr>
              <w:pStyle w:val="TableNumber"/>
            </w:pPr>
            <w:r>
              <w:t xml:space="preserve">0.201300</w:t>
              <w:br/>
              <w:t xml:space="preserve">0.207489</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0.294739</w:t>
              <w:br/>
              <w:t xml:space="preserve">0.294293</w:t>
            </w:r>
          </w:p>
        </w:tc>
        <w:tc>
          <w:tcPr>
            <w:tcW w:w="2075" w:type="dxa"/>
            <w:shd w:fill="FFFFFF"/>
            <w:vAlign w:val="center"/>
          </w:tcPr>
          <w:p>
            <w:pPr>
              <w:pStyle w:val="TableNumber"/>
            </w:pPr>
            <w:r>
              <w:t xml:space="preserve">75.4768%</w:t>
              <w:br/>
              <w:t xml:space="preserve">76.8095%</w:t>
            </w:r>
          </w:p>
        </w:tc>
        <w:tc>
          <w:tcPr>
            <w:tcW w:w="2200" w:type="dxa"/>
            <w:shd w:fill="FFFFFF"/>
            <w:vAlign w:val="center"/>
          </w:tcPr>
          <w:p>
            <w:pPr>
              <w:pStyle w:val="TableNumber"/>
            </w:pPr>
            <w:r>
              <w:t xml:space="preserve">4.5232</w:t>
              <w:br/>
              <w:t xml:space="preserve">3.1905</w:t>
            </w:r>
          </w:p>
        </w:tc>
        <w:tc>
          <w:tcPr>
            <w:tcW w:w="2360" w:type="dxa"/>
            <w:shd w:fill="FFFFFF"/>
            <w:vAlign w:val="center"/>
          </w:tcPr>
          <w:p>
            <w:pPr>
              <w:pStyle w:val="TableNumber"/>
            </w:pPr>
            <w:r>
              <w:t xml:space="preserve">0.213983</w:t>
              <w:br/>
              <w:t xml:space="preserve">0.219854</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0.295446</w:t>
              <w:br/>
              <w:t xml:space="preserve">0.295031</w:t>
            </w:r>
          </w:p>
        </w:tc>
        <w:tc>
          <w:tcPr>
            <w:tcW w:w="2075" w:type="dxa"/>
            <w:shd w:fill="F7F9FC"/>
            <w:vAlign w:val="center"/>
          </w:tcPr>
          <w:p>
            <w:pPr>
              <w:pStyle w:val="TableNumber"/>
            </w:pPr>
            <w:r>
              <w:t xml:space="preserve">75.4280%</w:t>
              <w:br/>
              <w:t xml:space="preserve">76.7584%</w:t>
            </w:r>
          </w:p>
        </w:tc>
        <w:tc>
          <w:tcPr>
            <w:tcW w:w="2200" w:type="dxa"/>
            <w:shd w:fill="F7F9FC"/>
            <w:vAlign w:val="center"/>
          </w:tcPr>
          <w:p>
            <w:pPr>
              <w:pStyle w:val="TableNumber"/>
            </w:pPr>
            <w:r>
              <w:t xml:space="preserve">4.5720</w:t>
              <w:br/>
              <w:t xml:space="preserve">3.2416</w:t>
            </w:r>
          </w:p>
        </w:tc>
        <w:tc>
          <w:tcPr>
            <w:tcW w:w="2360" w:type="dxa"/>
            <w:shd w:fill="F7F9FC"/>
            <w:vAlign w:val="center"/>
          </w:tcPr>
          <w:p>
            <w:pPr>
              <w:pStyle w:val="TableNumber"/>
            </w:pPr>
            <w:r>
              <w:t xml:space="preserve">0.225763</w:t>
              <w:br/>
              <w:t xml:space="preserve">0.231847</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0.294296</w:t>
              <w:br/>
              <w:t xml:space="preserve">0.293813</w:t>
            </w:r>
          </w:p>
        </w:tc>
        <w:tc>
          <w:tcPr>
            <w:tcW w:w="2075" w:type="dxa"/>
            <w:shd w:fill="FFFFFF"/>
            <w:vAlign w:val="center"/>
          </w:tcPr>
          <w:p>
            <w:pPr>
              <w:pStyle w:val="TableNumber"/>
            </w:pPr>
            <w:r>
              <w:t xml:space="preserve">75.1310%</w:t>
              <w:br/>
              <w:t xml:space="preserve">76.7938%</w:t>
            </w:r>
          </w:p>
        </w:tc>
        <w:tc>
          <w:tcPr>
            <w:tcW w:w="2200" w:type="dxa"/>
            <w:shd w:fill="FFFFFF"/>
            <w:vAlign w:val="center"/>
          </w:tcPr>
          <w:p>
            <w:pPr>
              <w:pStyle w:val="TableNumber"/>
            </w:pPr>
            <w:r>
              <w:t xml:space="preserve">4.8690</w:t>
              <w:br/>
              <w:t xml:space="preserve">3.2062</w:t>
            </w:r>
          </w:p>
        </w:tc>
        <w:tc>
          <w:tcPr>
            <w:tcW w:w="2360" w:type="dxa"/>
            <w:shd w:fill="FFFFFF"/>
            <w:vAlign w:val="center"/>
          </w:tcPr>
          <w:p>
            <w:pPr>
              <w:pStyle w:val="TableNumber"/>
            </w:pPr>
            <w:r>
              <w:t xml:space="preserve">0.236374</w:t>
              <w:br/>
              <w:t xml:space="preserve">0.244847</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0.293648</w:t>
              <w:br/>
              <w:t xml:space="preserve">0.293042</w:t>
            </w:r>
          </w:p>
        </w:tc>
        <w:tc>
          <w:tcPr>
            <w:tcW w:w="2075" w:type="dxa"/>
            <w:shd w:fill="F7F9FC"/>
            <w:vAlign w:val="center"/>
          </w:tcPr>
          <w:p>
            <w:pPr>
              <w:pStyle w:val="TableNumber"/>
            </w:pPr>
            <w:r>
              <w:t xml:space="preserve">74.8308%</w:t>
              <w:br/>
              <w:t xml:space="preserve">76.6766%</w:t>
            </w:r>
          </w:p>
        </w:tc>
        <w:tc>
          <w:tcPr>
            <w:tcW w:w="2200" w:type="dxa"/>
            <w:shd w:fill="F7F9FC"/>
            <w:vAlign w:val="center"/>
          </w:tcPr>
          <w:p>
            <w:pPr>
              <w:pStyle w:val="TableNumber"/>
            </w:pPr>
            <w:r>
              <w:t xml:space="preserve">5.1692</w:t>
              <w:br/>
              <w:t xml:space="preserve">3.3234</w:t>
            </w:r>
          </w:p>
        </w:tc>
        <w:tc>
          <w:tcPr>
            <w:tcW w:w="2360" w:type="dxa"/>
            <w:shd w:fill="F7F9FC"/>
            <w:vAlign w:val="center"/>
          </w:tcPr>
          <w:p>
            <w:pPr>
              <w:pStyle w:val="TableNumber"/>
            </w:pPr>
            <w:r>
              <w:t xml:space="preserve">0.246618</w:t>
              <w:br/>
              <w:t xml:space="preserve">0.255987</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0.295417</w:t>
              <w:br/>
              <w:t xml:space="preserve">0.294799</w:t>
            </w:r>
          </w:p>
        </w:tc>
        <w:tc>
          <w:tcPr>
            <w:tcW w:w="2075" w:type="dxa"/>
            <w:shd w:fill="FFFFFF"/>
            <w:vAlign w:val="center"/>
          </w:tcPr>
          <w:p>
            <w:pPr>
              <w:pStyle w:val="TableNumber"/>
            </w:pPr>
            <w:r>
              <w:t xml:space="preserve">74.9558%</w:t>
              <w:br/>
              <w:t xml:space="preserve">76.7579%</w:t>
            </w:r>
          </w:p>
        </w:tc>
        <w:tc>
          <w:tcPr>
            <w:tcW w:w="2200" w:type="dxa"/>
            <w:shd w:fill="FFFFFF"/>
            <w:vAlign w:val="center"/>
          </w:tcPr>
          <w:p>
            <w:pPr>
              <w:pStyle w:val="TableNumber"/>
            </w:pPr>
            <w:r>
              <w:t xml:space="preserve">5.0442</w:t>
              <w:br/>
              <w:t xml:space="preserve">3.2421</w:t>
            </w:r>
          </w:p>
        </w:tc>
        <w:tc>
          <w:tcPr>
            <w:tcW w:w="2360" w:type="dxa"/>
            <w:shd w:fill="FFFFFF"/>
            <w:vAlign w:val="center"/>
          </w:tcPr>
          <w:p>
            <w:pPr>
              <w:pStyle w:val="TableNumber"/>
            </w:pPr>
            <w:r>
              <w:t xml:space="preserve">0.258727</w:t>
              <w:br/>
              <w:t xml:space="preserve">0.268318</w:t>
            </w:r>
          </w:p>
        </w:tc>
      </w:tr>
    </w:tbl>
    <w:p>
      <w:pPr>
        <w:pStyle w:val="a"/>
        <w:spacing w:before="160"/>
      </w:pPr>
      <w:r>
        <w:t xml:space="preserve">Coverage is the fraction of realized alpha within q10–q90. Coverage error is |coverage−0.8| in percentage points per horizon; its aggregate is the mean of the 14 errors, not |aggregate coverage−0.8|. Width is mean q90−q10 in alpha log-return units. JSON omits aggregate interval_width; the reported aggregate is the equal-weight mean of the 14 existing widths, not an imputed missing value.</w:t>
      </w:r>
    </w:p>
    <w:p>
      <w:pPr>
        <w:pStyle w:val="a"/>
      </w:pPr>
      <w:r>
        <w:t xml:space="preserve">Calibration uses market/horizon-specific asymmetric tail multipliers, keeping q50 fixed and adjusting distances to q10 and q90. Fit split is validation with 528,315 windows and 116 dates; test in_sample_fit=false. Mean width changes from 0.173663 to 0.178931. Wider intervals can raise coverage; read this with normalized pinball rather than interpreting it as a stronger directional signal.</w:t>
      </w:r>
    </w:p>
    <w:p>
      <w:pPr>
        <w:pStyle w:val="21"/>
      </w:pPr>
      <w:r>
        <w:t xml:space="preserve">6.2b Direction versus the training fixed distribution</w:t>
      </w:r>
    </w:p>
    <w:p>
      <w:pPr>
        <w:pStyle w:val="Decision"/>
      </w:pPr>
      <w:r>
        <w:t xml:space="preserve">Table 8b | Benchmark-relative direction with percentage-point differences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670"/>
        <w:gridCol w:w="3370"/>
        <w:gridCol w:w="2670"/>
      </w:tblGrid>
      <w:tr>
        <w:trPr>
          <w:cantSplit/>
          <w:tblHeader/>
        </w:trPr>
        <w:tc>
          <w:tcPr>
            <w:tcW w:w="650" w:type="dxa"/>
            <w:shd w:fill="DCE6F1"/>
            <w:vAlign w:val="center"/>
          </w:tcPr>
          <w:p>
            <w:pPr>
              <w:pStyle w:val="TableHeader"/>
            </w:pPr>
            <w:r>
              <w:t xml:space="preserve">H</w:t>
            </w:r>
          </w:p>
        </w:tc>
        <w:tc>
          <w:tcPr>
            <w:tcW w:w="2670" w:type="dxa"/>
            <w:shd w:fill="DCE6F1"/>
            <w:vAlign w:val="center"/>
          </w:tcPr>
          <w:p>
            <w:pPr>
              <w:pStyle w:val="TableHeader"/>
            </w:pPr>
            <w:r>
              <w:t xml:space="preserve">Main model</w:t>
            </w:r>
          </w:p>
        </w:tc>
        <w:tc>
          <w:tcPr>
            <w:tcW w:w="3370" w:type="dxa"/>
            <w:shd w:fill="DCE6F1"/>
            <w:vAlign w:val="center"/>
          </w:tcPr>
          <w:p>
            <w:pPr>
              <w:pStyle w:val="TableHeader"/>
            </w:pPr>
            <w:r>
              <w:t xml:space="preserve">Training-fixed distribution</w:t>
            </w:r>
          </w:p>
        </w:tc>
        <w:tc>
          <w:tcPr>
            <w:tcW w:w="2670" w:type="dxa"/>
            <w:shd w:fill="DCE6F1"/>
            <w:vAlign w:val="center"/>
          </w:tcPr>
          <w:p>
            <w:pPr>
              <w:pStyle w:val="TableHeader"/>
            </w:pPr>
            <w:r>
              <w:t xml:space="preserve">Difference pp</w:t>
            </w:r>
          </w:p>
        </w:tc>
      </w:tr>
      <w:tr>
        <w:trPr>
          <w:cantSplit/>
        </w:trPr>
        <w:tc>
          <w:tcPr>
            <w:tcW w:w="650" w:type="dxa"/>
            <w:shd w:fill="FFFFFF"/>
            <w:vAlign w:val="center"/>
          </w:tcPr>
          <w:p>
            <w:pPr>
              <w:pStyle w:val="TableNumber"/>
            </w:pPr>
            <w:r>
              <w:t xml:space="preserve">1d</w:t>
            </w:r>
          </w:p>
        </w:tc>
        <w:tc>
          <w:tcPr>
            <w:tcW w:w="2670" w:type="dxa"/>
            <w:shd w:fill="FFFFFF"/>
            <w:vAlign w:val="center"/>
          </w:tcPr>
          <w:p>
            <w:pPr>
              <w:pStyle w:val="TableNumber"/>
            </w:pPr>
            <w:r>
              <w:t xml:space="preserve">52.5888%</w:t>
            </w:r>
          </w:p>
        </w:tc>
        <w:tc>
          <w:tcPr>
            <w:tcW w:w="3370" w:type="dxa"/>
            <w:shd w:fill="FFFFFF"/>
            <w:vAlign w:val="center"/>
          </w:tcPr>
          <w:p>
            <w:pPr>
              <w:pStyle w:val="TableNumber"/>
            </w:pPr>
            <w:r>
              <w:t xml:space="preserve">52.3833%</w:t>
            </w:r>
          </w:p>
        </w:tc>
        <w:tc>
          <w:tcPr>
            <w:tcW w:w="2670" w:type="dxa"/>
            <w:shd w:fill="FFFFFF"/>
            <w:vAlign w:val="center"/>
          </w:tcPr>
          <w:p>
            <w:pPr>
              <w:pStyle w:val="TableNumber"/>
            </w:pPr>
            <w:r>
              <w:t xml:space="preserve">+0.2055</w:t>
            </w:r>
          </w:p>
        </w:tc>
      </w:tr>
      <w:tr>
        <w:trPr>
          <w:cantSplit/>
        </w:trPr>
        <w:tc>
          <w:tcPr>
            <w:tcW w:w="650" w:type="dxa"/>
            <w:shd w:fill="F7F9FC"/>
            <w:vAlign w:val="center"/>
          </w:tcPr>
          <w:p>
            <w:pPr>
              <w:pStyle w:val="TableNumber"/>
            </w:pPr>
            <w:r>
              <w:t xml:space="preserve">2d</w:t>
            </w:r>
          </w:p>
        </w:tc>
        <w:tc>
          <w:tcPr>
            <w:tcW w:w="2670" w:type="dxa"/>
            <w:shd w:fill="F7F9FC"/>
            <w:vAlign w:val="center"/>
          </w:tcPr>
          <w:p>
            <w:pPr>
              <w:pStyle w:val="TableNumber"/>
            </w:pPr>
            <w:r>
              <w:t xml:space="preserve">52.6642%</w:t>
            </w:r>
          </w:p>
        </w:tc>
        <w:tc>
          <w:tcPr>
            <w:tcW w:w="3370" w:type="dxa"/>
            <w:shd w:fill="F7F9FC"/>
            <w:vAlign w:val="center"/>
          </w:tcPr>
          <w:p>
            <w:pPr>
              <w:pStyle w:val="TableNumber"/>
            </w:pPr>
            <w:r>
              <w:t xml:space="preserve">53.0537%</w:t>
            </w:r>
          </w:p>
        </w:tc>
        <w:tc>
          <w:tcPr>
            <w:tcW w:w="2670" w:type="dxa"/>
            <w:shd w:fill="F7F9FC"/>
            <w:vAlign w:val="center"/>
          </w:tcPr>
          <w:p>
            <w:pPr>
              <w:pStyle w:val="TableNumber"/>
            </w:pPr>
            <w:r>
              <w:t xml:space="preserve">-0.3895</w:t>
            </w:r>
          </w:p>
        </w:tc>
      </w:tr>
      <w:tr>
        <w:trPr>
          <w:cantSplit/>
        </w:trPr>
        <w:tc>
          <w:tcPr>
            <w:tcW w:w="650" w:type="dxa"/>
            <w:shd w:fill="FFFFFF"/>
            <w:vAlign w:val="center"/>
          </w:tcPr>
          <w:p>
            <w:pPr>
              <w:pStyle w:val="TableNumber"/>
            </w:pPr>
            <w:r>
              <w:t xml:space="preserve">3d</w:t>
            </w:r>
          </w:p>
        </w:tc>
        <w:tc>
          <w:tcPr>
            <w:tcW w:w="2670" w:type="dxa"/>
            <w:shd w:fill="FFFFFF"/>
            <w:vAlign w:val="center"/>
          </w:tcPr>
          <w:p>
            <w:pPr>
              <w:pStyle w:val="TableNumber"/>
            </w:pPr>
            <w:r>
              <w:t xml:space="preserve">52.9483%</w:t>
            </w:r>
          </w:p>
        </w:tc>
        <w:tc>
          <w:tcPr>
            <w:tcW w:w="3370" w:type="dxa"/>
            <w:shd w:fill="FFFFFF"/>
            <w:vAlign w:val="center"/>
          </w:tcPr>
          <w:p>
            <w:pPr>
              <w:pStyle w:val="TableNumber"/>
            </w:pPr>
            <w:r>
              <w:t xml:space="preserve">53.7281%</w:t>
            </w:r>
          </w:p>
        </w:tc>
        <w:tc>
          <w:tcPr>
            <w:tcW w:w="2670" w:type="dxa"/>
            <w:shd w:fill="FFFFFF"/>
            <w:vAlign w:val="center"/>
          </w:tcPr>
          <w:p>
            <w:pPr>
              <w:pStyle w:val="TableNumber"/>
            </w:pPr>
            <w:r>
              <w:t xml:space="preserve">-0.7799</w:t>
            </w:r>
          </w:p>
        </w:tc>
      </w:tr>
      <w:tr>
        <w:trPr>
          <w:cantSplit/>
        </w:trPr>
        <w:tc>
          <w:tcPr>
            <w:tcW w:w="650" w:type="dxa"/>
            <w:shd w:fill="F7F9FC"/>
            <w:vAlign w:val="center"/>
          </w:tcPr>
          <w:p>
            <w:pPr>
              <w:pStyle w:val="TableNumber"/>
            </w:pPr>
            <w:r>
              <w:t xml:space="preserve">4d</w:t>
            </w:r>
          </w:p>
        </w:tc>
        <w:tc>
          <w:tcPr>
            <w:tcW w:w="2670" w:type="dxa"/>
            <w:shd w:fill="F7F9FC"/>
            <w:vAlign w:val="center"/>
          </w:tcPr>
          <w:p>
            <w:pPr>
              <w:pStyle w:val="TableNumber"/>
            </w:pPr>
            <w:r>
              <w:t xml:space="preserve">52.9079%</w:t>
            </w:r>
          </w:p>
        </w:tc>
        <w:tc>
          <w:tcPr>
            <w:tcW w:w="3370" w:type="dxa"/>
            <w:shd w:fill="F7F9FC"/>
            <w:vAlign w:val="center"/>
          </w:tcPr>
          <w:p>
            <w:pPr>
              <w:pStyle w:val="TableNumber"/>
            </w:pPr>
            <w:r>
              <w:t xml:space="preserve">54.1013%</w:t>
            </w:r>
          </w:p>
        </w:tc>
        <w:tc>
          <w:tcPr>
            <w:tcW w:w="2670" w:type="dxa"/>
            <w:shd w:fill="F7F9FC"/>
            <w:vAlign w:val="center"/>
          </w:tcPr>
          <w:p>
            <w:pPr>
              <w:pStyle w:val="TableNumber"/>
            </w:pPr>
            <w:r>
              <w:t xml:space="preserve">-1.1935</w:t>
            </w:r>
          </w:p>
        </w:tc>
      </w:tr>
      <w:tr>
        <w:trPr>
          <w:cantSplit/>
        </w:trPr>
        <w:tc>
          <w:tcPr>
            <w:tcW w:w="650" w:type="dxa"/>
            <w:shd w:fill="FFFFFF"/>
            <w:vAlign w:val="center"/>
          </w:tcPr>
          <w:p>
            <w:pPr>
              <w:pStyle w:val="TableNumber"/>
            </w:pPr>
            <w:r>
              <w:t xml:space="preserve">5d</w:t>
            </w:r>
          </w:p>
        </w:tc>
        <w:tc>
          <w:tcPr>
            <w:tcW w:w="2670" w:type="dxa"/>
            <w:shd w:fill="FFFFFF"/>
            <w:vAlign w:val="center"/>
          </w:tcPr>
          <w:p>
            <w:pPr>
              <w:pStyle w:val="TableNumber"/>
            </w:pPr>
            <w:r>
              <w:t xml:space="preserve">54.2194%</w:t>
            </w:r>
          </w:p>
        </w:tc>
        <w:tc>
          <w:tcPr>
            <w:tcW w:w="3370" w:type="dxa"/>
            <w:shd w:fill="FFFFFF"/>
            <w:vAlign w:val="center"/>
          </w:tcPr>
          <w:p>
            <w:pPr>
              <w:pStyle w:val="TableNumber"/>
            </w:pPr>
            <w:r>
              <w:t xml:space="preserve">54.5765%</w:t>
            </w:r>
          </w:p>
        </w:tc>
        <w:tc>
          <w:tcPr>
            <w:tcW w:w="2670" w:type="dxa"/>
            <w:shd w:fill="FFFFFF"/>
            <w:vAlign w:val="center"/>
          </w:tcPr>
          <w:p>
            <w:pPr>
              <w:pStyle w:val="TableNumber"/>
            </w:pPr>
            <w:r>
              <w:t xml:space="preserve">-0.3571</w:t>
            </w:r>
          </w:p>
        </w:tc>
      </w:tr>
      <w:tr>
        <w:trPr>
          <w:cantSplit/>
        </w:trPr>
        <w:tc>
          <w:tcPr>
            <w:tcW w:w="650" w:type="dxa"/>
            <w:shd w:fill="F7F9FC"/>
            <w:vAlign w:val="center"/>
          </w:tcPr>
          <w:p>
            <w:pPr>
              <w:pStyle w:val="TableNumber"/>
            </w:pPr>
            <w:r>
              <w:t xml:space="preserve">6d</w:t>
            </w:r>
          </w:p>
        </w:tc>
        <w:tc>
          <w:tcPr>
            <w:tcW w:w="2670" w:type="dxa"/>
            <w:shd w:fill="F7F9FC"/>
            <w:vAlign w:val="center"/>
          </w:tcPr>
          <w:p>
            <w:pPr>
              <w:pStyle w:val="TableNumber"/>
            </w:pPr>
            <w:r>
              <w:t xml:space="preserve">54.4708%</w:t>
            </w:r>
          </w:p>
        </w:tc>
        <w:tc>
          <w:tcPr>
            <w:tcW w:w="3370" w:type="dxa"/>
            <w:shd w:fill="F7F9FC"/>
            <w:vAlign w:val="center"/>
          </w:tcPr>
          <w:p>
            <w:pPr>
              <w:pStyle w:val="TableNumber"/>
            </w:pPr>
            <w:r>
              <w:t xml:space="preserve">54.8162%</w:t>
            </w:r>
          </w:p>
        </w:tc>
        <w:tc>
          <w:tcPr>
            <w:tcW w:w="2670" w:type="dxa"/>
            <w:shd w:fill="F7F9FC"/>
            <w:vAlign w:val="center"/>
          </w:tcPr>
          <w:p>
            <w:pPr>
              <w:pStyle w:val="TableNumber"/>
            </w:pPr>
            <w:r>
              <w:t xml:space="preserve">-0.3455</w:t>
            </w:r>
          </w:p>
        </w:tc>
      </w:tr>
      <w:tr>
        <w:trPr>
          <w:cantSplit/>
        </w:trPr>
        <w:tc>
          <w:tcPr>
            <w:tcW w:w="650" w:type="dxa"/>
            <w:shd w:fill="FFFFFF"/>
            <w:vAlign w:val="center"/>
          </w:tcPr>
          <w:p>
            <w:pPr>
              <w:pStyle w:val="TableNumber"/>
            </w:pPr>
            <w:r>
              <w:t xml:space="preserve">7d</w:t>
            </w:r>
          </w:p>
        </w:tc>
        <w:tc>
          <w:tcPr>
            <w:tcW w:w="2670" w:type="dxa"/>
            <w:shd w:fill="FFFFFF"/>
            <w:vAlign w:val="center"/>
          </w:tcPr>
          <w:p>
            <w:pPr>
              <w:pStyle w:val="TableNumber"/>
            </w:pPr>
            <w:r>
              <w:t xml:space="preserve">55.1256%</w:t>
            </w:r>
          </w:p>
        </w:tc>
        <w:tc>
          <w:tcPr>
            <w:tcW w:w="3370" w:type="dxa"/>
            <w:shd w:fill="FFFFFF"/>
            <w:vAlign w:val="center"/>
          </w:tcPr>
          <w:p>
            <w:pPr>
              <w:pStyle w:val="TableNumber"/>
            </w:pPr>
            <w:r>
              <w:t xml:space="preserve">55.0255%</w:t>
            </w:r>
          </w:p>
        </w:tc>
        <w:tc>
          <w:tcPr>
            <w:tcW w:w="2670" w:type="dxa"/>
            <w:shd w:fill="FFFFFF"/>
            <w:vAlign w:val="center"/>
          </w:tcPr>
          <w:p>
            <w:pPr>
              <w:pStyle w:val="TableNumber"/>
            </w:pPr>
            <w:r>
              <w:t xml:space="preserve">+0.1001</w:t>
            </w:r>
          </w:p>
        </w:tc>
      </w:tr>
      <w:tr>
        <w:trPr>
          <w:cantSplit/>
        </w:trPr>
        <w:tc>
          <w:tcPr>
            <w:tcW w:w="650" w:type="dxa"/>
            <w:shd w:fill="F7F9FC"/>
            <w:vAlign w:val="center"/>
          </w:tcPr>
          <w:p>
            <w:pPr>
              <w:pStyle w:val="TableNumber"/>
            </w:pPr>
            <w:r>
              <w:t xml:space="preserve">8d</w:t>
            </w:r>
          </w:p>
        </w:tc>
        <w:tc>
          <w:tcPr>
            <w:tcW w:w="2670" w:type="dxa"/>
            <w:shd w:fill="F7F9FC"/>
            <w:vAlign w:val="center"/>
          </w:tcPr>
          <w:p>
            <w:pPr>
              <w:pStyle w:val="TableNumber"/>
            </w:pPr>
            <w:r>
              <w:t xml:space="preserve">55.1058%</w:t>
            </w:r>
          </w:p>
        </w:tc>
        <w:tc>
          <w:tcPr>
            <w:tcW w:w="3370" w:type="dxa"/>
            <w:shd w:fill="F7F9FC"/>
            <w:vAlign w:val="center"/>
          </w:tcPr>
          <w:p>
            <w:pPr>
              <w:pStyle w:val="TableNumber"/>
            </w:pPr>
            <w:r>
              <w:t xml:space="preserve">55.2461%</w:t>
            </w:r>
          </w:p>
        </w:tc>
        <w:tc>
          <w:tcPr>
            <w:tcW w:w="2670" w:type="dxa"/>
            <w:shd w:fill="F7F9FC"/>
            <w:vAlign w:val="center"/>
          </w:tcPr>
          <w:p>
            <w:pPr>
              <w:pStyle w:val="TableNumber"/>
            </w:pPr>
            <w:r>
              <w:t xml:space="preserve">-0.1404</w:t>
            </w:r>
          </w:p>
        </w:tc>
      </w:tr>
      <w:tr>
        <w:trPr>
          <w:cantSplit/>
        </w:trPr>
        <w:tc>
          <w:tcPr>
            <w:tcW w:w="650" w:type="dxa"/>
            <w:shd w:fill="FFFFFF"/>
            <w:vAlign w:val="center"/>
          </w:tcPr>
          <w:p>
            <w:pPr>
              <w:pStyle w:val="TableNumber"/>
            </w:pPr>
            <w:r>
              <w:t xml:space="preserve">9d</w:t>
            </w:r>
          </w:p>
        </w:tc>
        <w:tc>
          <w:tcPr>
            <w:tcW w:w="2670" w:type="dxa"/>
            <w:shd w:fill="FFFFFF"/>
            <w:vAlign w:val="center"/>
          </w:tcPr>
          <w:p>
            <w:pPr>
              <w:pStyle w:val="TableNumber"/>
            </w:pPr>
            <w:r>
              <w:t xml:space="preserve">55.4606%</w:t>
            </w:r>
          </w:p>
        </w:tc>
        <w:tc>
          <w:tcPr>
            <w:tcW w:w="3370" w:type="dxa"/>
            <w:shd w:fill="FFFFFF"/>
            <w:vAlign w:val="center"/>
          </w:tcPr>
          <w:p>
            <w:pPr>
              <w:pStyle w:val="TableNumber"/>
            </w:pPr>
            <w:r>
              <w:t xml:space="preserve">55.3874%</w:t>
            </w:r>
          </w:p>
        </w:tc>
        <w:tc>
          <w:tcPr>
            <w:tcW w:w="2670" w:type="dxa"/>
            <w:shd w:fill="FFFFFF"/>
            <w:vAlign w:val="center"/>
          </w:tcPr>
          <w:p>
            <w:pPr>
              <w:pStyle w:val="TableNumber"/>
            </w:pPr>
            <w:r>
              <w:t xml:space="preserve">+0.0732</w:t>
            </w:r>
          </w:p>
        </w:tc>
      </w:tr>
      <w:tr>
        <w:trPr>
          <w:cantSplit/>
        </w:trPr>
        <w:tc>
          <w:tcPr>
            <w:tcW w:w="650" w:type="dxa"/>
            <w:shd w:fill="F7F9FC"/>
            <w:vAlign w:val="center"/>
          </w:tcPr>
          <w:p>
            <w:pPr>
              <w:pStyle w:val="TableNumber"/>
            </w:pPr>
            <w:r>
              <w:t xml:space="preserve">10d</w:t>
            </w:r>
          </w:p>
        </w:tc>
        <w:tc>
          <w:tcPr>
            <w:tcW w:w="2670" w:type="dxa"/>
            <w:shd w:fill="F7F9FC"/>
            <w:vAlign w:val="center"/>
          </w:tcPr>
          <w:p>
            <w:pPr>
              <w:pStyle w:val="TableNumber"/>
            </w:pPr>
            <w:r>
              <w:t xml:space="preserve">55.5093%</w:t>
            </w:r>
          </w:p>
        </w:tc>
        <w:tc>
          <w:tcPr>
            <w:tcW w:w="3370" w:type="dxa"/>
            <w:shd w:fill="F7F9FC"/>
            <w:vAlign w:val="center"/>
          </w:tcPr>
          <w:p>
            <w:pPr>
              <w:pStyle w:val="TableNumber"/>
            </w:pPr>
            <w:r>
              <w:t xml:space="preserve">55.6775%</w:t>
            </w:r>
          </w:p>
        </w:tc>
        <w:tc>
          <w:tcPr>
            <w:tcW w:w="2670" w:type="dxa"/>
            <w:shd w:fill="F7F9FC"/>
            <w:vAlign w:val="center"/>
          </w:tcPr>
          <w:p>
            <w:pPr>
              <w:pStyle w:val="TableNumber"/>
            </w:pPr>
            <w:r>
              <w:t xml:space="preserve">-0.1682</w:t>
            </w:r>
          </w:p>
        </w:tc>
      </w:tr>
      <w:tr>
        <w:trPr>
          <w:cantSplit/>
        </w:trPr>
        <w:tc>
          <w:tcPr>
            <w:tcW w:w="650" w:type="dxa"/>
            <w:shd w:fill="FFFFFF"/>
            <w:vAlign w:val="center"/>
          </w:tcPr>
          <w:p>
            <w:pPr>
              <w:pStyle w:val="TableNumber"/>
            </w:pPr>
            <w:r>
              <w:t xml:space="preserve">11d</w:t>
            </w:r>
          </w:p>
        </w:tc>
        <w:tc>
          <w:tcPr>
            <w:tcW w:w="2670" w:type="dxa"/>
            <w:shd w:fill="FFFFFF"/>
            <w:vAlign w:val="center"/>
          </w:tcPr>
          <w:p>
            <w:pPr>
              <w:pStyle w:val="TableNumber"/>
            </w:pPr>
            <w:r>
              <w:t xml:space="preserve">55.9575%</w:t>
            </w:r>
          </w:p>
        </w:tc>
        <w:tc>
          <w:tcPr>
            <w:tcW w:w="3370" w:type="dxa"/>
            <w:shd w:fill="FFFFFF"/>
            <w:vAlign w:val="center"/>
          </w:tcPr>
          <w:p>
            <w:pPr>
              <w:pStyle w:val="TableNumber"/>
            </w:pPr>
            <w:r>
              <w:t xml:space="preserve">55.8903%</w:t>
            </w:r>
          </w:p>
        </w:tc>
        <w:tc>
          <w:tcPr>
            <w:tcW w:w="2670" w:type="dxa"/>
            <w:shd w:fill="FFFFFF"/>
            <w:vAlign w:val="center"/>
          </w:tcPr>
          <w:p>
            <w:pPr>
              <w:pStyle w:val="TableNumber"/>
            </w:pPr>
            <w:r>
              <w:t xml:space="preserve">+0.0672</w:t>
            </w:r>
          </w:p>
        </w:tc>
      </w:tr>
      <w:tr>
        <w:trPr>
          <w:cantSplit/>
        </w:trPr>
        <w:tc>
          <w:tcPr>
            <w:tcW w:w="650" w:type="dxa"/>
            <w:shd w:fill="F7F9FC"/>
            <w:vAlign w:val="center"/>
          </w:tcPr>
          <w:p>
            <w:pPr>
              <w:pStyle w:val="TableNumber"/>
            </w:pPr>
            <w:r>
              <w:t xml:space="preserve">12d</w:t>
            </w:r>
          </w:p>
        </w:tc>
        <w:tc>
          <w:tcPr>
            <w:tcW w:w="2670" w:type="dxa"/>
            <w:shd w:fill="F7F9FC"/>
            <w:vAlign w:val="center"/>
          </w:tcPr>
          <w:p>
            <w:pPr>
              <w:pStyle w:val="TableNumber"/>
            </w:pPr>
            <w:r>
              <w:t xml:space="preserve">55.9281%</w:t>
            </w:r>
          </w:p>
        </w:tc>
        <w:tc>
          <w:tcPr>
            <w:tcW w:w="3370" w:type="dxa"/>
            <w:shd w:fill="F7F9FC"/>
            <w:vAlign w:val="center"/>
          </w:tcPr>
          <w:p>
            <w:pPr>
              <w:pStyle w:val="TableNumber"/>
            </w:pPr>
            <w:r>
              <w:t xml:space="preserve">56.0936%</w:t>
            </w:r>
          </w:p>
        </w:tc>
        <w:tc>
          <w:tcPr>
            <w:tcW w:w="2670" w:type="dxa"/>
            <w:shd w:fill="F7F9FC"/>
            <w:vAlign w:val="center"/>
          </w:tcPr>
          <w:p>
            <w:pPr>
              <w:pStyle w:val="TableNumber"/>
            </w:pPr>
            <w:r>
              <w:t xml:space="preserve">-0.1654</w:t>
            </w:r>
          </w:p>
        </w:tc>
      </w:tr>
      <w:tr>
        <w:trPr>
          <w:cantSplit/>
        </w:trPr>
        <w:tc>
          <w:tcPr>
            <w:tcW w:w="650" w:type="dxa"/>
            <w:shd w:fill="FFFFFF"/>
            <w:vAlign w:val="center"/>
          </w:tcPr>
          <w:p>
            <w:pPr>
              <w:pStyle w:val="TableNumber"/>
            </w:pPr>
            <w:r>
              <w:t xml:space="preserve">13d</w:t>
            </w:r>
          </w:p>
        </w:tc>
        <w:tc>
          <w:tcPr>
            <w:tcW w:w="2670" w:type="dxa"/>
            <w:shd w:fill="FFFFFF"/>
            <w:vAlign w:val="center"/>
          </w:tcPr>
          <w:p>
            <w:pPr>
              <w:pStyle w:val="TableNumber"/>
            </w:pPr>
            <w:r>
              <w:t xml:space="preserve">56.4338%</w:t>
            </w:r>
          </w:p>
        </w:tc>
        <w:tc>
          <w:tcPr>
            <w:tcW w:w="3370" w:type="dxa"/>
            <w:shd w:fill="FFFFFF"/>
            <w:vAlign w:val="center"/>
          </w:tcPr>
          <w:p>
            <w:pPr>
              <w:pStyle w:val="TableNumber"/>
            </w:pPr>
            <w:r>
              <w:t xml:space="preserve">56.3617%</w:t>
            </w:r>
          </w:p>
        </w:tc>
        <w:tc>
          <w:tcPr>
            <w:tcW w:w="2670" w:type="dxa"/>
            <w:shd w:fill="FFFFFF"/>
            <w:vAlign w:val="center"/>
          </w:tcPr>
          <w:p>
            <w:pPr>
              <w:pStyle w:val="TableNumber"/>
            </w:pPr>
            <w:r>
              <w:t xml:space="preserve">+0.0721</w:t>
            </w:r>
          </w:p>
        </w:tc>
      </w:tr>
      <w:tr>
        <w:trPr>
          <w:cantSplit/>
        </w:trPr>
        <w:tc>
          <w:tcPr>
            <w:tcW w:w="650" w:type="dxa"/>
            <w:shd w:fill="F7F9FC"/>
            <w:vAlign w:val="center"/>
          </w:tcPr>
          <w:p>
            <w:pPr>
              <w:pStyle w:val="TableNumber"/>
            </w:pPr>
            <w:r>
              <w:t xml:space="preserve">14d</w:t>
            </w:r>
          </w:p>
        </w:tc>
        <w:tc>
          <w:tcPr>
            <w:tcW w:w="2670" w:type="dxa"/>
            <w:shd w:fill="F7F9FC"/>
            <w:vAlign w:val="center"/>
          </w:tcPr>
          <w:p>
            <w:pPr>
              <w:pStyle w:val="TableNumber"/>
            </w:pPr>
            <w:r>
              <w:t xml:space="preserve">56.5350%</w:t>
            </w:r>
          </w:p>
        </w:tc>
        <w:tc>
          <w:tcPr>
            <w:tcW w:w="3370" w:type="dxa"/>
            <w:shd w:fill="F7F9FC"/>
            <w:vAlign w:val="center"/>
          </w:tcPr>
          <w:p>
            <w:pPr>
              <w:pStyle w:val="TableNumber"/>
            </w:pPr>
            <w:r>
              <w:t xml:space="preserve">56.6013%</w:t>
            </w:r>
          </w:p>
        </w:tc>
        <w:tc>
          <w:tcPr>
            <w:tcW w:w="2670" w:type="dxa"/>
            <w:shd w:fill="F7F9FC"/>
            <w:vAlign w:val="center"/>
          </w:tcPr>
          <w:p>
            <w:pPr>
              <w:pStyle w:val="TableNumber"/>
            </w:pPr>
            <w:r>
              <w:t xml:space="preserve">-0.0663</w:t>
            </w:r>
          </w:p>
        </w:tc>
      </w:tr>
    </w:tbl>
    <w:p>
      <w:pPr>
        <w:pStyle w:val="a"/>
        <w:spacing w:before="160"/>
      </w:pPr>
      <w:r>
        <w:t xml:space="preserve">Direction agreement counts equal signs of predicted q50 and realized alpha, divided by evaluated samples. Difference=(main proportion−baseline proportion)×100. Each horizon has fixed unconditional q10/q50/q90 fitted on training labels and then frozen, reflecting existing sign imbalance. Exceeding 50% alone does not establish incremental prediction.</w:t>
      </w:r>
    </w:p>
    <w:p>
      <w:pPr>
        <w:pStyle w:val="a"/>
      </w:pPr>
      <w:r>
        <w:t xml:space="preserve">always_buy adds its location to training residual quantiles, recovering unconditional training target quantiles. zero_return uses location zero and recovers the same quantiles. Their complete metrics are identical. Keep both raw names for traceability but treat them as one fixed-distribution comparator, not distinct always-bullish and zero-forecast direction strategies. No favorable fixed direction is chosen retrospectively from test.</w:t>
      </w:r>
    </w:p>
    <w:p>
      <w:pPr>
        <w:pStyle w:val="21"/>
      </w:pPr>
      <w:r>
        <w:t xml:space="preserve">6.3 q50 ranking and strategy diagnostics requiring correction</w:t>
      </w:r>
    </w:p>
    <w:p>
      <w:pPr>
        <w:pStyle w:val="Decision"/>
        <w:keepNext/>
        <w:spacing w:after="80"/>
      </w:pPr>
      <w:r>
        <w:t xml:space="preserve">Table 9 | Pooled q50 ranking and legacy diagnostics not reliable strategy performance</w:t>
      </w:r>
    </w:p>
    <w:tbl>
      <w:tblPr>
        <w:tblStyle w:val="BenchmarkTable"/>
        <w:tblW w:w="9360" w:type="dxa"/>
        <w:tblLayout w:type="fixed"/>
      </w:tblPr>
      <w:tblGrid>
        <w:gridCol w:w="650"/>
        <w:gridCol w:w="1900"/>
        <w:gridCol w:w="1100"/>
        <w:gridCol w:w="1500"/>
        <w:gridCol w:w="1650"/>
        <w:gridCol w:w="1600"/>
        <w:gridCol w:w="960"/>
      </w:tblGrid>
      <w:tr>
        <w:trPr>
          <w:tblHeader/>
        </w:trPr>
        <w:tc>
          <w:tcPr>
            <w:tcW w:w="650" w:type="dxa"/>
            <w:shd w:val="clear" w:fill="DCE6F1"/>
            <w:vAlign w:val="center"/>
          </w:tcPr>
          <w:p>
            <w:pPr>
              <w:pStyle w:val="TableHeader"/>
            </w:pPr>
            <w:r>
              <w:t>H</w:t>
            </w:r>
          </w:p>
        </w:tc>
        <w:tc>
          <w:tcPr>
            <w:tcW w:w="1900" w:type="dxa"/>
            <w:shd w:val="clear" w:fill="DCE6F1"/>
            <w:vAlign w:val="center"/>
          </w:tcPr>
          <w:p>
            <w:pPr>
              <w:pStyle w:val="TableHeader"/>
            </w:pPr>
            <w:r>
              <w:t>RankIC (rank)</w:t>
            </w:r>
          </w:p>
        </w:tc>
        <w:tc>
          <w:tcPr>
            <w:tcW w:w="1100" w:type="dxa"/>
            <w:shd w:val="clear" w:fill="DCE6F1"/>
            <w:vAlign w:val="center"/>
          </w:tcPr>
          <w:p>
            <w:pPr>
              <w:pStyle w:val="TableHeader"/>
            </w:pPr>
            <w:r>
              <w:t>ICIR</w:t>
            </w:r>
          </w:p>
        </w:tc>
        <w:tc>
          <w:tcPr>
            <w:tcW w:w="1500" w:type="dxa"/>
            <w:shd w:val="clear" w:fill="DCE6F1"/>
            <w:vAlign w:val="center"/>
          </w:tcPr>
          <w:p>
            <w:pPr>
              <w:pStyle w:val="TableHeader"/>
            </w:pPr>
            <w:r>
              <w:t>Net log return</w:t>
            </w:r>
          </w:p>
        </w:tc>
        <w:tc>
          <w:tcPr>
            <w:tcW w:w="1650" w:type="dxa"/>
            <w:shd w:val="clear" w:fill="DCE6F1"/>
            <w:vAlign w:val="center"/>
          </w:tcPr>
          <w:p>
            <w:pPr>
              <w:pStyle w:val="TableHeader"/>
            </w:pPr>
            <w:r>
              <w:t>Sharpe (rank)</w:t>
            </w:r>
          </w:p>
        </w:tc>
        <w:tc>
          <w:tcPr>
            <w:tcW w:w="1600" w:type="dxa"/>
            <w:shd w:val="clear" w:fill="DCE6F1"/>
            <w:vAlign w:val="center"/>
          </w:tcPr>
          <w:p>
            <w:pPr>
              <w:pStyle w:val="TableHeader"/>
            </w:pPr>
            <w:r>
              <w:t>MDD (rank)</w:t>
            </w:r>
          </w:p>
        </w:tc>
        <w:tc>
          <w:tcPr>
            <w:tcW w:w="960" w:type="dxa"/>
            <w:shd w:val="clear" w:fill="DCE6F1"/>
            <w:vAlign w:val="center"/>
          </w:tcPr>
          <w:p>
            <w:pPr>
              <w:pStyle w:val="TableHeader"/>
            </w:pPr>
            <w:r>
              <w:t>Turnover</w:t>
            </w:r>
          </w:p>
        </w:tc>
      </w:tr>
      <w:tr>
        <w:trPr>
          <w:cantSplit/>
        </w:trPr>
        <w:tc>
          <w:tcPr>
            <w:tcW w:w="650" w:type="dxa"/>
            <w:vAlign w:val="center"/>
          </w:tcPr>
          <w:p>
            <w:pPr>
              <w:pStyle w:val="TableText"/>
            </w:pPr>
            <w:r>
              <w:t>1d</w:t>
            </w:r>
          </w:p>
        </w:tc>
        <w:tc>
          <w:tcPr>
            <w:tcW w:w="1900" w:type="dxa"/>
            <w:vAlign w:val="center"/>
          </w:tcPr>
          <w:p>
            <w:pPr>
              <w:pStyle w:val="TableNumber"/>
            </w:pPr>
            <w:r>
              <w:t>0.0765 (2/13)</w:t>
            </w:r>
          </w:p>
        </w:tc>
        <w:tc>
          <w:tcPr>
            <w:tcW w:w="1100" w:type="dxa"/>
            <w:vAlign w:val="center"/>
          </w:tcPr>
          <w:p>
            <w:pPr>
              <w:pStyle w:val="TableNumber"/>
            </w:pPr>
            <w:r>
              <w:t>0.479</w:t>
            </w:r>
          </w:p>
        </w:tc>
        <w:tc>
          <w:tcPr>
            <w:tcW w:w="1500" w:type="dxa"/>
            <w:vAlign w:val="center"/>
          </w:tcPr>
          <w:p>
            <w:pPr>
              <w:pStyle w:val="TableNumber"/>
            </w:pPr>
            <w:r>
              <w:t>0.42%</w:t>
            </w:r>
          </w:p>
        </w:tc>
        <w:tc>
          <w:tcPr>
            <w:tcW w:w="1650" w:type="dxa"/>
            <w:vAlign w:val="center"/>
          </w:tcPr>
          <w:p>
            <w:pPr>
              <w:pStyle w:val="TableNumber"/>
            </w:pPr>
            <w:r>
              <w:t>5.120 (2/13)</w:t>
            </w:r>
          </w:p>
        </w:tc>
        <w:tc>
          <w:tcPr>
            <w:tcW w:w="1600" w:type="dxa"/>
            <w:vAlign w:val="center"/>
          </w:tcPr>
          <w:p>
            <w:pPr>
              <w:pStyle w:val="TableNumber"/>
            </w:pPr>
            <w:r>
              <w:t>-9.23% (9/13)</w:t>
            </w:r>
          </w:p>
        </w:tc>
        <w:tc>
          <w:tcPr>
            <w:tcW w:w="960" w:type="dxa"/>
            <w:vAlign w:val="center"/>
          </w:tcPr>
          <w:p>
            <w:pPr>
              <w:pStyle w:val="TableNumber"/>
            </w:pPr>
            <w:r>
              <w:t>0.295</w:t>
            </w:r>
          </w:p>
        </w:tc>
      </w:tr>
      <w:tr>
        <w:trPr>
          <w:cantSplit/>
        </w:trPr>
        <w:tc>
          <w:tcPr>
            <w:tcW w:w="650" w:type="dxa"/>
            <w:vAlign w:val="center"/>
          </w:tcPr>
          <w:p>
            <w:pPr>
              <w:pStyle w:val="TableText"/>
            </w:pPr>
            <w:r>
              <w:t>2d</w:t>
            </w:r>
          </w:p>
        </w:tc>
        <w:tc>
          <w:tcPr>
            <w:tcW w:w="1900" w:type="dxa"/>
            <w:vAlign w:val="center"/>
          </w:tcPr>
          <w:p>
            <w:pPr>
              <w:pStyle w:val="TableNumber"/>
            </w:pPr>
            <w:r>
              <w:t>0.0831 (2/13)</w:t>
            </w:r>
          </w:p>
        </w:tc>
        <w:tc>
          <w:tcPr>
            <w:tcW w:w="1100" w:type="dxa"/>
            <w:vAlign w:val="center"/>
          </w:tcPr>
          <w:p>
            <w:pPr>
              <w:pStyle w:val="TableNumber"/>
            </w:pPr>
            <w:r>
              <w:t>0.555</w:t>
            </w:r>
          </w:p>
        </w:tc>
        <w:tc>
          <w:tcPr>
            <w:tcW w:w="1500" w:type="dxa"/>
            <w:vAlign w:val="center"/>
          </w:tcPr>
          <w:p>
            <w:pPr>
              <w:pStyle w:val="TableNumber"/>
            </w:pPr>
            <w:r>
              <w:t>0.66%</w:t>
            </w:r>
          </w:p>
        </w:tc>
        <w:tc>
          <w:tcPr>
            <w:tcW w:w="1650" w:type="dxa"/>
            <w:vAlign w:val="center"/>
          </w:tcPr>
          <w:p>
            <w:pPr>
              <w:pStyle w:val="TableNumber"/>
            </w:pPr>
            <w:r>
              <w:t>4.005 (1/13)</w:t>
            </w:r>
          </w:p>
        </w:tc>
        <w:tc>
          <w:tcPr>
            <w:tcW w:w="1600" w:type="dxa"/>
            <w:vAlign w:val="center"/>
          </w:tcPr>
          <w:p>
            <w:pPr>
              <w:pStyle w:val="TableNumber"/>
            </w:pPr>
            <w:r>
              <w:t>-10.64% (7/13)</w:t>
            </w:r>
          </w:p>
        </w:tc>
        <w:tc>
          <w:tcPr>
            <w:tcW w:w="960" w:type="dxa"/>
            <w:vAlign w:val="center"/>
          </w:tcPr>
          <w:p>
            <w:pPr>
              <w:pStyle w:val="TableNumber"/>
            </w:pPr>
            <w:r>
              <w:t>0.290</w:t>
            </w:r>
          </w:p>
        </w:tc>
      </w:tr>
      <w:tr>
        <w:trPr>
          <w:cantSplit/>
        </w:trPr>
        <w:tc>
          <w:tcPr>
            <w:tcW w:w="650" w:type="dxa"/>
            <w:vAlign w:val="center"/>
          </w:tcPr>
          <w:p>
            <w:pPr>
              <w:pStyle w:val="TableText"/>
            </w:pPr>
            <w:r>
              <w:t>3d</w:t>
            </w:r>
          </w:p>
        </w:tc>
        <w:tc>
          <w:tcPr>
            <w:tcW w:w="1900" w:type="dxa"/>
            <w:vAlign w:val="center"/>
          </w:tcPr>
          <w:p>
            <w:pPr>
              <w:pStyle w:val="TableNumber"/>
            </w:pPr>
            <w:r>
              <w:t>0.0839 (1/13)</w:t>
            </w:r>
          </w:p>
        </w:tc>
        <w:tc>
          <w:tcPr>
            <w:tcW w:w="1100" w:type="dxa"/>
            <w:vAlign w:val="center"/>
          </w:tcPr>
          <w:p>
            <w:pPr>
              <w:pStyle w:val="TableNumber"/>
            </w:pPr>
            <w:r>
              <w:t>0.563</w:t>
            </w:r>
          </w:p>
        </w:tc>
        <w:tc>
          <w:tcPr>
            <w:tcW w:w="1500" w:type="dxa"/>
            <w:vAlign w:val="center"/>
          </w:tcPr>
          <w:p>
            <w:pPr>
              <w:pStyle w:val="TableNumber"/>
            </w:pPr>
            <w:r>
              <w:t>0.78%</w:t>
            </w:r>
          </w:p>
        </w:tc>
        <w:tc>
          <w:tcPr>
            <w:tcW w:w="1650" w:type="dxa"/>
            <w:vAlign w:val="center"/>
          </w:tcPr>
          <w:p>
            <w:pPr>
              <w:pStyle w:val="TableNumber"/>
            </w:pPr>
            <w:r>
              <w:t>3.049 (1/13)</w:t>
            </w:r>
          </w:p>
        </w:tc>
        <w:tc>
          <w:tcPr>
            <w:tcW w:w="1600" w:type="dxa"/>
            <w:vAlign w:val="center"/>
          </w:tcPr>
          <w:p>
            <w:pPr>
              <w:pStyle w:val="TableNumber"/>
            </w:pPr>
            <w:r>
              <w:t>-15.53% (6/13)</w:t>
            </w:r>
          </w:p>
        </w:tc>
        <w:tc>
          <w:tcPr>
            <w:tcW w:w="960" w:type="dxa"/>
            <w:vAlign w:val="center"/>
          </w:tcPr>
          <w:p>
            <w:pPr>
              <w:pStyle w:val="TableNumber"/>
            </w:pPr>
            <w:r>
              <w:t>0.299</w:t>
            </w:r>
          </w:p>
        </w:tc>
      </w:tr>
      <w:tr>
        <w:trPr>
          <w:cantSplit/>
        </w:trPr>
        <w:tc>
          <w:tcPr>
            <w:tcW w:w="650" w:type="dxa"/>
            <w:vAlign w:val="center"/>
          </w:tcPr>
          <w:p>
            <w:pPr>
              <w:pStyle w:val="TableText"/>
            </w:pPr>
            <w:r>
              <w:t>4d</w:t>
            </w:r>
          </w:p>
        </w:tc>
        <w:tc>
          <w:tcPr>
            <w:tcW w:w="1900" w:type="dxa"/>
            <w:vAlign w:val="center"/>
          </w:tcPr>
          <w:p>
            <w:pPr>
              <w:pStyle w:val="TableNumber"/>
            </w:pPr>
            <w:r>
              <w:t>0.0918 (1/13)</w:t>
            </w:r>
          </w:p>
        </w:tc>
        <w:tc>
          <w:tcPr>
            <w:tcW w:w="1100" w:type="dxa"/>
            <w:vAlign w:val="center"/>
          </w:tcPr>
          <w:p>
            <w:pPr>
              <w:pStyle w:val="TableNumber"/>
            </w:pPr>
            <w:r>
              <w:t>0.626</w:t>
            </w:r>
          </w:p>
        </w:tc>
        <w:tc>
          <w:tcPr>
            <w:tcW w:w="1500" w:type="dxa"/>
            <w:vAlign w:val="center"/>
          </w:tcPr>
          <w:p>
            <w:pPr>
              <w:pStyle w:val="TableNumber"/>
            </w:pPr>
            <w:r>
              <w:t>1.03%</w:t>
            </w:r>
          </w:p>
        </w:tc>
        <w:tc>
          <w:tcPr>
            <w:tcW w:w="1650" w:type="dxa"/>
            <w:vAlign w:val="center"/>
          </w:tcPr>
          <w:p>
            <w:pPr>
              <w:pStyle w:val="TableNumber"/>
            </w:pPr>
            <w:r>
              <w:t>3.013 (1/13)</w:t>
            </w:r>
          </w:p>
        </w:tc>
        <w:tc>
          <w:tcPr>
            <w:tcW w:w="1600" w:type="dxa"/>
            <w:vAlign w:val="center"/>
          </w:tcPr>
          <w:p>
            <w:pPr>
              <w:pStyle w:val="TableNumber"/>
            </w:pPr>
            <w:r>
              <w:t>-17.30% (7/13)</w:t>
            </w:r>
          </w:p>
        </w:tc>
        <w:tc>
          <w:tcPr>
            <w:tcW w:w="960" w:type="dxa"/>
            <w:vAlign w:val="center"/>
          </w:tcPr>
          <w:p>
            <w:pPr>
              <w:pStyle w:val="TableNumber"/>
            </w:pPr>
            <w:r>
              <w:t>0.299</w:t>
            </w:r>
          </w:p>
        </w:tc>
      </w:tr>
      <w:tr>
        <w:trPr>
          <w:cantSplit/>
        </w:trPr>
        <w:tc>
          <w:tcPr>
            <w:tcW w:w="650" w:type="dxa"/>
            <w:vAlign w:val="center"/>
          </w:tcPr>
          <w:p>
            <w:pPr>
              <w:pStyle w:val="TableText"/>
            </w:pPr>
            <w:r>
              <w:t>5d</w:t>
            </w:r>
          </w:p>
        </w:tc>
        <w:tc>
          <w:tcPr>
            <w:tcW w:w="1900" w:type="dxa"/>
            <w:vAlign w:val="center"/>
          </w:tcPr>
          <w:p>
            <w:pPr>
              <w:pStyle w:val="TableNumber"/>
            </w:pPr>
            <w:r>
              <w:t>0.0936 (1/13)</w:t>
            </w:r>
          </w:p>
        </w:tc>
        <w:tc>
          <w:tcPr>
            <w:tcW w:w="1100" w:type="dxa"/>
            <w:vAlign w:val="center"/>
          </w:tcPr>
          <w:p>
            <w:pPr>
              <w:pStyle w:val="TableNumber"/>
            </w:pPr>
            <w:r>
              <w:t>0.658</w:t>
            </w:r>
          </w:p>
        </w:tc>
        <w:tc>
          <w:tcPr>
            <w:tcW w:w="1500" w:type="dxa"/>
            <w:vAlign w:val="center"/>
          </w:tcPr>
          <w:p>
            <w:pPr>
              <w:pStyle w:val="TableNumber"/>
            </w:pPr>
            <w:r>
              <w:t>1.15%</w:t>
            </w:r>
          </w:p>
        </w:tc>
        <w:tc>
          <w:tcPr>
            <w:tcW w:w="1650" w:type="dxa"/>
            <w:vAlign w:val="center"/>
          </w:tcPr>
          <w:p>
            <w:pPr>
              <w:pStyle w:val="TableNumber"/>
            </w:pPr>
            <w:r>
              <w:t>2.674 (1/13)</w:t>
            </w:r>
          </w:p>
        </w:tc>
        <w:tc>
          <w:tcPr>
            <w:tcW w:w="1600" w:type="dxa"/>
            <w:vAlign w:val="center"/>
          </w:tcPr>
          <w:p>
            <w:pPr>
              <w:pStyle w:val="TableNumber"/>
            </w:pPr>
            <w:r>
              <w:t>-17.30% (5/13)</w:t>
            </w:r>
          </w:p>
        </w:tc>
        <w:tc>
          <w:tcPr>
            <w:tcW w:w="960" w:type="dxa"/>
            <w:vAlign w:val="center"/>
          </w:tcPr>
          <w:p>
            <w:pPr>
              <w:pStyle w:val="TableNumber"/>
            </w:pPr>
            <w:r>
              <w:t>0.304</w:t>
            </w:r>
          </w:p>
        </w:tc>
      </w:tr>
      <w:tr>
        <w:trPr>
          <w:cantSplit/>
        </w:trPr>
        <w:tc>
          <w:tcPr>
            <w:tcW w:w="650" w:type="dxa"/>
            <w:vAlign w:val="center"/>
          </w:tcPr>
          <w:p>
            <w:pPr>
              <w:pStyle w:val="TableText"/>
            </w:pPr>
            <w:r>
              <w:t>6d</w:t>
            </w:r>
          </w:p>
        </w:tc>
        <w:tc>
          <w:tcPr>
            <w:tcW w:w="1900" w:type="dxa"/>
            <w:vAlign w:val="center"/>
          </w:tcPr>
          <w:p>
            <w:pPr>
              <w:pStyle w:val="TableNumber"/>
            </w:pPr>
            <w:r>
              <w:t>0.0996 (1/13)</w:t>
            </w:r>
          </w:p>
        </w:tc>
        <w:tc>
          <w:tcPr>
            <w:tcW w:w="1100" w:type="dxa"/>
            <w:vAlign w:val="center"/>
          </w:tcPr>
          <w:p>
            <w:pPr>
              <w:pStyle w:val="TableNumber"/>
            </w:pPr>
            <w:r>
              <w:t>0.704</w:t>
            </w:r>
          </w:p>
        </w:tc>
        <w:tc>
          <w:tcPr>
            <w:tcW w:w="1500" w:type="dxa"/>
            <w:vAlign w:val="center"/>
          </w:tcPr>
          <w:p>
            <w:pPr>
              <w:pStyle w:val="TableNumber"/>
            </w:pPr>
            <w:r>
              <w:t>1.41%</w:t>
            </w:r>
          </w:p>
        </w:tc>
        <w:tc>
          <w:tcPr>
            <w:tcW w:w="1650" w:type="dxa"/>
            <w:vAlign w:val="center"/>
          </w:tcPr>
          <w:p>
            <w:pPr>
              <w:pStyle w:val="TableNumber"/>
            </w:pPr>
            <w:r>
              <w:t>2.690 (1/13)</w:t>
            </w:r>
          </w:p>
        </w:tc>
        <w:tc>
          <w:tcPr>
            <w:tcW w:w="1600" w:type="dxa"/>
            <w:vAlign w:val="center"/>
          </w:tcPr>
          <w:p>
            <w:pPr>
              <w:pStyle w:val="TableNumber"/>
            </w:pPr>
            <w:r>
              <w:t>-19.52% (5/13)</w:t>
            </w:r>
          </w:p>
        </w:tc>
        <w:tc>
          <w:tcPr>
            <w:tcW w:w="960" w:type="dxa"/>
            <w:vAlign w:val="center"/>
          </w:tcPr>
          <w:p>
            <w:pPr>
              <w:pStyle w:val="TableNumber"/>
            </w:pPr>
            <w:r>
              <w:t>0.302</w:t>
            </w:r>
          </w:p>
        </w:tc>
      </w:tr>
      <w:tr>
        <w:trPr>
          <w:cantSplit/>
        </w:trPr>
        <w:tc>
          <w:tcPr>
            <w:tcW w:w="650" w:type="dxa"/>
            <w:vAlign w:val="center"/>
          </w:tcPr>
          <w:p>
            <w:pPr>
              <w:pStyle w:val="TableText"/>
            </w:pPr>
            <w:r>
              <w:t>7d</w:t>
            </w:r>
          </w:p>
        </w:tc>
        <w:tc>
          <w:tcPr>
            <w:tcW w:w="1900" w:type="dxa"/>
            <w:vAlign w:val="center"/>
          </w:tcPr>
          <w:p>
            <w:pPr>
              <w:pStyle w:val="TableNumber"/>
            </w:pPr>
            <w:r>
              <w:t>0.1046 (1/13)</w:t>
            </w:r>
          </w:p>
        </w:tc>
        <w:tc>
          <w:tcPr>
            <w:tcW w:w="1100" w:type="dxa"/>
            <w:vAlign w:val="center"/>
          </w:tcPr>
          <w:p>
            <w:pPr>
              <w:pStyle w:val="TableNumber"/>
            </w:pPr>
            <w:r>
              <w:t>0.747</w:t>
            </w:r>
          </w:p>
        </w:tc>
        <w:tc>
          <w:tcPr>
            <w:tcW w:w="1500" w:type="dxa"/>
            <w:vAlign w:val="center"/>
          </w:tcPr>
          <w:p>
            <w:pPr>
              <w:pStyle w:val="TableNumber"/>
            </w:pPr>
            <w:r>
              <w:t>1.64%</w:t>
            </w:r>
          </w:p>
        </w:tc>
        <w:tc>
          <w:tcPr>
            <w:tcW w:w="1650" w:type="dxa"/>
            <w:vAlign w:val="center"/>
          </w:tcPr>
          <w:p>
            <w:pPr>
              <w:pStyle w:val="TableNumber"/>
            </w:pPr>
            <w:r>
              <w:t>2.626 (1/13)</w:t>
            </w:r>
          </w:p>
        </w:tc>
        <w:tc>
          <w:tcPr>
            <w:tcW w:w="1600" w:type="dxa"/>
            <w:vAlign w:val="center"/>
          </w:tcPr>
          <w:p>
            <w:pPr>
              <w:pStyle w:val="TableNumber"/>
            </w:pPr>
            <w:r>
              <w:t>-22.30% (5/13)</w:t>
            </w:r>
          </w:p>
        </w:tc>
        <w:tc>
          <w:tcPr>
            <w:tcW w:w="960" w:type="dxa"/>
            <w:vAlign w:val="center"/>
          </w:tcPr>
          <w:p>
            <w:pPr>
              <w:pStyle w:val="TableNumber"/>
            </w:pPr>
            <w:r>
              <w:t>0.301</w:t>
            </w:r>
          </w:p>
        </w:tc>
      </w:tr>
      <w:tr>
        <w:trPr>
          <w:cantSplit/>
        </w:trPr>
        <w:tc>
          <w:tcPr>
            <w:tcW w:w="650" w:type="dxa"/>
            <w:vAlign w:val="center"/>
          </w:tcPr>
          <w:p>
            <w:pPr>
              <w:pStyle w:val="TableText"/>
            </w:pPr>
            <w:r>
              <w:t>8d</w:t>
            </w:r>
          </w:p>
        </w:tc>
        <w:tc>
          <w:tcPr>
            <w:tcW w:w="1900" w:type="dxa"/>
            <w:vAlign w:val="center"/>
          </w:tcPr>
          <w:p>
            <w:pPr>
              <w:pStyle w:val="TableNumber"/>
            </w:pPr>
            <w:r>
              <w:t>0.1029 (1/13)</w:t>
            </w:r>
          </w:p>
        </w:tc>
        <w:tc>
          <w:tcPr>
            <w:tcW w:w="1100" w:type="dxa"/>
            <w:vAlign w:val="center"/>
          </w:tcPr>
          <w:p>
            <w:pPr>
              <w:pStyle w:val="TableNumber"/>
            </w:pPr>
            <w:r>
              <w:t>0.749</w:t>
            </w:r>
          </w:p>
        </w:tc>
        <w:tc>
          <w:tcPr>
            <w:tcW w:w="1500" w:type="dxa"/>
            <w:vAlign w:val="center"/>
          </w:tcPr>
          <w:p>
            <w:pPr>
              <w:pStyle w:val="TableNumber"/>
            </w:pPr>
            <w:r>
              <w:t>1.79%</w:t>
            </w:r>
          </w:p>
        </w:tc>
        <w:tc>
          <w:tcPr>
            <w:tcW w:w="1650" w:type="dxa"/>
            <w:vAlign w:val="center"/>
          </w:tcPr>
          <w:p>
            <w:pPr>
              <w:pStyle w:val="TableNumber"/>
            </w:pPr>
            <w:r>
              <w:t>2.483 (1/13)</w:t>
            </w:r>
          </w:p>
        </w:tc>
        <w:tc>
          <w:tcPr>
            <w:tcW w:w="1600" w:type="dxa"/>
            <w:vAlign w:val="center"/>
          </w:tcPr>
          <w:p>
            <w:pPr>
              <w:pStyle w:val="TableNumber"/>
            </w:pPr>
            <w:r>
              <w:t>-23.97% (5/13)</w:t>
            </w:r>
          </w:p>
        </w:tc>
        <w:tc>
          <w:tcPr>
            <w:tcW w:w="960" w:type="dxa"/>
            <w:vAlign w:val="center"/>
          </w:tcPr>
          <w:p>
            <w:pPr>
              <w:pStyle w:val="TableNumber"/>
            </w:pPr>
            <w:r>
              <w:t>0.299</w:t>
            </w:r>
          </w:p>
        </w:tc>
      </w:tr>
      <w:tr>
        <w:trPr>
          <w:cantSplit/>
        </w:trPr>
        <w:tc>
          <w:tcPr>
            <w:tcW w:w="650" w:type="dxa"/>
            <w:vAlign w:val="center"/>
          </w:tcPr>
          <w:p>
            <w:pPr>
              <w:pStyle w:val="TableText"/>
            </w:pPr>
            <w:r>
              <w:t>9d</w:t>
            </w:r>
          </w:p>
        </w:tc>
        <w:tc>
          <w:tcPr>
            <w:tcW w:w="1900" w:type="dxa"/>
            <w:vAlign w:val="center"/>
          </w:tcPr>
          <w:p>
            <w:pPr>
              <w:pStyle w:val="TableNumber"/>
            </w:pPr>
            <w:r>
              <w:t>0.1052 (1/13)</w:t>
            </w:r>
          </w:p>
        </w:tc>
        <w:tc>
          <w:tcPr>
            <w:tcW w:w="1100" w:type="dxa"/>
            <w:vAlign w:val="center"/>
          </w:tcPr>
          <w:p>
            <w:pPr>
              <w:pStyle w:val="TableNumber"/>
            </w:pPr>
            <w:r>
              <w:t>0.757</w:t>
            </w:r>
          </w:p>
        </w:tc>
        <w:tc>
          <w:tcPr>
            <w:tcW w:w="1500" w:type="dxa"/>
            <w:vAlign w:val="center"/>
          </w:tcPr>
          <w:p>
            <w:pPr>
              <w:pStyle w:val="TableNumber"/>
            </w:pPr>
            <w:r>
              <w:t>1.99%</w:t>
            </w:r>
          </w:p>
        </w:tc>
        <w:tc>
          <w:tcPr>
            <w:tcW w:w="1650" w:type="dxa"/>
            <w:vAlign w:val="center"/>
          </w:tcPr>
          <w:p>
            <w:pPr>
              <w:pStyle w:val="TableNumber"/>
            </w:pPr>
            <w:r>
              <w:t>2.397 (1/13)</w:t>
            </w:r>
          </w:p>
        </w:tc>
        <w:tc>
          <w:tcPr>
            <w:tcW w:w="1600" w:type="dxa"/>
            <w:vAlign w:val="center"/>
          </w:tcPr>
          <w:p>
            <w:pPr>
              <w:pStyle w:val="TableNumber"/>
            </w:pPr>
            <w:r>
              <w:t>-23.67% (5/13)</w:t>
            </w:r>
          </w:p>
        </w:tc>
        <w:tc>
          <w:tcPr>
            <w:tcW w:w="960" w:type="dxa"/>
            <w:vAlign w:val="center"/>
          </w:tcPr>
          <w:p>
            <w:pPr>
              <w:pStyle w:val="TableNumber"/>
            </w:pPr>
            <w:r>
              <w:t>0.298</w:t>
            </w:r>
          </w:p>
        </w:tc>
      </w:tr>
      <w:tr>
        <w:trPr>
          <w:cantSplit/>
        </w:trPr>
        <w:tc>
          <w:tcPr>
            <w:tcW w:w="650" w:type="dxa"/>
            <w:vAlign w:val="center"/>
          </w:tcPr>
          <w:p>
            <w:pPr>
              <w:pStyle w:val="TableText"/>
            </w:pPr>
            <w:r>
              <w:t>10d</w:t>
            </w:r>
          </w:p>
        </w:tc>
        <w:tc>
          <w:tcPr>
            <w:tcW w:w="1900" w:type="dxa"/>
            <w:vAlign w:val="center"/>
          </w:tcPr>
          <w:p>
            <w:pPr>
              <w:pStyle w:val="TableNumber"/>
            </w:pPr>
            <w:r>
              <w:t>0.1050 (1/13)</w:t>
            </w:r>
          </w:p>
        </w:tc>
        <w:tc>
          <w:tcPr>
            <w:tcW w:w="1100" w:type="dxa"/>
            <w:vAlign w:val="center"/>
          </w:tcPr>
          <w:p>
            <w:pPr>
              <w:pStyle w:val="TableNumber"/>
            </w:pPr>
            <w:r>
              <w:t>0.744</w:t>
            </w:r>
          </w:p>
        </w:tc>
        <w:tc>
          <w:tcPr>
            <w:tcW w:w="1500" w:type="dxa"/>
            <w:vAlign w:val="center"/>
          </w:tcPr>
          <w:p>
            <w:pPr>
              <w:pStyle w:val="TableNumber"/>
            </w:pPr>
            <w:r>
              <w:t>2.14%</w:t>
            </w:r>
          </w:p>
        </w:tc>
        <w:tc>
          <w:tcPr>
            <w:tcW w:w="1650" w:type="dxa"/>
            <w:vAlign w:val="center"/>
          </w:tcPr>
          <w:p>
            <w:pPr>
              <w:pStyle w:val="TableNumber"/>
            </w:pPr>
            <w:r>
              <w:t>2.252 (2/13)</w:t>
            </w:r>
          </w:p>
        </w:tc>
        <w:tc>
          <w:tcPr>
            <w:tcW w:w="1600" w:type="dxa"/>
            <w:vAlign w:val="center"/>
          </w:tcPr>
          <w:p>
            <w:pPr>
              <w:pStyle w:val="TableNumber"/>
            </w:pPr>
            <w:r>
              <w:t>-31.36% (6/13)</w:t>
            </w:r>
          </w:p>
        </w:tc>
        <w:tc>
          <w:tcPr>
            <w:tcW w:w="960" w:type="dxa"/>
            <w:vAlign w:val="center"/>
          </w:tcPr>
          <w:p>
            <w:pPr>
              <w:pStyle w:val="TableNumber"/>
            </w:pPr>
            <w:r>
              <w:t>0.296</w:t>
            </w:r>
          </w:p>
        </w:tc>
      </w:tr>
      <w:tr>
        <w:trPr>
          <w:cantSplit/>
        </w:trPr>
        <w:tc>
          <w:tcPr>
            <w:tcW w:w="650" w:type="dxa"/>
            <w:vAlign w:val="center"/>
          </w:tcPr>
          <w:p>
            <w:pPr>
              <w:pStyle w:val="TableText"/>
            </w:pPr>
            <w:r>
              <w:t>11d</w:t>
            </w:r>
          </w:p>
        </w:tc>
        <w:tc>
          <w:tcPr>
            <w:tcW w:w="1900" w:type="dxa"/>
            <w:vAlign w:val="center"/>
          </w:tcPr>
          <w:p>
            <w:pPr>
              <w:pStyle w:val="TableNumber"/>
            </w:pPr>
            <w:r>
              <w:t>0.1066 (1/13)</w:t>
            </w:r>
          </w:p>
        </w:tc>
        <w:tc>
          <w:tcPr>
            <w:tcW w:w="1100" w:type="dxa"/>
            <w:vAlign w:val="center"/>
          </w:tcPr>
          <w:p>
            <w:pPr>
              <w:pStyle w:val="TableNumber"/>
            </w:pPr>
            <w:r>
              <w:t>0.740</w:t>
            </w:r>
          </w:p>
        </w:tc>
        <w:tc>
          <w:tcPr>
            <w:tcW w:w="1500" w:type="dxa"/>
            <w:vAlign w:val="center"/>
          </w:tcPr>
          <w:p>
            <w:pPr>
              <w:pStyle w:val="TableNumber"/>
            </w:pPr>
            <w:r>
              <w:t>2.29%</w:t>
            </w:r>
          </w:p>
        </w:tc>
        <w:tc>
          <w:tcPr>
            <w:tcW w:w="1650" w:type="dxa"/>
            <w:vAlign w:val="center"/>
          </w:tcPr>
          <w:p>
            <w:pPr>
              <w:pStyle w:val="TableNumber"/>
            </w:pPr>
            <w:r>
              <w:t>2.151 (2/13)</w:t>
            </w:r>
          </w:p>
        </w:tc>
        <w:tc>
          <w:tcPr>
            <w:tcW w:w="1600" w:type="dxa"/>
            <w:vAlign w:val="center"/>
          </w:tcPr>
          <w:p>
            <w:pPr>
              <w:pStyle w:val="TableNumber"/>
            </w:pPr>
            <w:r>
              <w:t>-37.59% (6/13)</w:t>
            </w:r>
          </w:p>
        </w:tc>
        <w:tc>
          <w:tcPr>
            <w:tcW w:w="960" w:type="dxa"/>
            <w:vAlign w:val="center"/>
          </w:tcPr>
          <w:p>
            <w:pPr>
              <w:pStyle w:val="TableNumber"/>
            </w:pPr>
            <w:r>
              <w:t>0.292</w:t>
            </w:r>
          </w:p>
        </w:tc>
      </w:tr>
      <w:tr>
        <w:trPr>
          <w:cantSplit/>
        </w:trPr>
        <w:tc>
          <w:tcPr>
            <w:tcW w:w="650" w:type="dxa"/>
            <w:vAlign w:val="center"/>
          </w:tcPr>
          <w:p>
            <w:pPr>
              <w:pStyle w:val="TableText"/>
            </w:pPr>
            <w:r>
              <w:t>12d</w:t>
            </w:r>
          </w:p>
        </w:tc>
        <w:tc>
          <w:tcPr>
            <w:tcW w:w="1900" w:type="dxa"/>
            <w:vAlign w:val="center"/>
          </w:tcPr>
          <w:p>
            <w:pPr>
              <w:pStyle w:val="TableNumber"/>
            </w:pPr>
            <w:r>
              <w:t>0.1070 (1/13)</w:t>
            </w:r>
          </w:p>
        </w:tc>
        <w:tc>
          <w:tcPr>
            <w:tcW w:w="1100" w:type="dxa"/>
            <w:vAlign w:val="center"/>
          </w:tcPr>
          <w:p>
            <w:pPr>
              <w:pStyle w:val="TableNumber"/>
            </w:pPr>
            <w:r>
              <w:t>0.732</w:t>
            </w:r>
          </w:p>
        </w:tc>
        <w:tc>
          <w:tcPr>
            <w:tcW w:w="1500" w:type="dxa"/>
            <w:vAlign w:val="center"/>
          </w:tcPr>
          <w:p>
            <w:pPr>
              <w:pStyle w:val="TableNumber"/>
            </w:pPr>
            <w:r>
              <w:t>2.44%</w:t>
            </w:r>
          </w:p>
        </w:tc>
        <w:tc>
          <w:tcPr>
            <w:tcW w:w="1650" w:type="dxa"/>
            <w:vAlign w:val="center"/>
          </w:tcPr>
          <w:p>
            <w:pPr>
              <w:pStyle w:val="TableNumber"/>
            </w:pPr>
            <w:r>
              <w:t>2.069 (3/13)</w:t>
            </w:r>
          </w:p>
        </w:tc>
        <w:tc>
          <w:tcPr>
            <w:tcW w:w="1600" w:type="dxa"/>
            <w:vAlign w:val="center"/>
          </w:tcPr>
          <w:p>
            <w:pPr>
              <w:pStyle w:val="TableNumber"/>
            </w:pPr>
            <w:r>
              <w:t>-42.44% (7/13)</w:t>
            </w:r>
          </w:p>
        </w:tc>
        <w:tc>
          <w:tcPr>
            <w:tcW w:w="960" w:type="dxa"/>
            <w:vAlign w:val="center"/>
          </w:tcPr>
          <w:p>
            <w:pPr>
              <w:pStyle w:val="TableNumber"/>
            </w:pPr>
            <w:r>
              <w:t>0.293</w:t>
            </w:r>
          </w:p>
        </w:tc>
      </w:tr>
      <w:tr>
        <w:trPr>
          <w:cantSplit/>
        </w:trPr>
        <w:tc>
          <w:tcPr>
            <w:tcW w:w="650" w:type="dxa"/>
            <w:vAlign w:val="center"/>
          </w:tcPr>
          <w:p>
            <w:pPr>
              <w:pStyle w:val="TableText"/>
            </w:pPr>
            <w:r>
              <w:t>13d</w:t>
            </w:r>
          </w:p>
        </w:tc>
        <w:tc>
          <w:tcPr>
            <w:tcW w:w="1900" w:type="dxa"/>
            <w:vAlign w:val="center"/>
          </w:tcPr>
          <w:p>
            <w:pPr>
              <w:pStyle w:val="TableNumber"/>
            </w:pPr>
            <w:r>
              <w:t>0.1042 (1/13)</w:t>
            </w:r>
          </w:p>
        </w:tc>
        <w:tc>
          <w:tcPr>
            <w:tcW w:w="1100" w:type="dxa"/>
            <w:vAlign w:val="center"/>
          </w:tcPr>
          <w:p>
            <w:pPr>
              <w:pStyle w:val="TableNumber"/>
            </w:pPr>
            <w:r>
              <w:t>0.705</w:t>
            </w:r>
          </w:p>
        </w:tc>
        <w:tc>
          <w:tcPr>
            <w:tcW w:w="1500" w:type="dxa"/>
            <w:vAlign w:val="center"/>
          </w:tcPr>
          <w:p>
            <w:pPr>
              <w:pStyle w:val="TableNumber"/>
            </w:pPr>
            <w:r>
              <w:t>2.43%</w:t>
            </w:r>
          </w:p>
        </w:tc>
        <w:tc>
          <w:tcPr>
            <w:tcW w:w="1650" w:type="dxa"/>
            <w:vAlign w:val="center"/>
          </w:tcPr>
          <w:p>
            <w:pPr>
              <w:pStyle w:val="TableNumber"/>
            </w:pPr>
            <w:r>
              <w:t>1.873 (3/13)</w:t>
            </w:r>
          </w:p>
        </w:tc>
        <w:tc>
          <w:tcPr>
            <w:tcW w:w="1600" w:type="dxa"/>
            <w:vAlign w:val="center"/>
          </w:tcPr>
          <w:p>
            <w:pPr>
              <w:pStyle w:val="TableNumber"/>
            </w:pPr>
            <w:r>
              <w:t>-50.21% (8/13)</w:t>
            </w:r>
          </w:p>
        </w:tc>
        <w:tc>
          <w:tcPr>
            <w:tcW w:w="960" w:type="dxa"/>
            <w:vAlign w:val="center"/>
          </w:tcPr>
          <w:p>
            <w:pPr>
              <w:pStyle w:val="TableNumber"/>
            </w:pPr>
            <w:r>
              <w:t>0.286</w:t>
            </w:r>
          </w:p>
        </w:tc>
      </w:tr>
      <w:tr>
        <w:trPr>
          <w:cantSplit/>
        </w:trPr>
        <w:tc>
          <w:tcPr>
            <w:tcW w:w="650" w:type="dxa"/>
            <w:vAlign w:val="center"/>
          </w:tcPr>
          <w:p>
            <w:pPr>
              <w:pStyle w:val="TableText"/>
            </w:pPr>
            <w:r>
              <w:t>14d</w:t>
            </w:r>
          </w:p>
        </w:tc>
        <w:tc>
          <w:tcPr>
            <w:tcW w:w="1900" w:type="dxa"/>
            <w:vAlign w:val="center"/>
          </w:tcPr>
          <w:p>
            <w:pPr>
              <w:pStyle w:val="TableNumber"/>
            </w:pPr>
            <w:r>
              <w:t>0.1043 (1/13)</w:t>
            </w:r>
          </w:p>
        </w:tc>
        <w:tc>
          <w:tcPr>
            <w:tcW w:w="1100" w:type="dxa"/>
            <w:vAlign w:val="center"/>
          </w:tcPr>
          <w:p>
            <w:pPr>
              <w:pStyle w:val="TableNumber"/>
            </w:pPr>
            <w:r>
              <w:t>0.701</w:t>
            </w:r>
          </w:p>
        </w:tc>
        <w:tc>
          <w:tcPr>
            <w:tcW w:w="1500" w:type="dxa"/>
            <w:vAlign w:val="center"/>
          </w:tcPr>
          <w:p>
            <w:pPr>
              <w:pStyle w:val="TableNumber"/>
            </w:pPr>
            <w:r>
              <w:t>2.60%</w:t>
            </w:r>
          </w:p>
        </w:tc>
        <w:tc>
          <w:tcPr>
            <w:tcW w:w="1650" w:type="dxa"/>
            <w:vAlign w:val="center"/>
          </w:tcPr>
          <w:p>
            <w:pPr>
              <w:pStyle w:val="TableNumber"/>
            </w:pPr>
            <w:r>
              <w:t>1.827 (3/13)</w:t>
            </w:r>
          </w:p>
        </w:tc>
        <w:tc>
          <w:tcPr>
            <w:tcW w:w="1600" w:type="dxa"/>
            <w:vAlign w:val="center"/>
          </w:tcPr>
          <w:p>
            <w:pPr>
              <w:pStyle w:val="TableNumber"/>
            </w:pPr>
            <w:r>
              <w:t>-54.49% (7/13)</w:t>
            </w:r>
          </w:p>
        </w:tc>
        <w:tc>
          <w:tcPr>
            <w:tcW w:w="960" w:type="dxa"/>
            <w:vAlign w:val="center"/>
          </w:tcPr>
          <w:p>
            <w:pPr>
              <w:pStyle w:val="TableNumber"/>
            </w:pPr>
            <w:r>
              <w:t>0.287</w:t>
            </w:r>
          </w:p>
        </w:tc>
      </w:tr>
    </w:tbl>
    <w:p>
      <w:pPr>
        <w:pStyle w:val="a"/>
        <w:spacing w:before="160"/>
      </w:pPr>
      <w:r>
        <w:t xml:space="preserve">q50 RankIC and ICIR in Table 9 measure date-level ordering and are not affected by the capital-scale error. Net log returns, Sharpe, drawdown and original ranks are traceability only. These are legacy simplified diagnostics with inconsistent capital and cost scales, not reliable strategy performance. They cannot establish deployment readiness, stable profit or strategy superiority.</w:t>
      </w:r>
    </w:p>
    <w:p>
      <w:pPr>
        <w:pStyle w:val="Note"/>
      </w:pPr>
      <w:r>
        <w:t xml:space="preserve">Long positions sum to +0.5 and shorts to −0.5; turnover and costs use this scale. Gross return is mean(long)−mean(short), missing the corresponding 0.5. Costs remain 10 bps×turnover and Sharpe uses sqrt(252/h). Do not halve Sharpe or drawdown. Unify positions, returns and costs, then recompute the full sequence. Address overlapping multi-day holdings, alpha/log-return versus realized portfolio PnL, borrow, capacity, slippage, impact and taxes. The limitation also applies to legacy independent-head economics, not pinball, coverage, q50 correlation, direction agreement or RankIC.</w:t>
      </w:r>
    </w:p>
    <w:p>
      <w:pPr>
        <w:pStyle w:val="21"/>
      </w:pPr>
      <w:r>
        <w:t xml:space="preserve">6.3a Market specific stock selection by the independent head</w:t>
      </w:r>
    </w:p>
    <w:p>
      <w:pPr>
        <w:pStyle w:val="Decision"/>
      </w:pPr>
      <w:r>
        <w:t xml:space="preserve">Table 9a | RankIC first line ICIR second line with evaluated dates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00"/>
        <w:gridCol w:w="2030"/>
        <w:gridCol w:w="890"/>
        <w:gridCol w:w="2030"/>
        <w:gridCol w:w="890"/>
        <w:gridCol w:w="2030"/>
        <w:gridCol w:w="890"/>
      </w:tblGrid>
      <w:tr>
        <w:trPr>
          <w:cantSplit/>
          <w:tblHeader/>
        </w:trPr>
        <w:tc>
          <w:tcPr>
            <w:tcW w:w="600" w:type="dxa"/>
            <w:shd w:fill="DCE6F1"/>
            <w:vAlign w:val="center"/>
          </w:tcPr>
          <w:p>
            <w:pPr>
              <w:pStyle w:val="TableHeader"/>
            </w:pPr>
            <w:r>
              <w:t xml:space="preserve">H</w:t>
            </w:r>
          </w:p>
        </w:tc>
        <w:tc>
          <w:tcPr>
            <w:tcW w:w="2030" w:type="dxa"/>
            <w:shd w:fill="DCE6F1"/>
            <w:vAlign w:val="center"/>
          </w:tcPr>
          <w:p>
            <w:pPr>
              <w:pStyle w:val="TableHeader"/>
            </w:pPr>
            <w:r>
              <w:t xml:space="preserve">US</w:t>
              <w:br/>
              <w:t xml:space="preserve">RankIC / ICIR</w:t>
            </w:r>
          </w:p>
        </w:tc>
        <w:tc>
          <w:tcPr>
            <w:tcW w:w="890" w:type="dxa"/>
            <w:shd w:fill="DCE6F1"/>
            <w:vAlign w:val="center"/>
          </w:tcPr>
          <w:p>
            <w:pPr>
              <w:pStyle w:val="TableHeader"/>
            </w:pPr>
            <w:r>
              <w:t xml:space="preserve">Dates</w:t>
            </w:r>
          </w:p>
        </w:tc>
        <w:tc>
          <w:tcPr>
            <w:tcW w:w="2030" w:type="dxa"/>
            <w:shd w:fill="DCE6F1"/>
            <w:vAlign w:val="center"/>
          </w:tcPr>
          <w:p>
            <w:pPr>
              <w:pStyle w:val="TableHeader"/>
            </w:pPr>
            <w:r>
              <w:t xml:space="preserve">TWSE</w:t>
              <w:br/>
              <w:t xml:space="preserve">RankIC / ICIR</w:t>
            </w:r>
          </w:p>
        </w:tc>
        <w:tc>
          <w:tcPr>
            <w:tcW w:w="890" w:type="dxa"/>
            <w:shd w:fill="DCE6F1"/>
            <w:vAlign w:val="center"/>
          </w:tcPr>
          <w:p>
            <w:pPr>
              <w:pStyle w:val="TableHeader"/>
            </w:pPr>
            <w:r>
              <w:t xml:space="preserve">Dates</w:t>
            </w:r>
          </w:p>
        </w:tc>
        <w:tc>
          <w:tcPr>
            <w:tcW w:w="2030" w:type="dxa"/>
            <w:shd w:fill="DCE6F1"/>
            <w:vAlign w:val="center"/>
          </w:tcPr>
          <w:p>
            <w:pPr>
              <w:pStyle w:val="TableHeader"/>
            </w:pPr>
            <w:r>
              <w:t xml:space="preserve">TPEX</w:t>
              <w:br/>
              <w:t xml:space="preserve">RankIC / ICIR</w:t>
            </w:r>
          </w:p>
        </w:tc>
        <w:tc>
          <w:tcPr>
            <w:tcW w:w="890" w:type="dxa"/>
            <w:shd w:fill="DCE6F1"/>
            <w:vAlign w:val="center"/>
          </w:tcPr>
          <w:p>
            <w:pPr>
              <w:pStyle w:val="TableHeader"/>
            </w:pPr>
            <w:r>
              <w:t xml:space="preserve">Dates</w:t>
            </w:r>
          </w:p>
        </w:tc>
      </w:tr>
      <w:tr>
        <w:trPr>
          <w:cantSplit/>
        </w:trPr>
        <w:tc>
          <w:tcPr>
            <w:tcW w:w="600" w:type="dxa"/>
            <w:shd w:fill="FFFFFF"/>
            <w:vAlign w:val="center"/>
          </w:tcPr>
          <w:p>
            <w:pPr>
              <w:pStyle w:val="TableNumber"/>
            </w:pPr>
            <w:r>
              <w:t xml:space="preserve">1d</w:t>
            </w:r>
          </w:p>
        </w:tc>
        <w:tc>
          <w:tcPr>
            <w:tcW w:w="2030" w:type="dxa"/>
            <w:shd w:fill="FFFFFF"/>
            <w:vAlign w:val="center"/>
          </w:tcPr>
          <w:p>
            <w:pPr>
              <w:pStyle w:val="TableNumber"/>
            </w:pPr>
            <w:r>
              <w:t xml:space="preserve">0.024688</w:t>
              <w:br/>
              <w:t xml:space="preserve">0.182723</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0.072745</w:t>
              <w:br/>
              <w:t xml:space="preserve">0.396263</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0.049925</w:t>
              <w:br/>
              <w:t xml:space="preserve">0.364780</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2d</w:t>
            </w:r>
          </w:p>
        </w:tc>
        <w:tc>
          <w:tcPr>
            <w:tcW w:w="2030" w:type="dxa"/>
            <w:shd w:fill="F7F9FC"/>
            <w:vAlign w:val="center"/>
          </w:tcPr>
          <w:p>
            <w:pPr>
              <w:pStyle w:val="TableNumber"/>
            </w:pPr>
            <w:r>
              <w:t xml:space="preserve">0.036930</w:t>
              <w:br/>
              <w:t xml:space="preserve">0.273265</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0.057332</w:t>
              <w:br/>
              <w:t xml:space="preserve">0.337491</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0.047080</w:t>
              <w:br/>
              <w:t xml:space="preserve">0.353765</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3d</w:t>
            </w:r>
          </w:p>
        </w:tc>
        <w:tc>
          <w:tcPr>
            <w:tcW w:w="2030" w:type="dxa"/>
            <w:shd w:fill="FFFFFF"/>
            <w:vAlign w:val="center"/>
          </w:tcPr>
          <w:p>
            <w:pPr>
              <w:pStyle w:val="TableNumber"/>
            </w:pPr>
            <w:r>
              <w:t xml:space="preserve">0.045630</w:t>
              <w:br/>
              <w:t xml:space="preserve">0.338742</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0.055210</w:t>
              <w:br/>
              <w:t xml:space="preserve">0.329292</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0.043475</w:t>
              <w:br/>
              <w:t xml:space="preserve">0.314012</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4d</w:t>
            </w:r>
          </w:p>
        </w:tc>
        <w:tc>
          <w:tcPr>
            <w:tcW w:w="2030" w:type="dxa"/>
            <w:shd w:fill="F7F9FC"/>
            <w:vAlign w:val="center"/>
          </w:tcPr>
          <w:p>
            <w:pPr>
              <w:pStyle w:val="TableNumber"/>
            </w:pPr>
            <w:r>
              <w:t xml:space="preserve">0.052134</w:t>
              <w:br/>
              <w:t xml:space="preserve">0.383014</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0.055705</w:t>
              <w:br/>
              <w:t xml:space="preserve">0.313218</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0.043156</w:t>
              <w:br/>
              <w:t xml:space="preserve">0.300967</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5d</w:t>
            </w:r>
          </w:p>
        </w:tc>
        <w:tc>
          <w:tcPr>
            <w:tcW w:w="2030" w:type="dxa"/>
            <w:shd w:fill="FFFFFF"/>
            <w:vAlign w:val="center"/>
          </w:tcPr>
          <w:p>
            <w:pPr>
              <w:pStyle w:val="TableNumber"/>
            </w:pPr>
            <w:r>
              <w:t xml:space="preserve">0.058563</w:t>
              <w:br/>
              <w:t xml:space="preserve">0.444653</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0.056728</w:t>
              <w:br/>
              <w:t xml:space="preserve">0.337300</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0.047753</w:t>
              <w:br/>
              <w:t xml:space="preserve">0.335465</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6d</w:t>
            </w:r>
          </w:p>
        </w:tc>
        <w:tc>
          <w:tcPr>
            <w:tcW w:w="2030" w:type="dxa"/>
            <w:shd w:fill="F7F9FC"/>
            <w:vAlign w:val="center"/>
          </w:tcPr>
          <w:p>
            <w:pPr>
              <w:pStyle w:val="TableNumber"/>
            </w:pPr>
            <w:r>
              <w:t xml:space="preserve">0.064533</w:t>
              <w:br/>
              <w:t xml:space="preserve">0.503175</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0.053800</w:t>
              <w:br/>
              <w:t xml:space="preserve">0.324734</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0.034578</w:t>
              <w:br/>
              <w:t xml:space="preserve">0.238278</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7d</w:t>
            </w:r>
          </w:p>
        </w:tc>
        <w:tc>
          <w:tcPr>
            <w:tcW w:w="2030" w:type="dxa"/>
            <w:shd w:fill="FFFFFF"/>
            <w:vAlign w:val="center"/>
          </w:tcPr>
          <w:p>
            <w:pPr>
              <w:pStyle w:val="TableNumber"/>
            </w:pPr>
            <w:r>
              <w:t xml:space="preserve">0.065230</w:t>
              <w:br/>
              <w:t xml:space="preserve">0.504487</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0.052341</w:t>
              <w:br/>
              <w:t xml:space="preserve">0.317427</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0.035133</w:t>
              <w:br/>
              <w:t xml:space="preserve">0.245324</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8d</w:t>
            </w:r>
          </w:p>
        </w:tc>
        <w:tc>
          <w:tcPr>
            <w:tcW w:w="2030" w:type="dxa"/>
            <w:shd w:fill="F7F9FC"/>
            <w:vAlign w:val="center"/>
          </w:tcPr>
          <w:p>
            <w:pPr>
              <w:pStyle w:val="TableNumber"/>
            </w:pPr>
            <w:r>
              <w:t xml:space="preserve">0.068810</w:t>
              <w:br/>
              <w:t xml:space="preserve">0.546050</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0.050559</w:t>
              <w:br/>
              <w:t xml:space="preserve">0.320906</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0.036943</w:t>
              <w:br/>
              <w:t xml:space="preserve">0.263342</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9d</w:t>
            </w:r>
          </w:p>
        </w:tc>
        <w:tc>
          <w:tcPr>
            <w:tcW w:w="2030" w:type="dxa"/>
            <w:shd w:fill="FFFFFF"/>
            <w:vAlign w:val="center"/>
          </w:tcPr>
          <w:p>
            <w:pPr>
              <w:pStyle w:val="TableNumber"/>
            </w:pPr>
            <w:r>
              <w:t xml:space="preserve">0.071293</w:t>
              <w:br/>
              <w:t xml:space="preserve">0.561839</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0.044526</w:t>
              <w:br/>
              <w:t xml:space="preserve">0.290754</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0.036370</w:t>
              <w:br/>
              <w:t xml:space="preserve">0.268395</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10d</w:t>
            </w:r>
          </w:p>
        </w:tc>
        <w:tc>
          <w:tcPr>
            <w:tcW w:w="2030" w:type="dxa"/>
            <w:shd w:fill="F7F9FC"/>
            <w:vAlign w:val="center"/>
          </w:tcPr>
          <w:p>
            <w:pPr>
              <w:pStyle w:val="TableNumber"/>
            </w:pPr>
            <w:r>
              <w:t xml:space="preserve">0.069937</w:t>
              <w:br/>
              <w:t xml:space="preserve">0.528945</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0.038785</w:t>
              <w:br/>
              <w:t xml:space="preserve">0.253952</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0.030432</w:t>
              <w:br/>
              <w:t xml:space="preserve">0.229117</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11d</w:t>
            </w:r>
          </w:p>
        </w:tc>
        <w:tc>
          <w:tcPr>
            <w:tcW w:w="2030" w:type="dxa"/>
            <w:shd w:fill="FFFFFF"/>
            <w:vAlign w:val="center"/>
          </w:tcPr>
          <w:p>
            <w:pPr>
              <w:pStyle w:val="TableNumber"/>
            </w:pPr>
            <w:r>
              <w:t xml:space="preserve">0.069512</w:t>
              <w:br/>
              <w:t xml:space="preserve">0.507140</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0.034163</w:t>
              <w:br/>
              <w:t xml:space="preserve">0.223909</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0.026246</w:t>
              <w:br/>
              <w:t xml:space="preserve">0.201787</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12d</w:t>
            </w:r>
          </w:p>
        </w:tc>
        <w:tc>
          <w:tcPr>
            <w:tcW w:w="2030" w:type="dxa"/>
            <w:shd w:fill="F7F9FC"/>
            <w:vAlign w:val="center"/>
          </w:tcPr>
          <w:p>
            <w:pPr>
              <w:pStyle w:val="TableNumber"/>
            </w:pPr>
            <w:r>
              <w:t xml:space="preserve">0.067319</w:t>
              <w:br/>
              <w:t xml:space="preserve">0.472955</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0.035283</w:t>
              <w:br/>
              <w:t xml:space="preserve">0.242543</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0.029089</w:t>
              <w:br/>
              <w:t xml:space="preserve">0.233661</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13d</w:t>
            </w:r>
          </w:p>
        </w:tc>
        <w:tc>
          <w:tcPr>
            <w:tcW w:w="2030" w:type="dxa"/>
            <w:shd w:fill="FFFFFF"/>
            <w:vAlign w:val="center"/>
          </w:tcPr>
          <w:p>
            <w:pPr>
              <w:pStyle w:val="TableNumber"/>
            </w:pPr>
            <w:r>
              <w:t xml:space="preserve">0.063871</w:t>
              <w:br/>
              <w:t xml:space="preserve">0.448880</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0.030632</w:t>
              <w:br/>
              <w:t xml:space="preserve">0.215625</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0.024958</w:t>
              <w:br/>
              <w:t xml:space="preserve">0.199526</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14d</w:t>
            </w:r>
          </w:p>
        </w:tc>
        <w:tc>
          <w:tcPr>
            <w:tcW w:w="2030" w:type="dxa"/>
            <w:shd w:fill="F7F9FC"/>
            <w:vAlign w:val="center"/>
          </w:tcPr>
          <w:p>
            <w:pPr>
              <w:pStyle w:val="TableNumber"/>
            </w:pPr>
            <w:r>
              <w:t xml:space="preserve">0.066183</w:t>
              <w:br/>
              <w:t xml:space="preserve">0.441299</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0.028739</w:t>
              <w:br/>
              <w:t xml:space="preserve">0.202730</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0.028777</w:t>
              <w:br/>
              <w:t xml:space="preserve">0.235582</w:t>
            </w:r>
          </w:p>
        </w:tc>
        <w:tc>
          <w:tcPr>
            <w:tcW w:w="890" w:type="dxa"/>
            <w:shd w:fill="F7F9FC"/>
            <w:vAlign w:val="center"/>
          </w:tcPr>
          <w:p>
            <w:pPr>
              <w:pStyle w:val="TableNumber"/>
            </w:pPr>
            <w:r>
              <w:t xml:space="preserve">103</w:t>
            </w:r>
          </w:p>
        </w:tc>
      </w:tr>
    </w:tbl>
    <w:p>
      <w:pPr>
        <w:pStyle w:val="a"/>
        <w:spacing w:before="160"/>
      </w:pPr>
      <w:r>
        <w:t xml:space="preserve">q50 correlation asks whether numerical alpha forecasts co-move with realized alpha. q50 RankIC compares same-date q50 ordering with realized ordering; independent-head RankIC instead uses the dedicated ranking score. Compute Spearman correlation per valid date; rank_ic_mean is its date mean and ICIR is that mean divided by sample standard deviation across dates, without annualization. Positive values indicate ordering association, not profit magnitude.</w:t>
      </w:r>
    </w:p>
    <w:p>
      <w:pPr>
        <w:pStyle w:val="a"/>
      </w:pPr>
      <w:r>
        <w:t xml:space="preserve">The score is dimensionless, not an expected return, and its sign is not a stock-price or alpha direction forecast. Current q50 cross_sectional_by_horizon pools markets, while independent_ranking is market-specific. No fair q50 comparator exists for the same market and valid-date set, so do not claim head superiority. US has 110 dates and TWSE/TPEX 103 each, versus 112 full-test dates. Dates with fewer than three valid stocks, nonfinite inputs or no signal variation are excluded.</w:t>
      </w:r>
    </w:p>
    <w:p>
      <w:pPr>
        <w:pStyle w:val="11"/>
      </w:pPr>
      <w:r>
        <w:t>7. Derived signal distribution across all horizons</w:t>
      </w:r>
    </w:p>
    <w:p>
      <w:pPr>
        <w:pStyle w:val="Decision"/>
        <w:keepNext/>
        <w:spacing w:after="80"/>
      </w:pPr>
      <w:r>
        <w:t>Table 10 | Post-processing labels at threshold zero</w:t>
      </w:r>
    </w:p>
    <w:tbl>
      <w:tblPr>
        <w:tblStyle w:val="BenchmarkTable"/>
        <w:tblW w:w="9360" w:type="dxa"/>
        <w:tblLayout w:type="fixed"/>
      </w:tblPr>
      <w:tblGrid>
        <w:gridCol w:w="900"/>
        <w:gridCol w:w="1800"/>
        <w:gridCol w:w="1800"/>
        <w:gridCol w:w="1800"/>
        <w:gridCol w:w="3060"/>
      </w:tblGrid>
      <w:tr>
        <w:trPr>
          <w:tblHeader/>
        </w:trPr>
        <w:tc>
          <w:tcPr>
            <w:tcW w:w="900" w:type="dxa"/>
            <w:shd w:val="clear" w:fill="DCE6F1"/>
            <w:vAlign w:val="center"/>
          </w:tcPr>
          <w:p>
            <w:pPr>
              <w:pStyle w:val="TableHeader"/>
            </w:pPr>
            <w:r>
              <w:t>H</w:t>
            </w:r>
          </w:p>
        </w:tc>
        <w:tc>
          <w:tcPr>
            <w:tcW w:w="1800" w:type="dxa"/>
            <w:shd w:val="clear" w:fill="DCE6F1"/>
            <w:vAlign w:val="center"/>
          </w:tcPr>
          <w:p>
            <w:pPr>
              <w:pStyle w:val="TableHeader"/>
            </w:pPr>
            <w:r>
              <w:t>Bearish</w:t>
            </w:r>
          </w:p>
        </w:tc>
        <w:tc>
          <w:tcPr>
            <w:tcW w:w="1800" w:type="dxa"/>
            <w:shd w:val="clear" w:fill="DCE6F1"/>
            <w:vAlign w:val="center"/>
          </w:tcPr>
          <w:p>
            <w:pPr>
              <w:pStyle w:val="TableHeader"/>
            </w:pPr>
            <w:r>
              <w:t>Neutral</w:t>
            </w:r>
          </w:p>
        </w:tc>
        <w:tc>
          <w:tcPr>
            <w:tcW w:w="1800" w:type="dxa"/>
            <w:shd w:val="clear" w:fill="DCE6F1"/>
            <w:vAlign w:val="center"/>
          </w:tcPr>
          <w:p>
            <w:pPr>
              <w:pStyle w:val="TableHeader"/>
            </w:pPr>
            <w:r>
              <w:t>Bullish</w:t>
            </w:r>
          </w:p>
        </w:tc>
        <w:tc>
          <w:tcPr>
            <w:tcW w:w="3060" w:type="dxa"/>
            <w:shd w:val="clear" w:fill="DCE6F1"/>
            <w:vAlign w:val="center"/>
          </w:tcPr>
          <w:p>
            <w:pPr>
              <w:pStyle w:val="TableHeader"/>
            </w:pPr>
            <w:r>
              <w:t>Strong bear / bull (rows)</w:t>
            </w:r>
          </w:p>
        </w:tc>
      </w:tr>
      <w:tr>
        <w:trPr>
          <w:cantSplit/>
        </w:trPr>
        <w:tc>
          <w:tcPr>
            <w:tcW w:w="900" w:type="dxa"/>
            <w:vAlign w:val="center"/>
          </w:tcPr>
          <w:p>
            <w:pPr>
              <w:pStyle w:val="TableText"/>
            </w:pPr>
            <w:r>
              <w:t>1d</w:t>
            </w:r>
          </w:p>
        </w:tc>
        <w:tc>
          <w:tcPr>
            <w:tcW w:w="1800" w:type="dxa"/>
            <w:vAlign w:val="center"/>
          </w:tcPr>
          <w:p>
            <w:pPr>
              <w:pStyle w:val="TableNumber"/>
            </w:pPr>
            <w:r>
              <w:t>61.14%</w:t>
            </w:r>
          </w:p>
        </w:tc>
        <w:tc>
          <w:tcPr>
            <w:tcW w:w="1800" w:type="dxa"/>
            <w:vAlign w:val="center"/>
          </w:tcPr>
          <w:p>
            <w:pPr>
              <w:pStyle w:val="TableNumber"/>
            </w:pPr>
            <w:r>
              <w:t>0.00%</w:t>
            </w:r>
          </w:p>
        </w:tc>
        <w:tc>
          <w:tcPr>
            <w:tcW w:w="1800" w:type="dxa"/>
            <w:vAlign w:val="center"/>
          </w:tcPr>
          <w:p>
            <w:pPr>
              <w:pStyle w:val="TableNumber"/>
            </w:pPr>
            <w:r>
              <w:t>38.86%</w:t>
            </w:r>
          </w:p>
        </w:tc>
        <w:tc>
          <w:tcPr>
            <w:tcW w:w="3060" w:type="dxa"/>
            <w:vAlign w:val="center"/>
          </w:tcPr>
          <w:p>
            <w:pPr>
              <w:pStyle w:val="TableNumber"/>
            </w:pPr>
            <w:r>
              <w:t>0 / 23</w:t>
            </w:r>
          </w:p>
        </w:tc>
      </w:tr>
      <w:tr>
        <w:trPr>
          <w:cantSplit/>
        </w:trPr>
        <w:tc>
          <w:tcPr>
            <w:tcW w:w="900" w:type="dxa"/>
            <w:vAlign w:val="center"/>
          </w:tcPr>
          <w:p>
            <w:pPr>
              <w:pStyle w:val="TableText"/>
            </w:pPr>
            <w:r>
              <w:t>2d</w:t>
            </w:r>
          </w:p>
        </w:tc>
        <w:tc>
          <w:tcPr>
            <w:tcW w:w="1800" w:type="dxa"/>
            <w:vAlign w:val="center"/>
          </w:tcPr>
          <w:p>
            <w:pPr>
              <w:pStyle w:val="TableNumber"/>
            </w:pPr>
            <w:r>
              <w:t>57.95%</w:t>
            </w:r>
          </w:p>
        </w:tc>
        <w:tc>
          <w:tcPr>
            <w:tcW w:w="1800" w:type="dxa"/>
            <w:vAlign w:val="center"/>
          </w:tcPr>
          <w:p>
            <w:pPr>
              <w:pStyle w:val="TableNumber"/>
            </w:pPr>
            <w:r>
              <w:t>0.00%</w:t>
            </w:r>
          </w:p>
        </w:tc>
        <w:tc>
          <w:tcPr>
            <w:tcW w:w="1800" w:type="dxa"/>
            <w:vAlign w:val="center"/>
          </w:tcPr>
          <w:p>
            <w:pPr>
              <w:pStyle w:val="TableNumber"/>
            </w:pPr>
            <w:r>
              <w:t>42.05%</w:t>
            </w:r>
          </w:p>
        </w:tc>
        <w:tc>
          <w:tcPr>
            <w:tcW w:w="3060" w:type="dxa"/>
            <w:vAlign w:val="center"/>
          </w:tcPr>
          <w:p>
            <w:pPr>
              <w:pStyle w:val="TableNumber"/>
            </w:pPr>
            <w:r>
              <w:t>0 / 12</w:t>
            </w:r>
          </w:p>
        </w:tc>
      </w:tr>
      <w:tr>
        <w:trPr>
          <w:cantSplit/>
        </w:trPr>
        <w:tc>
          <w:tcPr>
            <w:tcW w:w="900" w:type="dxa"/>
            <w:vAlign w:val="center"/>
          </w:tcPr>
          <w:p>
            <w:pPr>
              <w:pStyle w:val="TableText"/>
            </w:pPr>
            <w:r>
              <w:t>3d</w:t>
            </w:r>
          </w:p>
        </w:tc>
        <w:tc>
          <w:tcPr>
            <w:tcW w:w="1800" w:type="dxa"/>
            <w:vAlign w:val="center"/>
          </w:tcPr>
          <w:p>
            <w:pPr>
              <w:pStyle w:val="TableNumber"/>
            </w:pPr>
            <w:r>
              <w:t>64.62%</w:t>
            </w:r>
          </w:p>
        </w:tc>
        <w:tc>
          <w:tcPr>
            <w:tcW w:w="1800" w:type="dxa"/>
            <w:vAlign w:val="center"/>
          </w:tcPr>
          <w:p>
            <w:pPr>
              <w:pStyle w:val="TableNumber"/>
            </w:pPr>
            <w:r>
              <w:t>0.00%</w:t>
            </w:r>
          </w:p>
        </w:tc>
        <w:tc>
          <w:tcPr>
            <w:tcW w:w="1800" w:type="dxa"/>
            <w:vAlign w:val="center"/>
          </w:tcPr>
          <w:p>
            <w:pPr>
              <w:pStyle w:val="TableNumber"/>
            </w:pPr>
            <w:r>
              <w:t>35.38%</w:t>
            </w:r>
          </w:p>
        </w:tc>
        <w:tc>
          <w:tcPr>
            <w:tcW w:w="3060" w:type="dxa"/>
            <w:vAlign w:val="center"/>
          </w:tcPr>
          <w:p>
            <w:pPr>
              <w:pStyle w:val="TableNumber"/>
            </w:pPr>
            <w:r>
              <w:t>0 / 12</w:t>
            </w:r>
          </w:p>
        </w:tc>
      </w:tr>
      <w:tr>
        <w:trPr>
          <w:cantSplit/>
        </w:trPr>
        <w:tc>
          <w:tcPr>
            <w:tcW w:w="900" w:type="dxa"/>
            <w:vAlign w:val="center"/>
          </w:tcPr>
          <w:p>
            <w:pPr>
              <w:pStyle w:val="TableText"/>
            </w:pPr>
            <w:r>
              <w:t>4d</w:t>
            </w:r>
          </w:p>
        </w:tc>
        <w:tc>
          <w:tcPr>
            <w:tcW w:w="1800" w:type="dxa"/>
            <w:vAlign w:val="center"/>
          </w:tcPr>
          <w:p>
            <w:pPr>
              <w:pStyle w:val="TableNumber"/>
            </w:pPr>
            <w:r>
              <w:t>57.05%</w:t>
            </w:r>
          </w:p>
        </w:tc>
        <w:tc>
          <w:tcPr>
            <w:tcW w:w="1800" w:type="dxa"/>
            <w:vAlign w:val="center"/>
          </w:tcPr>
          <w:p>
            <w:pPr>
              <w:pStyle w:val="TableNumber"/>
            </w:pPr>
            <w:r>
              <w:t>0.00%</w:t>
            </w:r>
          </w:p>
        </w:tc>
        <w:tc>
          <w:tcPr>
            <w:tcW w:w="1800" w:type="dxa"/>
            <w:vAlign w:val="center"/>
          </w:tcPr>
          <w:p>
            <w:pPr>
              <w:pStyle w:val="TableNumber"/>
            </w:pPr>
            <w:r>
              <w:t>42.95%</w:t>
            </w:r>
          </w:p>
        </w:tc>
        <w:tc>
          <w:tcPr>
            <w:tcW w:w="3060" w:type="dxa"/>
            <w:vAlign w:val="center"/>
          </w:tcPr>
          <w:p>
            <w:pPr>
              <w:pStyle w:val="TableNumber"/>
            </w:pPr>
            <w:r>
              <w:t>0 / 36</w:t>
            </w:r>
          </w:p>
        </w:tc>
      </w:tr>
      <w:tr>
        <w:trPr>
          <w:cantSplit/>
        </w:trPr>
        <w:tc>
          <w:tcPr>
            <w:tcW w:w="900" w:type="dxa"/>
            <w:vAlign w:val="center"/>
          </w:tcPr>
          <w:p>
            <w:pPr>
              <w:pStyle w:val="TableText"/>
            </w:pPr>
            <w:r>
              <w:t>5d</w:t>
            </w:r>
          </w:p>
        </w:tc>
        <w:tc>
          <w:tcPr>
            <w:tcW w:w="1800" w:type="dxa"/>
            <w:vAlign w:val="center"/>
          </w:tcPr>
          <w:p>
            <w:pPr>
              <w:pStyle w:val="TableNumber"/>
            </w:pPr>
            <w:r>
              <w:t>67.53%</w:t>
            </w:r>
          </w:p>
        </w:tc>
        <w:tc>
          <w:tcPr>
            <w:tcW w:w="1800" w:type="dxa"/>
            <w:vAlign w:val="center"/>
          </w:tcPr>
          <w:p>
            <w:pPr>
              <w:pStyle w:val="TableNumber"/>
            </w:pPr>
            <w:r>
              <w:t>0.00%</w:t>
            </w:r>
          </w:p>
        </w:tc>
        <w:tc>
          <w:tcPr>
            <w:tcW w:w="1800" w:type="dxa"/>
            <w:vAlign w:val="center"/>
          </w:tcPr>
          <w:p>
            <w:pPr>
              <w:pStyle w:val="TableNumber"/>
            </w:pPr>
            <w:r>
              <w:t>32.47%</w:t>
            </w:r>
          </w:p>
        </w:tc>
        <w:tc>
          <w:tcPr>
            <w:tcW w:w="3060" w:type="dxa"/>
            <w:vAlign w:val="center"/>
          </w:tcPr>
          <w:p>
            <w:pPr>
              <w:pStyle w:val="TableNumber"/>
            </w:pPr>
            <w:r>
              <w:t>0 / 15</w:t>
            </w:r>
          </w:p>
        </w:tc>
      </w:tr>
      <w:tr>
        <w:trPr>
          <w:cantSplit/>
        </w:trPr>
        <w:tc>
          <w:tcPr>
            <w:tcW w:w="900" w:type="dxa"/>
            <w:vAlign w:val="center"/>
          </w:tcPr>
          <w:p>
            <w:pPr>
              <w:pStyle w:val="TableText"/>
            </w:pPr>
            <w:r>
              <w:t>6d</w:t>
            </w:r>
          </w:p>
        </w:tc>
        <w:tc>
          <w:tcPr>
            <w:tcW w:w="1800" w:type="dxa"/>
            <w:vAlign w:val="center"/>
          </w:tcPr>
          <w:p>
            <w:pPr>
              <w:pStyle w:val="TableNumber"/>
            </w:pPr>
            <w:r>
              <w:t>66.06%</w:t>
            </w:r>
          </w:p>
        </w:tc>
        <w:tc>
          <w:tcPr>
            <w:tcW w:w="1800" w:type="dxa"/>
            <w:vAlign w:val="center"/>
          </w:tcPr>
          <w:p>
            <w:pPr>
              <w:pStyle w:val="TableNumber"/>
            </w:pPr>
            <w:r>
              <w:t>0.00%</w:t>
            </w:r>
          </w:p>
        </w:tc>
        <w:tc>
          <w:tcPr>
            <w:tcW w:w="1800" w:type="dxa"/>
            <w:vAlign w:val="center"/>
          </w:tcPr>
          <w:p>
            <w:pPr>
              <w:pStyle w:val="TableNumber"/>
            </w:pPr>
            <w:r>
              <w:t>33.94%</w:t>
            </w:r>
          </w:p>
        </w:tc>
        <w:tc>
          <w:tcPr>
            <w:tcW w:w="3060" w:type="dxa"/>
            <w:vAlign w:val="center"/>
          </w:tcPr>
          <w:p>
            <w:pPr>
              <w:pStyle w:val="TableNumber"/>
            </w:pPr>
            <w:r>
              <w:t>0 / 45</w:t>
            </w:r>
          </w:p>
        </w:tc>
      </w:tr>
      <w:tr>
        <w:trPr>
          <w:cantSplit/>
        </w:trPr>
        <w:tc>
          <w:tcPr>
            <w:tcW w:w="900" w:type="dxa"/>
            <w:vAlign w:val="center"/>
          </w:tcPr>
          <w:p>
            <w:pPr>
              <w:pStyle w:val="TableText"/>
            </w:pPr>
            <w:r>
              <w:t>7d</w:t>
            </w:r>
          </w:p>
        </w:tc>
        <w:tc>
          <w:tcPr>
            <w:tcW w:w="1800" w:type="dxa"/>
            <w:vAlign w:val="center"/>
          </w:tcPr>
          <w:p>
            <w:pPr>
              <w:pStyle w:val="TableNumber"/>
            </w:pPr>
            <w:r>
              <w:t>59.93%</w:t>
            </w:r>
          </w:p>
        </w:tc>
        <w:tc>
          <w:tcPr>
            <w:tcW w:w="1800" w:type="dxa"/>
            <w:vAlign w:val="center"/>
          </w:tcPr>
          <w:p>
            <w:pPr>
              <w:pStyle w:val="TableNumber"/>
            </w:pPr>
            <w:r>
              <w:t>0.00%</w:t>
            </w:r>
          </w:p>
        </w:tc>
        <w:tc>
          <w:tcPr>
            <w:tcW w:w="1800" w:type="dxa"/>
            <w:vAlign w:val="center"/>
          </w:tcPr>
          <w:p>
            <w:pPr>
              <w:pStyle w:val="TableNumber"/>
            </w:pPr>
            <w:r>
              <w:t>40.07%</w:t>
            </w:r>
          </w:p>
        </w:tc>
        <w:tc>
          <w:tcPr>
            <w:tcW w:w="3060" w:type="dxa"/>
            <w:vAlign w:val="center"/>
          </w:tcPr>
          <w:p>
            <w:pPr>
              <w:pStyle w:val="TableNumber"/>
            </w:pPr>
            <w:r>
              <w:t>2 / 143</w:t>
            </w:r>
          </w:p>
        </w:tc>
      </w:tr>
      <w:tr>
        <w:trPr>
          <w:cantSplit/>
        </w:trPr>
        <w:tc>
          <w:tcPr>
            <w:tcW w:w="900" w:type="dxa"/>
            <w:vAlign w:val="center"/>
          </w:tcPr>
          <w:p>
            <w:pPr>
              <w:pStyle w:val="TableText"/>
            </w:pPr>
            <w:r>
              <w:t>8d</w:t>
            </w:r>
          </w:p>
        </w:tc>
        <w:tc>
          <w:tcPr>
            <w:tcW w:w="1800" w:type="dxa"/>
            <w:vAlign w:val="center"/>
          </w:tcPr>
          <w:p>
            <w:pPr>
              <w:pStyle w:val="TableNumber"/>
            </w:pPr>
            <w:r>
              <w:t>62.76%</w:t>
            </w:r>
          </w:p>
        </w:tc>
        <w:tc>
          <w:tcPr>
            <w:tcW w:w="1800" w:type="dxa"/>
            <w:vAlign w:val="center"/>
          </w:tcPr>
          <w:p>
            <w:pPr>
              <w:pStyle w:val="TableNumber"/>
            </w:pPr>
            <w:r>
              <w:t>0.00%</w:t>
            </w:r>
          </w:p>
        </w:tc>
        <w:tc>
          <w:tcPr>
            <w:tcW w:w="1800" w:type="dxa"/>
            <w:vAlign w:val="center"/>
          </w:tcPr>
          <w:p>
            <w:pPr>
              <w:pStyle w:val="TableNumber"/>
            </w:pPr>
            <w:r>
              <w:t>37.24%</w:t>
            </w:r>
          </w:p>
        </w:tc>
        <w:tc>
          <w:tcPr>
            <w:tcW w:w="3060" w:type="dxa"/>
            <w:vAlign w:val="center"/>
          </w:tcPr>
          <w:p>
            <w:pPr>
              <w:pStyle w:val="TableNumber"/>
            </w:pPr>
            <w:r>
              <w:t>6 / 120</w:t>
            </w:r>
          </w:p>
        </w:tc>
      </w:tr>
      <w:tr>
        <w:trPr>
          <w:cantSplit/>
        </w:trPr>
        <w:tc>
          <w:tcPr>
            <w:tcW w:w="900" w:type="dxa"/>
            <w:vAlign w:val="center"/>
          </w:tcPr>
          <w:p>
            <w:pPr>
              <w:pStyle w:val="TableText"/>
            </w:pPr>
            <w:r>
              <w:t>9d</w:t>
            </w:r>
          </w:p>
        </w:tc>
        <w:tc>
          <w:tcPr>
            <w:tcW w:w="1800" w:type="dxa"/>
            <w:vAlign w:val="center"/>
          </w:tcPr>
          <w:p>
            <w:pPr>
              <w:pStyle w:val="TableNumber"/>
            </w:pPr>
            <w:r>
              <w:t>60.57%</w:t>
            </w:r>
          </w:p>
        </w:tc>
        <w:tc>
          <w:tcPr>
            <w:tcW w:w="1800" w:type="dxa"/>
            <w:vAlign w:val="center"/>
          </w:tcPr>
          <w:p>
            <w:pPr>
              <w:pStyle w:val="TableNumber"/>
            </w:pPr>
            <w:r>
              <w:t>0.00%</w:t>
            </w:r>
          </w:p>
        </w:tc>
        <w:tc>
          <w:tcPr>
            <w:tcW w:w="1800" w:type="dxa"/>
            <w:vAlign w:val="center"/>
          </w:tcPr>
          <w:p>
            <w:pPr>
              <w:pStyle w:val="TableNumber"/>
            </w:pPr>
            <w:r>
              <w:t>39.43%</w:t>
            </w:r>
          </w:p>
        </w:tc>
        <w:tc>
          <w:tcPr>
            <w:tcW w:w="3060" w:type="dxa"/>
            <w:vAlign w:val="center"/>
          </w:tcPr>
          <w:p>
            <w:pPr>
              <w:pStyle w:val="TableNumber"/>
            </w:pPr>
            <w:r>
              <w:t>10 / 153</w:t>
            </w:r>
          </w:p>
        </w:tc>
      </w:tr>
      <w:tr>
        <w:trPr>
          <w:cantSplit/>
        </w:trPr>
        <w:tc>
          <w:tcPr>
            <w:tcW w:w="900" w:type="dxa"/>
            <w:vAlign w:val="center"/>
          </w:tcPr>
          <w:p>
            <w:pPr>
              <w:pStyle w:val="TableText"/>
            </w:pPr>
            <w:r>
              <w:t>10d</w:t>
            </w:r>
          </w:p>
        </w:tc>
        <w:tc>
          <w:tcPr>
            <w:tcW w:w="1800" w:type="dxa"/>
            <w:vAlign w:val="center"/>
          </w:tcPr>
          <w:p>
            <w:pPr>
              <w:pStyle w:val="TableNumber"/>
            </w:pPr>
            <w:r>
              <w:t>63.02%</w:t>
            </w:r>
          </w:p>
        </w:tc>
        <w:tc>
          <w:tcPr>
            <w:tcW w:w="1800" w:type="dxa"/>
            <w:vAlign w:val="center"/>
          </w:tcPr>
          <w:p>
            <w:pPr>
              <w:pStyle w:val="TableNumber"/>
            </w:pPr>
            <w:r>
              <w:t>0.00%</w:t>
            </w:r>
          </w:p>
        </w:tc>
        <w:tc>
          <w:tcPr>
            <w:tcW w:w="1800" w:type="dxa"/>
            <w:vAlign w:val="center"/>
          </w:tcPr>
          <w:p>
            <w:pPr>
              <w:pStyle w:val="TableNumber"/>
            </w:pPr>
            <w:r>
              <w:t>36.98%</w:t>
            </w:r>
          </w:p>
        </w:tc>
        <w:tc>
          <w:tcPr>
            <w:tcW w:w="3060" w:type="dxa"/>
            <w:vAlign w:val="center"/>
          </w:tcPr>
          <w:p>
            <w:pPr>
              <w:pStyle w:val="TableNumber"/>
            </w:pPr>
            <w:r>
              <w:t>16 / 93</w:t>
            </w:r>
          </w:p>
        </w:tc>
      </w:tr>
      <w:tr>
        <w:trPr>
          <w:cantSplit/>
        </w:trPr>
        <w:tc>
          <w:tcPr>
            <w:tcW w:w="900" w:type="dxa"/>
            <w:vAlign w:val="center"/>
          </w:tcPr>
          <w:p>
            <w:pPr>
              <w:pStyle w:val="TableText"/>
            </w:pPr>
            <w:r>
              <w:t>11d</w:t>
            </w:r>
          </w:p>
        </w:tc>
        <w:tc>
          <w:tcPr>
            <w:tcW w:w="1800" w:type="dxa"/>
            <w:vAlign w:val="center"/>
          </w:tcPr>
          <w:p>
            <w:pPr>
              <w:pStyle w:val="TableNumber"/>
            </w:pPr>
            <w:r>
              <w:t>64.40%</w:t>
            </w:r>
          </w:p>
        </w:tc>
        <w:tc>
          <w:tcPr>
            <w:tcW w:w="1800" w:type="dxa"/>
            <w:vAlign w:val="center"/>
          </w:tcPr>
          <w:p>
            <w:pPr>
              <w:pStyle w:val="TableNumber"/>
            </w:pPr>
            <w:r>
              <w:t>0.00%</w:t>
            </w:r>
          </w:p>
        </w:tc>
        <w:tc>
          <w:tcPr>
            <w:tcW w:w="1800" w:type="dxa"/>
            <w:vAlign w:val="center"/>
          </w:tcPr>
          <w:p>
            <w:pPr>
              <w:pStyle w:val="TableNumber"/>
            </w:pPr>
            <w:r>
              <w:t>35.60%</w:t>
            </w:r>
          </w:p>
        </w:tc>
        <w:tc>
          <w:tcPr>
            <w:tcW w:w="3060" w:type="dxa"/>
            <w:vAlign w:val="center"/>
          </w:tcPr>
          <w:p>
            <w:pPr>
              <w:pStyle w:val="TableNumber"/>
            </w:pPr>
            <w:r>
              <w:t>21 / 122</w:t>
            </w:r>
          </w:p>
        </w:tc>
      </w:tr>
      <w:tr>
        <w:trPr>
          <w:cantSplit/>
        </w:trPr>
        <w:tc>
          <w:tcPr>
            <w:tcW w:w="900" w:type="dxa"/>
            <w:vAlign w:val="center"/>
          </w:tcPr>
          <w:p>
            <w:pPr>
              <w:pStyle w:val="TableText"/>
            </w:pPr>
            <w:r>
              <w:t>12d</w:t>
            </w:r>
          </w:p>
        </w:tc>
        <w:tc>
          <w:tcPr>
            <w:tcW w:w="1800" w:type="dxa"/>
            <w:vAlign w:val="center"/>
          </w:tcPr>
          <w:p>
            <w:pPr>
              <w:pStyle w:val="TableNumber"/>
            </w:pPr>
            <w:r>
              <w:t>63.75%</w:t>
            </w:r>
          </w:p>
        </w:tc>
        <w:tc>
          <w:tcPr>
            <w:tcW w:w="1800" w:type="dxa"/>
            <w:vAlign w:val="center"/>
          </w:tcPr>
          <w:p>
            <w:pPr>
              <w:pStyle w:val="TableNumber"/>
            </w:pPr>
            <w:r>
              <w:t>0.00%</w:t>
            </w:r>
          </w:p>
        </w:tc>
        <w:tc>
          <w:tcPr>
            <w:tcW w:w="1800" w:type="dxa"/>
            <w:vAlign w:val="center"/>
          </w:tcPr>
          <w:p>
            <w:pPr>
              <w:pStyle w:val="TableNumber"/>
            </w:pPr>
            <w:r>
              <w:t>36.25%</w:t>
            </w:r>
          </w:p>
        </w:tc>
        <w:tc>
          <w:tcPr>
            <w:tcW w:w="3060" w:type="dxa"/>
            <w:vAlign w:val="center"/>
          </w:tcPr>
          <w:p>
            <w:pPr>
              <w:pStyle w:val="TableNumber"/>
            </w:pPr>
            <w:r>
              <w:t>30 / 138</w:t>
            </w:r>
          </w:p>
        </w:tc>
      </w:tr>
      <w:tr>
        <w:trPr>
          <w:cantSplit/>
        </w:trPr>
        <w:tc>
          <w:tcPr>
            <w:tcW w:w="900" w:type="dxa"/>
            <w:vAlign w:val="center"/>
          </w:tcPr>
          <w:p>
            <w:pPr>
              <w:pStyle w:val="TableText"/>
            </w:pPr>
            <w:r>
              <w:t>13d</w:t>
            </w:r>
          </w:p>
        </w:tc>
        <w:tc>
          <w:tcPr>
            <w:tcW w:w="1800" w:type="dxa"/>
            <w:vAlign w:val="center"/>
          </w:tcPr>
          <w:p>
            <w:pPr>
              <w:pStyle w:val="TableNumber"/>
            </w:pPr>
            <w:r>
              <w:t>65.37%</w:t>
            </w:r>
          </w:p>
        </w:tc>
        <w:tc>
          <w:tcPr>
            <w:tcW w:w="1800" w:type="dxa"/>
            <w:vAlign w:val="center"/>
          </w:tcPr>
          <w:p>
            <w:pPr>
              <w:pStyle w:val="TableNumber"/>
            </w:pPr>
            <w:r>
              <w:t>0.00%</w:t>
            </w:r>
          </w:p>
        </w:tc>
        <w:tc>
          <w:tcPr>
            <w:tcW w:w="1800" w:type="dxa"/>
            <w:vAlign w:val="center"/>
          </w:tcPr>
          <w:p>
            <w:pPr>
              <w:pStyle w:val="TableNumber"/>
            </w:pPr>
            <w:r>
              <w:t>34.63%</w:t>
            </w:r>
          </w:p>
        </w:tc>
        <w:tc>
          <w:tcPr>
            <w:tcW w:w="3060" w:type="dxa"/>
            <w:vAlign w:val="center"/>
          </w:tcPr>
          <w:p>
            <w:pPr>
              <w:pStyle w:val="TableNumber"/>
            </w:pPr>
            <w:r>
              <w:t>39 / 146</w:t>
            </w:r>
          </w:p>
        </w:tc>
      </w:tr>
      <w:tr>
        <w:trPr>
          <w:cantSplit/>
        </w:trPr>
        <w:tc>
          <w:tcPr>
            <w:tcW w:w="900" w:type="dxa"/>
            <w:vAlign w:val="center"/>
          </w:tcPr>
          <w:p>
            <w:pPr>
              <w:pStyle w:val="TableText"/>
            </w:pPr>
            <w:r>
              <w:t>14d</w:t>
            </w:r>
          </w:p>
        </w:tc>
        <w:tc>
          <w:tcPr>
            <w:tcW w:w="1800" w:type="dxa"/>
            <w:vAlign w:val="center"/>
          </w:tcPr>
          <w:p>
            <w:pPr>
              <w:pStyle w:val="TableNumber"/>
            </w:pPr>
            <w:r>
              <w:t>64.76%</w:t>
            </w:r>
          </w:p>
        </w:tc>
        <w:tc>
          <w:tcPr>
            <w:tcW w:w="1800" w:type="dxa"/>
            <w:vAlign w:val="center"/>
          </w:tcPr>
          <w:p>
            <w:pPr>
              <w:pStyle w:val="TableNumber"/>
            </w:pPr>
            <w:r>
              <w:t>0.00%</w:t>
            </w:r>
          </w:p>
        </w:tc>
        <w:tc>
          <w:tcPr>
            <w:tcW w:w="1800" w:type="dxa"/>
            <w:vAlign w:val="center"/>
          </w:tcPr>
          <w:p>
            <w:pPr>
              <w:pStyle w:val="TableNumber"/>
            </w:pPr>
            <w:r>
              <w:t>35.24%</w:t>
            </w:r>
          </w:p>
        </w:tc>
        <w:tc>
          <w:tcPr>
            <w:tcW w:w="3060" w:type="dxa"/>
            <w:vAlign w:val="center"/>
          </w:tcPr>
          <w:p>
            <w:pPr>
              <w:pStyle w:val="TableNumber"/>
            </w:pPr>
            <w:r>
              <w:t>50 / 134</w:t>
            </w:r>
          </w:p>
        </w:tc>
      </w:tr>
    </w:tbl>
    <w:p>
      <w:pPr>
        <w:pStyle w:val="a"/>
        <w:spacing w:before="160"/>
      </w:pPr>
      <w:r>
        <w:t>Bearish labels range from 57.05% to 67.53%; neutral labels range from 0.00% to 0.00%. Across 14 horizons, 174 / 1,192 strong-bearish and strong-bullish labels were assigned. These are rule-based labels from q10, q50, and q90 relative to zero, not probabilities of a rise or decline.</w:t>
      </w:r>
    </w:p>
    <w:p>
      <w:pPr>
        <w:pStyle w:val="11"/>
      </w:pPr>
      <w:r>
        <w:t>8. Provider and year stability</w:t>
      </w:r>
    </w:p>
    <w:p>
      <w:pPr>
        <w:pStyle w:val="21"/>
      </w:pPr>
      <w:r>
        <w:t>8.1 Provider slices</w:t>
      </w:r>
    </w:p>
    <w:tbl>
      <w:tblPr>
        <w:tblStyle w:val="BenchmarkTable"/>
        <w:tblW w:w="9360" w:type="dxa"/>
        <w:tblLayout w:type="fixed"/>
      </w:tblPr>
      <w:tblGrid>
        <w:gridCol w:w="1500"/>
        <w:gridCol w:w="1100"/>
        <w:gridCol w:w="1300"/>
        <w:gridCol w:w="1400"/>
        <w:gridCol w:w="1800"/>
        <w:gridCol w:w="1250"/>
        <w:gridCol w:w="1010"/>
      </w:tblGrid>
      <w:tr>
        <w:trPr>
          <w:tblHeader/>
        </w:trPr>
        <w:tc>
          <w:tcPr>
            <w:tcW w:w="1500" w:type="dxa"/>
            <w:shd w:val="clear" w:fill="DCE6F1"/>
            <w:vAlign w:val="center"/>
          </w:tcPr>
          <w:p>
            <w:pPr>
              <w:pStyle w:val="TableHeader"/>
            </w:pPr>
            <w:r>
              <w:t>Provider</w:t>
            </w:r>
          </w:p>
        </w:tc>
        <w:tc>
          <w:tcPr>
            <w:tcW w:w="1100" w:type="dxa"/>
            <w:shd w:val="clear" w:fill="DCE6F1"/>
            <w:vAlign w:val="center"/>
          </w:tcPr>
          <w:p>
            <w:pPr>
              <w:pStyle w:val="TableHeader"/>
            </w:pPr>
            <w:r>
              <w:t>n</w:t>
            </w:r>
          </w:p>
        </w:tc>
        <w:tc>
          <w:tcPr>
            <w:tcW w:w="1300" w:type="dxa"/>
            <w:shd w:val="clear" w:fill="DCE6F1"/>
            <w:vAlign w:val="center"/>
          </w:tcPr>
          <w:p>
            <w:pPr>
              <w:pStyle w:val="TableHeader"/>
            </w:pPr>
            <w:r>
              <w:t>14H score</w:t>
            </w:r>
          </w:p>
        </w:tc>
        <w:tc>
          <w:tcPr>
            <w:tcW w:w="1400" w:type="dxa"/>
            <w:shd w:val="clear" w:fill="DCE6F1"/>
            <w:vAlign w:val="center"/>
          </w:tcPr>
          <w:p>
            <w:pPr>
              <w:pStyle w:val="TableHeader"/>
            </w:pPr>
            <w:r>
              <w:t>Mean q50 corr.</w:t>
            </w:r>
          </w:p>
        </w:tc>
        <w:tc>
          <w:tcPr>
            <w:tcW w:w="1800" w:type="dxa"/>
            <w:shd w:val="clear" w:fill="DCE6F1"/>
            <w:vAlign w:val="center"/>
          </w:tcPr>
          <w:p>
            <w:pPr>
              <w:pStyle w:val="TableHeader"/>
            </w:pPr>
            <w:r>
              <w:t>Corr. range</w:t>
            </w:r>
          </w:p>
        </w:tc>
        <w:tc>
          <w:tcPr>
            <w:tcW w:w="1250" w:type="dxa"/>
            <w:shd w:val="clear" w:fill="DCE6F1"/>
            <w:vAlign w:val="center"/>
          </w:tcPr>
          <w:p>
            <w:pPr>
              <w:pStyle w:val="TableHeader"/>
            </w:pPr>
            <w:r>
              <w:t>Mean direction</w:t>
            </w:r>
          </w:p>
        </w:tc>
        <w:tc>
          <w:tcPr>
            <w:tcW w:w="1010" w:type="dxa"/>
            <w:shd w:val="clear" w:fill="DCE6F1"/>
            <w:vAlign w:val="center"/>
          </w:tcPr>
          <w:p>
            <w:pPr>
              <w:pStyle w:val="TableHeader"/>
            </w:pPr>
            <w:r>
              <w:t>Mean coverage</w:t>
            </w:r>
          </w:p>
        </w:tc>
      </w:tr>
      <w:tr>
        <w:trPr>
          <w:cantSplit/>
        </w:trPr>
        <w:tc>
          <w:tcPr>
            <w:tcW w:w="1500" w:type="dxa"/>
            <w:vAlign w:val="center"/>
          </w:tcPr>
          <w:p>
            <w:pPr>
              <w:pStyle w:val="TableText"/>
            </w:pPr>
            <w:r>
              <w:t>EODHD / US</w:t>
            </w:r>
          </w:p>
        </w:tc>
        <w:tc>
          <w:tcPr>
            <w:tcW w:w="1100" w:type="dxa"/>
            <w:vAlign w:val="center"/>
          </w:tcPr>
          <w:p>
            <w:pPr>
              <w:pStyle w:val="TableNumber"/>
            </w:pPr>
            <w:r>
              <w:t>439,729</w:t>
            </w:r>
          </w:p>
        </w:tc>
        <w:tc>
          <w:tcPr>
            <w:tcW w:w="1300" w:type="dxa"/>
            <w:vAlign w:val="center"/>
          </w:tcPr>
          <w:p>
            <w:pPr>
              <w:pStyle w:val="TableNumber"/>
            </w:pPr>
            <w:r>
              <w:t>0.292837</w:t>
            </w:r>
          </w:p>
        </w:tc>
        <w:tc>
          <w:tcPr>
            <w:tcW w:w="1400" w:type="dxa"/>
            <w:vAlign w:val="center"/>
          </w:tcPr>
          <w:p>
            <w:pPr>
              <w:pStyle w:val="TableNumber"/>
            </w:pPr>
            <w:r>
              <w:t>0.0973</w:t>
            </w:r>
          </w:p>
        </w:tc>
        <w:tc>
          <w:tcPr>
            <w:tcW w:w="1800" w:type="dxa"/>
            <w:vAlign w:val="center"/>
          </w:tcPr>
          <w:p>
            <w:pPr>
              <w:pStyle w:val="TableNumber"/>
            </w:pPr>
            <w:r>
              <w:t>0.0346 to 0.1342</w:t>
            </w:r>
          </w:p>
        </w:tc>
        <w:tc>
          <w:tcPr>
            <w:tcW w:w="1250" w:type="dxa"/>
            <w:vAlign w:val="center"/>
          </w:tcPr>
          <w:p>
            <w:pPr>
              <w:pStyle w:val="TableNumber"/>
            </w:pPr>
            <w:r>
              <w:t>52.23%</w:t>
            </w:r>
          </w:p>
        </w:tc>
        <w:tc>
          <w:tcPr>
            <w:tcW w:w="1010" w:type="dxa"/>
            <w:vAlign w:val="center"/>
          </w:tcPr>
          <w:p>
            <w:pPr>
              <w:pStyle w:val="TableNumber"/>
            </w:pPr>
            <w:r>
              <w:t>77.05%</w:t>
            </w:r>
          </w:p>
        </w:tc>
      </w:tr>
      <w:tr>
        <w:trPr>
          <w:cantSplit/>
        </w:trPr>
        <w:tc>
          <w:tcPr>
            <w:tcW w:w="1500" w:type="dxa"/>
            <w:vAlign w:val="center"/>
          </w:tcPr>
          <w:p>
            <w:pPr>
              <w:pStyle w:val="TableText"/>
            </w:pPr>
            <w:r>
              <w:t>TPEx</w:t>
            </w:r>
          </w:p>
        </w:tc>
        <w:tc>
          <w:tcPr>
            <w:tcW w:w="1100" w:type="dxa"/>
            <w:vAlign w:val="center"/>
          </w:tcPr>
          <w:p>
            <w:pPr>
              <w:pStyle w:val="TableNumber"/>
            </w:pPr>
            <w:r>
              <w:t>31,285</w:t>
            </w:r>
          </w:p>
        </w:tc>
        <w:tc>
          <w:tcPr>
            <w:tcW w:w="1300" w:type="dxa"/>
            <w:vAlign w:val="center"/>
          </w:tcPr>
          <w:p>
            <w:pPr>
              <w:pStyle w:val="TableNumber"/>
            </w:pPr>
            <w:r>
              <w:t>0.322516</w:t>
            </w:r>
          </w:p>
        </w:tc>
        <w:tc>
          <w:tcPr>
            <w:tcW w:w="1400" w:type="dxa"/>
            <w:vAlign w:val="center"/>
          </w:tcPr>
          <w:p>
            <w:pPr>
              <w:pStyle w:val="TableNumber"/>
            </w:pPr>
            <w:r>
              <w:t>-0.0130</w:t>
            </w:r>
          </w:p>
        </w:tc>
        <w:tc>
          <w:tcPr>
            <w:tcW w:w="1800" w:type="dxa"/>
            <w:vAlign w:val="center"/>
          </w:tcPr>
          <w:p>
            <w:pPr>
              <w:pStyle w:val="TableNumber"/>
            </w:pPr>
            <w:r>
              <w:t>-0.0348 to 0.0177</w:t>
            </w:r>
          </w:p>
        </w:tc>
        <w:tc>
          <w:tcPr>
            <w:tcW w:w="1250" w:type="dxa"/>
            <w:vAlign w:val="center"/>
          </w:tcPr>
          <w:p>
            <w:pPr>
              <w:pStyle w:val="TableNumber"/>
            </w:pPr>
            <w:r>
              <w:t>66.56%</w:t>
            </w:r>
          </w:p>
        </w:tc>
        <w:tc>
          <w:tcPr>
            <w:tcW w:w="1010" w:type="dxa"/>
            <w:vAlign w:val="center"/>
          </w:tcPr>
          <w:p>
            <w:pPr>
              <w:pStyle w:val="TableNumber"/>
            </w:pPr>
            <w:r>
              <w:t>69.52%</w:t>
            </w:r>
          </w:p>
        </w:tc>
      </w:tr>
      <w:tr>
        <w:trPr>
          <w:cantSplit/>
        </w:trPr>
        <w:tc>
          <w:tcPr>
            <w:tcW w:w="1500" w:type="dxa"/>
            <w:vAlign w:val="center"/>
          </w:tcPr>
          <w:p>
            <w:pPr>
              <w:pStyle w:val="TableText"/>
            </w:pPr>
            <w:r>
              <w:t>TWSE</w:t>
            </w:r>
          </w:p>
        </w:tc>
        <w:tc>
          <w:tcPr>
            <w:tcW w:w="1100" w:type="dxa"/>
            <w:vAlign w:val="center"/>
          </w:tcPr>
          <w:p>
            <w:pPr>
              <w:pStyle w:val="TableNumber"/>
            </w:pPr>
            <w:r>
              <w:t>63,313</w:t>
            </w:r>
          </w:p>
        </w:tc>
        <w:tc>
          <w:tcPr>
            <w:tcW w:w="1300" w:type="dxa"/>
            <w:vAlign w:val="center"/>
          </w:tcPr>
          <w:p>
            <w:pPr>
              <w:pStyle w:val="TableNumber"/>
            </w:pPr>
            <w:r>
              <w:t>0.286492</w:t>
            </w:r>
          </w:p>
        </w:tc>
        <w:tc>
          <w:tcPr>
            <w:tcW w:w="1400" w:type="dxa"/>
            <w:vAlign w:val="center"/>
          </w:tcPr>
          <w:p>
            <w:pPr>
              <w:pStyle w:val="TableNumber"/>
            </w:pPr>
            <w:r>
              <w:t>-0.0229</w:t>
            </w:r>
          </w:p>
        </w:tc>
        <w:tc>
          <w:tcPr>
            <w:tcW w:w="1800" w:type="dxa"/>
            <w:vAlign w:val="center"/>
          </w:tcPr>
          <w:p>
            <w:pPr>
              <w:pStyle w:val="TableNumber"/>
            </w:pPr>
            <w:r>
              <w:t>-0.0557 to 0.0331</w:t>
            </w:r>
          </w:p>
        </w:tc>
        <w:tc>
          <w:tcPr>
            <w:tcW w:w="1250" w:type="dxa"/>
            <w:vAlign w:val="center"/>
          </w:tcPr>
          <w:p>
            <w:pPr>
              <w:pStyle w:val="TableNumber"/>
            </w:pPr>
            <w:r>
              <w:t>66.06%</w:t>
            </w:r>
          </w:p>
        </w:tc>
        <w:tc>
          <w:tcPr>
            <w:tcW w:w="1010" w:type="dxa"/>
            <w:vAlign w:val="center"/>
          </w:tcPr>
          <w:p>
            <w:pPr>
              <w:pStyle w:val="TableNumber"/>
            </w:pPr>
            <w:r>
              <w:t>70.18%</w:t>
            </w:r>
          </w:p>
        </w:tc>
      </w:tr>
    </w:tbl>
    <w:p>
      <w:pPr>
        <w:pStyle w:val="a"/>
        <w:spacing w:before="160"/>
      </w:pPr>
      <w:r>
        <w:t>Provider slices differ in sample size, exchange, and asset composition. Mean coverage ranges from 69.52% to 77.05%; differences in mean q50 correlation, direction agreement, and score are stability diagnostics only and do not prove that one market is easier to predict.</w:t>
      </w:r>
    </w:p>
    <w:p>
      <w:pPr>
        <w:pStyle w:val="21"/>
      </w:pPr>
      <w:r>
        <w:t xml:space="preserve">8.1a Complete market raw and calibrated comparison</w:t>
      </w:r>
    </w:p>
    <w:p>
      <w:pPr>
        <w:pStyle w:val="a"/>
      </w:pPr>
      <w:r>
        <w:t xml:space="preserve">Market data come from subgroups.market and calibrated.by_market, not inferred provider labels. Overall statistics are sample-weighted; US contributes 82.30%, so inspect Taiwan coverage separately. Each cell shows raw first and calibrated second; the All row averages 14 horizons within that market.</w:t>
      </w:r>
    </w:p>
    <w:p>
      <w:pPr>
        <w:pStyle w:val="Decision"/>
      </w:pPr>
      <w:r>
        <w:t xml:space="preserve">Table 10a | US 439,729 windows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pPr>
            <w:r>
              <w:t xml:space="preserve">H</w:t>
            </w:r>
          </w:p>
        </w:tc>
        <w:tc>
          <w:tcPr>
            <w:tcW w:w="2075" w:type="dxa"/>
            <w:shd w:fill="DCE6F1"/>
            <w:vAlign w:val="center"/>
          </w:tcPr>
          <w:p>
            <w:pPr>
              <w:pStyle w:val="TableHeader"/>
            </w:pPr>
            <w:r>
              <w:t xml:space="preserve">N pinball</w:t>
              <w:br/>
              <w:t xml:space="preserve">raw / calibrated</w:t>
            </w:r>
          </w:p>
        </w:tc>
        <w:tc>
          <w:tcPr>
            <w:tcW w:w="2075" w:type="dxa"/>
            <w:shd w:fill="DCE6F1"/>
            <w:vAlign w:val="center"/>
          </w:tcPr>
          <w:p>
            <w:pPr>
              <w:pStyle w:val="TableHeader"/>
            </w:pPr>
            <w:r>
              <w:t xml:space="preserve">Coverage</w:t>
              <w:br/>
              <w:t xml:space="preserve">raw / calibrated</w:t>
            </w:r>
          </w:p>
        </w:tc>
        <w:tc>
          <w:tcPr>
            <w:tcW w:w="2200" w:type="dxa"/>
            <w:shd w:fill="DCE6F1"/>
            <w:vAlign w:val="center"/>
          </w:tcPr>
          <w:p>
            <w:pPr>
              <w:pStyle w:val="TableHeader"/>
            </w:pPr>
            <w:r>
              <w:t xml:space="preserve">Coverage error pp</w:t>
              <w:br/>
              <w:t xml:space="preserve">raw / calibrated</w:t>
            </w:r>
          </w:p>
        </w:tc>
        <w:tc>
          <w:tcPr>
            <w:tcW w:w="2360" w:type="dxa"/>
            <w:shd w:fill="DCE6F1"/>
            <w:vAlign w:val="center"/>
          </w:tcPr>
          <w:p>
            <w:pPr>
              <w:pStyle w:val="TableHeader"/>
            </w:pPr>
            <w:r>
              <w:t xml:space="preserve">Width</w:t>
              <w:br/>
              <w:t xml:space="preserve">raw / calibrated</w:t>
            </w:r>
          </w:p>
        </w:tc>
      </w:tr>
      <w:tr>
        <w:trPr>
          <w:cantSplit/>
        </w:trPr>
        <w:tc>
          <w:tcPr>
            <w:tcW w:w="650" w:type="dxa"/>
            <w:shd w:fill="FFFFFF"/>
            <w:vAlign w:val="center"/>
          </w:tcPr>
          <w:p>
            <w:pPr>
              <w:pStyle w:val="TableNumber"/>
            </w:pPr>
            <w:r>
              <w:t xml:space="preserve">All</w:t>
            </w:r>
          </w:p>
        </w:tc>
        <w:tc>
          <w:tcPr>
            <w:tcW w:w="2075" w:type="dxa"/>
            <w:shd w:fill="FFFFFF"/>
            <w:vAlign w:val="center"/>
          </w:tcPr>
          <w:p>
            <w:pPr>
              <w:pStyle w:val="TableNumber"/>
            </w:pPr>
            <w:r>
              <w:t xml:space="preserve">0.292837</w:t>
              <w:br/>
              <w:t xml:space="preserve">0.292896</w:t>
            </w:r>
          </w:p>
        </w:tc>
        <w:tc>
          <w:tcPr>
            <w:tcW w:w="2075" w:type="dxa"/>
            <w:shd w:fill="FFFFFF"/>
            <w:vAlign w:val="center"/>
          </w:tcPr>
          <w:p>
            <w:pPr>
              <w:pStyle w:val="TableNumber"/>
            </w:pPr>
            <w:r>
              <w:t xml:space="preserve">77.0538%</w:t>
              <w:br/>
              <w:t xml:space="preserve">77.9747%</w:t>
            </w:r>
          </w:p>
        </w:tc>
        <w:tc>
          <w:tcPr>
            <w:tcW w:w="2200" w:type="dxa"/>
            <w:shd w:fill="FFFFFF"/>
            <w:vAlign w:val="center"/>
          </w:tcPr>
          <w:p>
            <w:pPr>
              <w:pStyle w:val="TableNumber"/>
            </w:pPr>
            <w:r>
              <w:t xml:space="preserve">2.9462</w:t>
              <w:br/>
              <w:t xml:space="preserve">2.0253</w:t>
            </w:r>
          </w:p>
        </w:tc>
        <w:tc>
          <w:tcPr>
            <w:tcW w:w="2360" w:type="dxa"/>
            <w:shd w:fill="FFFFFF"/>
            <w:vAlign w:val="center"/>
          </w:tcPr>
          <w:p>
            <w:pPr>
              <w:pStyle w:val="TableNumber"/>
            </w:pPr>
            <w:r>
              <w:t xml:space="preserve">0.176210</w:t>
              <w:br/>
              <w:t xml:space="preserve">0.180710</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0.286231</w:t>
              <w:br/>
              <w:t xml:space="preserve">0.286333</w:t>
            </w:r>
          </w:p>
        </w:tc>
        <w:tc>
          <w:tcPr>
            <w:tcW w:w="2075" w:type="dxa"/>
            <w:shd w:fill="F7F9FC"/>
            <w:vAlign w:val="center"/>
          </w:tcPr>
          <w:p>
            <w:pPr>
              <w:pStyle w:val="TableNumber"/>
            </w:pPr>
            <w:r>
              <w:t xml:space="preserve">78.8163%</w:t>
              <w:br/>
              <w:t xml:space="preserve">79.8828%</w:t>
            </w:r>
          </w:p>
        </w:tc>
        <w:tc>
          <w:tcPr>
            <w:tcW w:w="2200" w:type="dxa"/>
            <w:shd w:fill="F7F9FC"/>
            <w:vAlign w:val="center"/>
          </w:tcPr>
          <w:p>
            <w:pPr>
              <w:pStyle w:val="TableNumber"/>
            </w:pPr>
            <w:r>
              <w:t xml:space="preserve">1.1837</w:t>
              <w:br/>
              <w:t xml:space="preserve">0.1172</w:t>
            </w:r>
          </w:p>
        </w:tc>
        <w:tc>
          <w:tcPr>
            <w:tcW w:w="2360" w:type="dxa"/>
            <w:shd w:fill="F7F9FC"/>
            <w:vAlign w:val="center"/>
          </w:tcPr>
          <w:p>
            <w:pPr>
              <w:pStyle w:val="TableNumber"/>
            </w:pPr>
            <w:r>
              <w:t xml:space="preserve">0.059396</w:t>
              <w:br/>
              <w:t xml:space="preserve">0.061098</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0.291534</w:t>
              <w:br/>
              <w:t xml:space="preserve">0.291590</w:t>
            </w:r>
          </w:p>
        </w:tc>
        <w:tc>
          <w:tcPr>
            <w:tcW w:w="2075" w:type="dxa"/>
            <w:shd w:fill="FFFFFF"/>
            <w:vAlign w:val="center"/>
          </w:tcPr>
          <w:p>
            <w:pPr>
              <w:pStyle w:val="TableNumber"/>
            </w:pPr>
            <w:r>
              <w:t xml:space="preserve">78.1208%</w:t>
              <w:br/>
              <w:t xml:space="preserve">79.0034%</w:t>
            </w:r>
          </w:p>
        </w:tc>
        <w:tc>
          <w:tcPr>
            <w:tcW w:w="2200" w:type="dxa"/>
            <w:shd w:fill="FFFFFF"/>
            <w:vAlign w:val="center"/>
          </w:tcPr>
          <w:p>
            <w:pPr>
              <w:pStyle w:val="TableNumber"/>
            </w:pPr>
            <w:r>
              <w:t xml:space="preserve">1.8792</w:t>
              <w:br/>
              <w:t xml:space="preserve">0.9966</w:t>
            </w:r>
          </w:p>
        </w:tc>
        <w:tc>
          <w:tcPr>
            <w:tcW w:w="2360" w:type="dxa"/>
            <w:shd w:fill="FFFFFF"/>
            <w:vAlign w:val="center"/>
          </w:tcPr>
          <w:p>
            <w:pPr>
              <w:pStyle w:val="TableNumber"/>
            </w:pPr>
            <w:r>
              <w:t xml:space="preserve">0.088472</w:t>
              <w:br/>
              <w:t xml:space="preserve">0.090565</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0.294007</w:t>
              <w:br/>
              <w:t xml:space="preserve">0.293965</w:t>
            </w:r>
          </w:p>
        </w:tc>
        <w:tc>
          <w:tcPr>
            <w:tcW w:w="2075" w:type="dxa"/>
            <w:shd w:fill="F7F9FC"/>
            <w:vAlign w:val="center"/>
          </w:tcPr>
          <w:p>
            <w:pPr>
              <w:pStyle w:val="TableNumber"/>
            </w:pPr>
            <w:r>
              <w:t xml:space="preserve">77.2981%</w:t>
              <w:br/>
              <w:t xml:space="preserve">78.0074%</w:t>
            </w:r>
          </w:p>
        </w:tc>
        <w:tc>
          <w:tcPr>
            <w:tcW w:w="2200" w:type="dxa"/>
            <w:shd w:fill="F7F9FC"/>
            <w:vAlign w:val="center"/>
          </w:tcPr>
          <w:p>
            <w:pPr>
              <w:pStyle w:val="TableNumber"/>
            </w:pPr>
            <w:r>
              <w:t xml:space="preserve">2.7019</w:t>
              <w:br/>
              <w:t xml:space="preserve">1.9926</w:t>
            </w:r>
          </w:p>
        </w:tc>
        <w:tc>
          <w:tcPr>
            <w:tcW w:w="2360" w:type="dxa"/>
            <w:shd w:fill="F7F9FC"/>
            <w:vAlign w:val="center"/>
          </w:tcPr>
          <w:p>
            <w:pPr>
              <w:pStyle w:val="TableNumber"/>
            </w:pPr>
            <w:r>
              <w:t xml:space="preserve">0.109623</w:t>
              <w:br/>
              <w:t xml:space="preserve">0.111680</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0.292430</w:t>
              <w:br/>
              <w:t xml:space="preserve">0.292522</w:t>
            </w:r>
          </w:p>
        </w:tc>
        <w:tc>
          <w:tcPr>
            <w:tcW w:w="2075" w:type="dxa"/>
            <w:shd w:fill="FFFFFF"/>
            <w:vAlign w:val="center"/>
          </w:tcPr>
          <w:p>
            <w:pPr>
              <w:pStyle w:val="TableNumber"/>
            </w:pPr>
            <w:r>
              <w:t xml:space="preserve">77.5223%</w:t>
              <w:br/>
              <w:t xml:space="preserve">78.0481%</w:t>
            </w:r>
          </w:p>
        </w:tc>
        <w:tc>
          <w:tcPr>
            <w:tcW w:w="2200" w:type="dxa"/>
            <w:shd w:fill="FFFFFF"/>
            <w:vAlign w:val="center"/>
          </w:tcPr>
          <w:p>
            <w:pPr>
              <w:pStyle w:val="TableNumber"/>
            </w:pPr>
            <w:r>
              <w:t xml:space="preserve">2.4777</w:t>
              <w:br/>
              <w:t xml:space="preserve">1.9519</w:t>
            </w:r>
          </w:p>
        </w:tc>
        <w:tc>
          <w:tcPr>
            <w:tcW w:w="2360" w:type="dxa"/>
            <w:shd w:fill="FFFFFF"/>
            <w:vAlign w:val="center"/>
          </w:tcPr>
          <w:p>
            <w:pPr>
              <w:pStyle w:val="TableNumber"/>
            </w:pPr>
            <w:r>
              <w:t xml:space="preserve">0.130179</w:t>
              <w:br/>
              <w:t xml:space="preserve">0.131966</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0.290890</w:t>
              <w:br/>
              <w:t xml:space="preserve">0.290644</w:t>
            </w:r>
          </w:p>
        </w:tc>
        <w:tc>
          <w:tcPr>
            <w:tcW w:w="2075" w:type="dxa"/>
            <w:shd w:fill="F7F9FC"/>
            <w:vAlign w:val="center"/>
          </w:tcPr>
          <w:p>
            <w:pPr>
              <w:pStyle w:val="TableNumber"/>
            </w:pPr>
            <w:r>
              <w:t xml:space="preserve">76.9560%</w:t>
              <w:br/>
              <w:t xml:space="preserve">77.9817%</w:t>
            </w:r>
          </w:p>
        </w:tc>
        <w:tc>
          <w:tcPr>
            <w:tcW w:w="2200" w:type="dxa"/>
            <w:shd w:fill="F7F9FC"/>
            <w:vAlign w:val="center"/>
          </w:tcPr>
          <w:p>
            <w:pPr>
              <w:pStyle w:val="TableNumber"/>
            </w:pPr>
            <w:r>
              <w:t xml:space="preserve">3.0440</w:t>
              <w:br/>
              <w:t xml:space="preserve">2.0183</w:t>
            </w:r>
          </w:p>
        </w:tc>
        <w:tc>
          <w:tcPr>
            <w:tcW w:w="2360" w:type="dxa"/>
            <w:shd w:fill="F7F9FC"/>
            <w:vAlign w:val="center"/>
          </w:tcPr>
          <w:p>
            <w:pPr>
              <w:pStyle w:val="TableNumber"/>
            </w:pPr>
            <w:r>
              <w:t xml:space="preserve">0.145919</w:t>
              <w:br/>
              <w:t xml:space="preserve">0.149835</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0.293585</w:t>
              <w:br/>
              <w:t xml:space="preserve">0.293652</w:t>
            </w:r>
          </w:p>
        </w:tc>
        <w:tc>
          <w:tcPr>
            <w:tcW w:w="2075" w:type="dxa"/>
            <w:shd w:fill="FFFFFF"/>
            <w:vAlign w:val="center"/>
          </w:tcPr>
          <w:p>
            <w:pPr>
              <w:pStyle w:val="TableNumber"/>
            </w:pPr>
            <w:r>
              <w:t xml:space="preserve">76.7605%</w:t>
              <w:br/>
              <w:t xml:space="preserve">77.7101%</w:t>
            </w:r>
          </w:p>
        </w:tc>
        <w:tc>
          <w:tcPr>
            <w:tcW w:w="2200" w:type="dxa"/>
            <w:shd w:fill="FFFFFF"/>
            <w:vAlign w:val="center"/>
          </w:tcPr>
          <w:p>
            <w:pPr>
              <w:pStyle w:val="TableNumber"/>
            </w:pPr>
            <w:r>
              <w:t xml:space="preserve">3.2395</w:t>
              <w:br/>
              <w:t xml:space="preserve">2.2899</w:t>
            </w:r>
          </w:p>
        </w:tc>
        <w:tc>
          <w:tcPr>
            <w:tcW w:w="2360" w:type="dxa"/>
            <w:shd w:fill="FFFFFF"/>
            <w:vAlign w:val="center"/>
          </w:tcPr>
          <w:p>
            <w:pPr>
              <w:pStyle w:val="TableNumber"/>
            </w:pPr>
            <w:r>
              <w:t xml:space="preserve">0.161585</w:t>
              <w:br/>
              <w:t xml:space="preserve">0.165637</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0.293900</w:t>
              <w:br/>
              <w:t xml:space="preserve">0.293835</w:t>
            </w:r>
          </w:p>
        </w:tc>
        <w:tc>
          <w:tcPr>
            <w:tcW w:w="2075" w:type="dxa"/>
            <w:shd w:fill="F7F9FC"/>
            <w:vAlign w:val="center"/>
          </w:tcPr>
          <w:p>
            <w:pPr>
              <w:pStyle w:val="TableNumber"/>
            </w:pPr>
            <w:r>
              <w:t xml:space="preserve">76.1642%</w:t>
              <w:br/>
              <w:t xml:space="preserve">77.4045%</w:t>
            </w:r>
          </w:p>
        </w:tc>
        <w:tc>
          <w:tcPr>
            <w:tcW w:w="2200" w:type="dxa"/>
            <w:shd w:fill="F7F9FC"/>
            <w:vAlign w:val="center"/>
          </w:tcPr>
          <w:p>
            <w:pPr>
              <w:pStyle w:val="TableNumber"/>
            </w:pPr>
            <w:r>
              <w:t xml:space="preserve">3.8358</w:t>
              <w:br/>
              <w:t xml:space="preserve">2.5955</w:t>
            </w:r>
          </w:p>
        </w:tc>
        <w:tc>
          <w:tcPr>
            <w:tcW w:w="2360" w:type="dxa"/>
            <w:shd w:fill="F7F9FC"/>
            <w:vAlign w:val="center"/>
          </w:tcPr>
          <w:p>
            <w:pPr>
              <w:pStyle w:val="TableNumber"/>
            </w:pPr>
            <w:r>
              <w:t xml:space="preserve">0.174078</w:t>
              <w:br/>
              <w:t xml:space="preserve">0.179637</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0.294362</w:t>
              <w:br/>
              <w:t xml:space="preserve">0.294515</w:t>
            </w:r>
          </w:p>
        </w:tc>
        <w:tc>
          <w:tcPr>
            <w:tcW w:w="2075" w:type="dxa"/>
            <w:shd w:fill="FFFFFF"/>
            <w:vAlign w:val="center"/>
          </w:tcPr>
          <w:p>
            <w:pPr>
              <w:pStyle w:val="TableNumber"/>
            </w:pPr>
            <w:r>
              <w:t xml:space="preserve">76.8592%</w:t>
              <w:br/>
              <w:t xml:space="preserve">77.4573%</w:t>
            </w:r>
          </w:p>
        </w:tc>
        <w:tc>
          <w:tcPr>
            <w:tcW w:w="2200" w:type="dxa"/>
            <w:shd w:fill="FFFFFF"/>
            <w:vAlign w:val="center"/>
          </w:tcPr>
          <w:p>
            <w:pPr>
              <w:pStyle w:val="TableNumber"/>
            </w:pPr>
            <w:r>
              <w:t xml:space="preserve">3.1408</w:t>
              <w:br/>
              <w:t xml:space="preserve">2.5427</w:t>
            </w:r>
          </w:p>
        </w:tc>
        <w:tc>
          <w:tcPr>
            <w:tcW w:w="2360" w:type="dxa"/>
            <w:shd w:fill="FFFFFF"/>
            <w:vAlign w:val="center"/>
          </w:tcPr>
          <w:p>
            <w:pPr>
              <w:pStyle w:val="TableNumber"/>
            </w:pPr>
            <w:r>
              <w:t xml:space="preserve">0.190712</w:t>
              <w:br/>
              <w:t xml:space="preserve">0.193881</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0.294953</w:t>
              <w:br/>
              <w:t xml:space="preserve">0.295135</w:t>
            </w:r>
          </w:p>
        </w:tc>
        <w:tc>
          <w:tcPr>
            <w:tcW w:w="2075" w:type="dxa"/>
            <w:shd w:fill="F7F9FC"/>
            <w:vAlign w:val="center"/>
          </w:tcPr>
          <w:p>
            <w:pPr>
              <w:pStyle w:val="TableNumber"/>
            </w:pPr>
            <w:r>
              <w:t xml:space="preserve">76.7154%</w:t>
              <w:br/>
              <w:t xml:space="preserve">77.6772%</w:t>
            </w:r>
          </w:p>
        </w:tc>
        <w:tc>
          <w:tcPr>
            <w:tcW w:w="2200" w:type="dxa"/>
            <w:shd w:fill="F7F9FC"/>
            <w:vAlign w:val="center"/>
          </w:tcPr>
          <w:p>
            <w:pPr>
              <w:pStyle w:val="TableNumber"/>
            </w:pPr>
            <w:r>
              <w:t xml:space="preserve">3.2846</w:t>
              <w:br/>
              <w:t xml:space="preserve">2.3228</w:t>
            </w:r>
          </w:p>
        </w:tc>
        <w:tc>
          <w:tcPr>
            <w:tcW w:w="2360" w:type="dxa"/>
            <w:shd w:fill="F7F9FC"/>
            <w:vAlign w:val="center"/>
          </w:tcPr>
          <w:p>
            <w:pPr>
              <w:pStyle w:val="TableNumber"/>
            </w:pPr>
            <w:r>
              <w:t xml:space="preserve">0.204169</w:t>
              <w:br/>
              <w:t xml:space="preserve">0.209680</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0.293936</w:t>
              <w:br/>
              <w:t xml:space="preserve">0.294034</w:t>
            </w:r>
          </w:p>
        </w:tc>
        <w:tc>
          <w:tcPr>
            <w:tcW w:w="2075" w:type="dxa"/>
            <w:shd w:fill="FFFFFF"/>
            <w:vAlign w:val="center"/>
          </w:tcPr>
          <w:p>
            <w:pPr>
              <w:pStyle w:val="TableNumber"/>
            </w:pPr>
            <w:r>
              <w:t xml:space="preserve">76.9121%</w:t>
              <w:br/>
              <w:t xml:space="preserve">77.6749%</w:t>
            </w:r>
          </w:p>
        </w:tc>
        <w:tc>
          <w:tcPr>
            <w:tcW w:w="2200" w:type="dxa"/>
            <w:shd w:fill="FFFFFF"/>
            <w:vAlign w:val="center"/>
          </w:tcPr>
          <w:p>
            <w:pPr>
              <w:pStyle w:val="TableNumber"/>
            </w:pPr>
            <w:r>
              <w:t xml:space="preserve">3.0879</w:t>
              <w:br/>
              <w:t xml:space="preserve">2.3251</w:t>
            </w:r>
          </w:p>
        </w:tc>
        <w:tc>
          <w:tcPr>
            <w:tcW w:w="2360" w:type="dxa"/>
            <w:shd w:fill="FFFFFF"/>
            <w:vAlign w:val="center"/>
          </w:tcPr>
          <w:p>
            <w:pPr>
              <w:pStyle w:val="TableNumber"/>
            </w:pPr>
            <w:r>
              <w:t xml:space="preserve">0.217618</w:t>
              <w:br/>
              <w:t xml:space="preserve">0.222245</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0.294538</w:t>
              <w:br/>
              <w:t xml:space="preserve">0.294646</w:t>
            </w:r>
          </w:p>
        </w:tc>
        <w:tc>
          <w:tcPr>
            <w:tcW w:w="2075" w:type="dxa"/>
            <w:shd w:fill="F7F9FC"/>
            <w:vAlign w:val="center"/>
          </w:tcPr>
          <w:p>
            <w:pPr>
              <w:pStyle w:val="TableNumber"/>
            </w:pPr>
            <w:r>
              <w:t xml:space="preserve">76.8796%</w:t>
              <w:br/>
              <w:t xml:space="preserve">77.6737%</w:t>
            </w:r>
          </w:p>
        </w:tc>
        <w:tc>
          <w:tcPr>
            <w:tcW w:w="2200" w:type="dxa"/>
            <w:shd w:fill="F7F9FC"/>
            <w:vAlign w:val="center"/>
          </w:tcPr>
          <w:p>
            <w:pPr>
              <w:pStyle w:val="TableNumber"/>
            </w:pPr>
            <w:r>
              <w:t xml:space="preserve">3.1204</w:t>
              <w:br/>
              <w:t xml:space="preserve">2.3263</w:t>
            </w:r>
          </w:p>
        </w:tc>
        <w:tc>
          <w:tcPr>
            <w:tcW w:w="2360" w:type="dxa"/>
            <w:shd w:fill="F7F9FC"/>
            <w:vAlign w:val="center"/>
          </w:tcPr>
          <w:p>
            <w:pPr>
              <w:pStyle w:val="TableNumber"/>
            </w:pPr>
            <w:r>
              <w:t xml:space="preserve">0.229394</w:t>
              <w:br/>
              <w:t xml:space="preserve">0.234400</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0.293242</w:t>
              <w:br/>
              <w:t xml:space="preserve">0.293358</w:t>
            </w:r>
          </w:p>
        </w:tc>
        <w:tc>
          <w:tcPr>
            <w:tcW w:w="2075" w:type="dxa"/>
            <w:shd w:fill="FFFFFF"/>
            <w:vAlign w:val="center"/>
          </w:tcPr>
          <w:p>
            <w:pPr>
              <w:pStyle w:val="TableNumber"/>
            </w:pPr>
            <w:r>
              <w:t xml:space="preserve">76.6422%</w:t>
              <w:br/>
              <w:t xml:space="preserve">77.7397%</w:t>
            </w:r>
          </w:p>
        </w:tc>
        <w:tc>
          <w:tcPr>
            <w:tcW w:w="2200" w:type="dxa"/>
            <w:shd w:fill="FFFFFF"/>
            <w:vAlign w:val="center"/>
          </w:tcPr>
          <w:p>
            <w:pPr>
              <w:pStyle w:val="TableNumber"/>
            </w:pPr>
            <w:r>
              <w:t xml:space="preserve">3.3578</w:t>
              <w:br/>
              <w:t xml:space="preserve">2.2603</w:t>
            </w:r>
          </w:p>
        </w:tc>
        <w:tc>
          <w:tcPr>
            <w:tcW w:w="2360" w:type="dxa"/>
            <w:shd w:fill="FFFFFF"/>
            <w:vAlign w:val="center"/>
          </w:tcPr>
          <w:p>
            <w:pPr>
              <w:pStyle w:val="TableNumber"/>
            </w:pPr>
            <w:r>
              <w:t xml:space="preserve">0.240490</w:t>
              <w:br/>
              <w:t xml:space="preserve">0.247889</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0.292346</w:t>
              <w:br/>
              <w:t xml:space="preserve">0.292452</w:t>
            </w:r>
          </w:p>
        </w:tc>
        <w:tc>
          <w:tcPr>
            <w:tcW w:w="2075" w:type="dxa"/>
            <w:shd w:fill="F7F9FC"/>
            <w:vAlign w:val="center"/>
          </w:tcPr>
          <w:p>
            <w:pPr>
              <w:pStyle w:val="TableNumber"/>
            </w:pPr>
            <w:r>
              <w:t xml:space="preserve">76.4578%</w:t>
              <w:br/>
              <w:t xml:space="preserve">77.6187%</w:t>
            </w:r>
          </w:p>
        </w:tc>
        <w:tc>
          <w:tcPr>
            <w:tcW w:w="2200" w:type="dxa"/>
            <w:shd w:fill="F7F9FC"/>
            <w:vAlign w:val="center"/>
          </w:tcPr>
          <w:p>
            <w:pPr>
              <w:pStyle w:val="TableNumber"/>
            </w:pPr>
            <w:r>
              <w:t xml:space="preserve">3.5422</w:t>
              <w:br/>
              <w:t xml:space="preserve">2.3813</w:t>
            </w:r>
          </w:p>
        </w:tc>
        <w:tc>
          <w:tcPr>
            <w:tcW w:w="2360" w:type="dxa"/>
            <w:shd w:fill="F7F9FC"/>
            <w:vAlign w:val="center"/>
          </w:tcPr>
          <w:p>
            <w:pPr>
              <w:pStyle w:val="TableNumber"/>
            </w:pPr>
            <w:r>
              <w:t xml:space="preserve">0.251395</w:t>
              <w:br/>
              <w:t xml:space="preserve">0.259292</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0.293767</w:t>
              <w:br/>
              <w:t xml:space="preserve">0.293868</w:t>
            </w:r>
          </w:p>
        </w:tc>
        <w:tc>
          <w:tcPr>
            <w:tcW w:w="2075" w:type="dxa"/>
            <w:shd w:fill="FFFFFF"/>
            <w:vAlign w:val="center"/>
          </w:tcPr>
          <w:p>
            <w:pPr>
              <w:pStyle w:val="TableNumber"/>
            </w:pPr>
            <w:r>
              <w:t xml:space="preserve">76.6483%</w:t>
              <w:br/>
              <w:t xml:space="preserve">77.7659%</w:t>
            </w:r>
          </w:p>
        </w:tc>
        <w:tc>
          <w:tcPr>
            <w:tcW w:w="2200" w:type="dxa"/>
            <w:shd w:fill="FFFFFF"/>
            <w:vAlign w:val="center"/>
          </w:tcPr>
          <w:p>
            <w:pPr>
              <w:pStyle w:val="TableNumber"/>
            </w:pPr>
            <w:r>
              <w:t xml:space="preserve">3.3517</w:t>
              <w:br/>
              <w:t xml:space="preserve">2.2341</w:t>
            </w:r>
          </w:p>
        </w:tc>
        <w:tc>
          <w:tcPr>
            <w:tcW w:w="2360" w:type="dxa"/>
            <w:shd w:fill="FFFFFF"/>
            <w:vAlign w:val="center"/>
          </w:tcPr>
          <w:p>
            <w:pPr>
              <w:pStyle w:val="TableNumber"/>
            </w:pPr>
            <w:r>
              <w:t xml:space="preserve">0.263916</w:t>
              <w:br/>
              <w:t xml:space="preserve">0.272137</w:t>
            </w:r>
          </w:p>
        </w:tc>
      </w:tr>
    </w:tbl>
    <w:p>
      <w:pPr>
        <w:pStyle w:val="a"/>
        <w:spacing w:before="160"/>
      </w:pPr>
      <w:r>
        <w:t xml:space="preserve">US all-horizon coverage 77.0538% → 77.9747%; normalized pinball 0.292837 → 0.292896.</w:t>
      </w:r>
    </w:p>
    <w:p>
      <w:pPr>
        <w:pStyle w:val="Decision"/>
      </w:pPr>
      <w:r>
        <w:t xml:space="preserve">Table 10b | TWSE 63,313 windows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pPr>
            <w:r>
              <w:t xml:space="preserve">H</w:t>
            </w:r>
          </w:p>
        </w:tc>
        <w:tc>
          <w:tcPr>
            <w:tcW w:w="2075" w:type="dxa"/>
            <w:shd w:fill="DCE6F1"/>
            <w:vAlign w:val="center"/>
          </w:tcPr>
          <w:p>
            <w:pPr>
              <w:pStyle w:val="TableHeader"/>
            </w:pPr>
            <w:r>
              <w:t xml:space="preserve">N pinball</w:t>
              <w:br/>
              <w:t xml:space="preserve">raw / calibrated</w:t>
            </w:r>
          </w:p>
        </w:tc>
        <w:tc>
          <w:tcPr>
            <w:tcW w:w="2075" w:type="dxa"/>
            <w:shd w:fill="DCE6F1"/>
            <w:vAlign w:val="center"/>
          </w:tcPr>
          <w:p>
            <w:pPr>
              <w:pStyle w:val="TableHeader"/>
            </w:pPr>
            <w:r>
              <w:t xml:space="preserve">Coverage</w:t>
              <w:br/>
              <w:t xml:space="preserve">raw / calibrated</w:t>
            </w:r>
          </w:p>
        </w:tc>
        <w:tc>
          <w:tcPr>
            <w:tcW w:w="2200" w:type="dxa"/>
            <w:shd w:fill="DCE6F1"/>
            <w:vAlign w:val="center"/>
          </w:tcPr>
          <w:p>
            <w:pPr>
              <w:pStyle w:val="TableHeader"/>
            </w:pPr>
            <w:r>
              <w:t xml:space="preserve">Coverage error pp</w:t>
              <w:br/>
              <w:t xml:space="preserve">raw / calibrated</w:t>
            </w:r>
          </w:p>
        </w:tc>
        <w:tc>
          <w:tcPr>
            <w:tcW w:w="2360" w:type="dxa"/>
            <w:shd w:fill="DCE6F1"/>
            <w:vAlign w:val="center"/>
          </w:tcPr>
          <w:p>
            <w:pPr>
              <w:pStyle w:val="TableHeader"/>
            </w:pPr>
            <w:r>
              <w:t xml:space="preserve">Width</w:t>
              <w:br/>
              <w:t xml:space="preserve">raw / calibrated</w:t>
            </w:r>
          </w:p>
        </w:tc>
      </w:tr>
      <w:tr>
        <w:trPr>
          <w:cantSplit/>
        </w:trPr>
        <w:tc>
          <w:tcPr>
            <w:tcW w:w="650" w:type="dxa"/>
            <w:shd w:fill="FFFFFF"/>
            <w:vAlign w:val="center"/>
          </w:tcPr>
          <w:p>
            <w:pPr>
              <w:pStyle w:val="TableNumber"/>
            </w:pPr>
            <w:r>
              <w:t xml:space="preserve">All</w:t>
            </w:r>
          </w:p>
        </w:tc>
        <w:tc>
          <w:tcPr>
            <w:tcW w:w="2075" w:type="dxa"/>
            <w:shd w:fill="FFFFFF"/>
            <w:vAlign w:val="center"/>
          </w:tcPr>
          <w:p>
            <w:pPr>
              <w:pStyle w:val="TableNumber"/>
            </w:pPr>
            <w:r>
              <w:t xml:space="preserve">0.286492</w:t>
              <w:br/>
              <w:t xml:space="preserve">0.283951</w:t>
            </w:r>
          </w:p>
        </w:tc>
        <w:tc>
          <w:tcPr>
            <w:tcW w:w="2075" w:type="dxa"/>
            <w:shd w:fill="FFFFFF"/>
            <w:vAlign w:val="center"/>
          </w:tcPr>
          <w:p>
            <w:pPr>
              <w:pStyle w:val="TableNumber"/>
            </w:pPr>
            <w:r>
              <w:t xml:space="preserve">70.1775%</w:t>
              <w:br/>
              <w:t xml:space="preserve">73.6181%</w:t>
            </w:r>
          </w:p>
        </w:tc>
        <w:tc>
          <w:tcPr>
            <w:tcW w:w="2200" w:type="dxa"/>
            <w:shd w:fill="FFFFFF"/>
            <w:vAlign w:val="center"/>
          </w:tcPr>
          <w:p>
            <w:pPr>
              <w:pStyle w:val="TableNumber"/>
            </w:pPr>
            <w:r>
              <w:t xml:space="preserve">9.8225</w:t>
              <w:br/>
              <w:t xml:space="preserve">6.3819</w:t>
            </w:r>
          </w:p>
        </w:tc>
        <w:tc>
          <w:tcPr>
            <w:tcW w:w="2360" w:type="dxa"/>
            <w:shd w:fill="FFFFFF"/>
            <w:vAlign w:val="center"/>
          </w:tcPr>
          <w:p>
            <w:pPr>
              <w:pStyle w:val="TableNumber"/>
            </w:pPr>
            <w:r>
              <w:t xml:space="preserve">0.156651</w:t>
              <w:br/>
              <w:t xml:space="preserve">0.163144</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0.290749</w:t>
              <w:br/>
              <w:t xml:space="preserve">0.290877</w:t>
            </w:r>
          </w:p>
        </w:tc>
        <w:tc>
          <w:tcPr>
            <w:tcW w:w="2075" w:type="dxa"/>
            <w:shd w:fill="F7F9FC"/>
            <w:vAlign w:val="center"/>
          </w:tcPr>
          <w:p>
            <w:pPr>
              <w:pStyle w:val="TableNumber"/>
            </w:pPr>
            <w:r>
              <w:t xml:space="preserve">74.8788%</w:t>
              <w:br/>
              <w:t xml:space="preserve">74.4665%</w:t>
            </w:r>
          </w:p>
        </w:tc>
        <w:tc>
          <w:tcPr>
            <w:tcW w:w="2200" w:type="dxa"/>
            <w:shd w:fill="F7F9FC"/>
            <w:vAlign w:val="center"/>
          </w:tcPr>
          <w:p>
            <w:pPr>
              <w:pStyle w:val="TableNumber"/>
            </w:pPr>
            <w:r>
              <w:t xml:space="preserve">5.1212</w:t>
              <w:br/>
              <w:t xml:space="preserve">5.5335</w:t>
            </w:r>
          </w:p>
        </w:tc>
        <w:tc>
          <w:tcPr>
            <w:tcW w:w="2360" w:type="dxa"/>
            <w:shd w:fill="F7F9FC"/>
            <w:vAlign w:val="center"/>
          </w:tcPr>
          <w:p>
            <w:pPr>
              <w:pStyle w:val="TableNumber"/>
            </w:pPr>
            <w:r>
              <w:t xml:space="preserve">0.058120</w:t>
              <w:br/>
              <w:t xml:space="preserve">0.057480</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0.286151</w:t>
              <w:br/>
              <w:t xml:space="preserve">0.285118</w:t>
            </w:r>
          </w:p>
        </w:tc>
        <w:tc>
          <w:tcPr>
            <w:tcW w:w="2075" w:type="dxa"/>
            <w:shd w:fill="FFFFFF"/>
            <w:vAlign w:val="center"/>
          </w:tcPr>
          <w:p>
            <w:pPr>
              <w:pStyle w:val="TableNumber"/>
            </w:pPr>
            <w:r>
              <w:t xml:space="preserve">73.2898%</w:t>
              <w:br/>
              <w:t xml:space="preserve">74.9530%</w:t>
            </w:r>
          </w:p>
        </w:tc>
        <w:tc>
          <w:tcPr>
            <w:tcW w:w="2200" w:type="dxa"/>
            <w:shd w:fill="FFFFFF"/>
            <w:vAlign w:val="center"/>
          </w:tcPr>
          <w:p>
            <w:pPr>
              <w:pStyle w:val="TableNumber"/>
            </w:pPr>
            <w:r>
              <w:t xml:space="preserve">6.7102</w:t>
              <w:br/>
              <w:t xml:space="preserve">5.0470</w:t>
            </w:r>
          </w:p>
        </w:tc>
        <w:tc>
          <w:tcPr>
            <w:tcW w:w="2360" w:type="dxa"/>
            <w:shd w:fill="FFFFFF"/>
            <w:vAlign w:val="center"/>
          </w:tcPr>
          <w:p>
            <w:pPr>
              <w:pStyle w:val="TableNumber"/>
            </w:pPr>
            <w:r>
              <w:t xml:space="preserve">0.082387</w:t>
              <w:br/>
              <w:t xml:space="preserve">0.084963</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0.287286</w:t>
              <w:br/>
              <w:t xml:space="preserve">0.285705</w:t>
            </w:r>
          </w:p>
        </w:tc>
        <w:tc>
          <w:tcPr>
            <w:tcW w:w="2075" w:type="dxa"/>
            <w:shd w:fill="F7F9FC"/>
            <w:vAlign w:val="center"/>
          </w:tcPr>
          <w:p>
            <w:pPr>
              <w:pStyle w:val="TableNumber"/>
            </w:pPr>
            <w:r>
              <w:t xml:space="preserve">72.2285%</w:t>
              <w:br/>
              <w:t xml:space="preserve">74.6956%</w:t>
            </w:r>
          </w:p>
        </w:tc>
        <w:tc>
          <w:tcPr>
            <w:tcW w:w="2200" w:type="dxa"/>
            <w:shd w:fill="F7F9FC"/>
            <w:vAlign w:val="center"/>
          </w:tcPr>
          <w:p>
            <w:pPr>
              <w:pStyle w:val="TableNumber"/>
            </w:pPr>
            <w:r>
              <w:t xml:space="preserve">7.7715</w:t>
              <w:br/>
              <w:t xml:space="preserve">5.3044</w:t>
            </w:r>
          </w:p>
        </w:tc>
        <w:tc>
          <w:tcPr>
            <w:tcW w:w="2360" w:type="dxa"/>
            <w:shd w:fill="F7F9FC"/>
            <w:vAlign w:val="center"/>
          </w:tcPr>
          <w:p>
            <w:pPr>
              <w:pStyle w:val="TableNumber"/>
            </w:pPr>
            <w:r>
              <w:t xml:space="preserve">0.101039</w:t>
              <w:br/>
              <w:t xml:space="preserve">0.104966</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0.285341</w:t>
              <w:br/>
              <w:t xml:space="preserve">0.283273</w:t>
            </w:r>
          </w:p>
        </w:tc>
        <w:tc>
          <w:tcPr>
            <w:tcW w:w="2075" w:type="dxa"/>
            <w:shd w:fill="FFFFFF"/>
            <w:vAlign w:val="center"/>
          </w:tcPr>
          <w:p>
            <w:pPr>
              <w:pStyle w:val="TableNumber"/>
            </w:pPr>
            <w:r>
              <w:t xml:space="preserve">71.5461%</w:t>
              <w:br/>
              <w:t xml:space="preserve">74.5360%</w:t>
            </w:r>
          </w:p>
        </w:tc>
        <w:tc>
          <w:tcPr>
            <w:tcW w:w="2200" w:type="dxa"/>
            <w:shd w:fill="FFFFFF"/>
            <w:vAlign w:val="center"/>
          </w:tcPr>
          <w:p>
            <w:pPr>
              <w:pStyle w:val="TableNumber"/>
            </w:pPr>
            <w:r>
              <w:t xml:space="preserve">8.4539</w:t>
              <w:br/>
              <w:t xml:space="preserve">5.4640</w:t>
            </w:r>
          </w:p>
        </w:tc>
        <w:tc>
          <w:tcPr>
            <w:tcW w:w="2360" w:type="dxa"/>
            <w:shd w:fill="FFFFFF"/>
            <w:vAlign w:val="center"/>
          </w:tcPr>
          <w:p>
            <w:pPr>
              <w:pStyle w:val="TableNumber"/>
            </w:pPr>
            <w:r>
              <w:t xml:space="preserve">0.117453</w:t>
              <w:br/>
              <w:t xml:space="preserve">0.122096</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0.282054</w:t>
              <w:br/>
              <w:t xml:space="preserve">0.279919</w:t>
            </w:r>
          </w:p>
        </w:tc>
        <w:tc>
          <w:tcPr>
            <w:tcW w:w="2075" w:type="dxa"/>
            <w:shd w:fill="F7F9FC"/>
            <w:vAlign w:val="center"/>
          </w:tcPr>
          <w:p>
            <w:pPr>
              <w:pStyle w:val="TableNumber"/>
            </w:pPr>
            <w:r>
              <w:t xml:space="preserve">71.3092%</w:t>
              <w:br/>
              <w:t xml:space="preserve">74.5250%</w:t>
            </w:r>
          </w:p>
        </w:tc>
        <w:tc>
          <w:tcPr>
            <w:tcW w:w="2200" w:type="dxa"/>
            <w:shd w:fill="F7F9FC"/>
            <w:vAlign w:val="center"/>
          </w:tcPr>
          <w:p>
            <w:pPr>
              <w:pStyle w:val="TableNumber"/>
            </w:pPr>
            <w:r>
              <w:t xml:space="preserve">8.6908</w:t>
              <w:br/>
              <w:t xml:space="preserve">5.4750</w:t>
            </w:r>
          </w:p>
        </w:tc>
        <w:tc>
          <w:tcPr>
            <w:tcW w:w="2360" w:type="dxa"/>
            <w:shd w:fill="F7F9FC"/>
            <w:vAlign w:val="center"/>
          </w:tcPr>
          <w:p>
            <w:pPr>
              <w:pStyle w:val="TableNumber"/>
            </w:pPr>
            <w:r>
              <w:t xml:space="preserve">0.131361</w:t>
              <w:br/>
              <w:t xml:space="preserve">0.137907</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0.283772</w:t>
              <w:br/>
              <w:t xml:space="preserve">0.281409</w:t>
            </w:r>
          </w:p>
        </w:tc>
        <w:tc>
          <w:tcPr>
            <w:tcW w:w="2075" w:type="dxa"/>
            <w:shd w:fill="FFFFFF"/>
            <w:vAlign w:val="center"/>
          </w:tcPr>
          <w:p>
            <w:pPr>
              <w:pStyle w:val="TableNumber"/>
            </w:pPr>
            <w:r>
              <w:t xml:space="preserve">70.3031%</w:t>
              <w:br/>
              <w:t xml:space="preserve">73.7337%</w:t>
            </w:r>
          </w:p>
        </w:tc>
        <w:tc>
          <w:tcPr>
            <w:tcW w:w="2200" w:type="dxa"/>
            <w:shd w:fill="FFFFFF"/>
            <w:vAlign w:val="center"/>
          </w:tcPr>
          <w:p>
            <w:pPr>
              <w:pStyle w:val="TableNumber"/>
            </w:pPr>
            <w:r>
              <w:t xml:space="preserve">9.6969</w:t>
              <w:br/>
              <w:t xml:space="preserve">6.2663</w:t>
            </w:r>
          </w:p>
        </w:tc>
        <w:tc>
          <w:tcPr>
            <w:tcW w:w="2360" w:type="dxa"/>
            <w:shd w:fill="FFFFFF"/>
            <w:vAlign w:val="center"/>
          </w:tcPr>
          <w:p>
            <w:pPr>
              <w:pStyle w:val="TableNumber"/>
            </w:pPr>
            <w:r>
              <w:t xml:space="preserve">0.144688</w:t>
              <w:br/>
              <w:t xml:space="preserve">0.150553</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0.284164</w:t>
              <w:br/>
              <w:t xml:space="preserve">0.281402</w:t>
            </w:r>
          </w:p>
        </w:tc>
        <w:tc>
          <w:tcPr>
            <w:tcW w:w="2075" w:type="dxa"/>
            <w:shd w:fill="F7F9FC"/>
            <w:vAlign w:val="center"/>
          </w:tcPr>
          <w:p>
            <w:pPr>
              <w:pStyle w:val="TableNumber"/>
            </w:pPr>
            <w:r>
              <w:t xml:space="preserve">69.3965%</w:t>
              <w:br/>
              <w:t xml:space="preserve">73.2409%</w:t>
            </w:r>
          </w:p>
        </w:tc>
        <w:tc>
          <w:tcPr>
            <w:tcW w:w="2200" w:type="dxa"/>
            <w:shd w:fill="F7F9FC"/>
            <w:vAlign w:val="center"/>
          </w:tcPr>
          <w:p>
            <w:pPr>
              <w:pStyle w:val="TableNumber"/>
            </w:pPr>
            <w:r>
              <w:t xml:space="preserve">10.6035</w:t>
              <w:br/>
              <w:t xml:space="preserve">6.7591</w:t>
            </w:r>
          </w:p>
        </w:tc>
        <w:tc>
          <w:tcPr>
            <w:tcW w:w="2360" w:type="dxa"/>
            <w:shd w:fill="F7F9FC"/>
            <w:vAlign w:val="center"/>
          </w:tcPr>
          <w:p>
            <w:pPr>
              <w:pStyle w:val="TableNumber"/>
            </w:pPr>
            <w:r>
              <w:t xml:space="preserve">0.156995</w:t>
              <w:br/>
              <w:t xml:space="preserve">0.162604</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0.284446</w:t>
              <w:br/>
              <w:t xml:space="preserve">0.281965</w:t>
            </w:r>
          </w:p>
        </w:tc>
        <w:tc>
          <w:tcPr>
            <w:tcW w:w="2075" w:type="dxa"/>
            <w:shd w:fill="FFFFFF"/>
            <w:vAlign w:val="center"/>
          </w:tcPr>
          <w:p>
            <w:pPr>
              <w:pStyle w:val="TableNumber"/>
            </w:pPr>
            <w:r>
              <w:t xml:space="preserve">69.7140%</w:t>
              <w:br/>
              <w:t xml:space="preserve">73.2756%</w:t>
            </w:r>
          </w:p>
        </w:tc>
        <w:tc>
          <w:tcPr>
            <w:tcW w:w="2200" w:type="dxa"/>
            <w:shd w:fill="FFFFFF"/>
            <w:vAlign w:val="center"/>
          </w:tcPr>
          <w:p>
            <w:pPr>
              <w:pStyle w:val="TableNumber"/>
            </w:pPr>
            <w:r>
              <w:t xml:space="preserve">10.2860</w:t>
              <w:br/>
              <w:t xml:space="preserve">6.7244</w:t>
            </w:r>
          </w:p>
        </w:tc>
        <w:tc>
          <w:tcPr>
            <w:tcW w:w="2360" w:type="dxa"/>
            <w:shd w:fill="FFFFFF"/>
            <w:vAlign w:val="center"/>
          </w:tcPr>
          <w:p>
            <w:pPr>
              <w:pStyle w:val="TableNumber"/>
            </w:pPr>
            <w:r>
              <w:t xml:space="preserve">0.170561</w:t>
              <w:br/>
              <w:t xml:space="preserve">0.175504</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0.286754</w:t>
              <w:br/>
              <w:t xml:space="preserve">0.283815</w:t>
            </w:r>
          </w:p>
        </w:tc>
        <w:tc>
          <w:tcPr>
            <w:tcW w:w="2075" w:type="dxa"/>
            <w:shd w:fill="F7F9FC"/>
            <w:vAlign w:val="center"/>
          </w:tcPr>
          <w:p>
            <w:pPr>
              <w:pStyle w:val="TableNumber"/>
            </w:pPr>
            <w:r>
              <w:t xml:space="preserve">69.2022%</w:t>
              <w:br/>
              <w:t xml:space="preserve">73.0624%</w:t>
            </w:r>
          </w:p>
        </w:tc>
        <w:tc>
          <w:tcPr>
            <w:tcW w:w="2200" w:type="dxa"/>
            <w:shd w:fill="F7F9FC"/>
            <w:vAlign w:val="center"/>
          </w:tcPr>
          <w:p>
            <w:pPr>
              <w:pStyle w:val="TableNumber"/>
            </w:pPr>
            <w:r>
              <w:t xml:space="preserve">10.7978</w:t>
              <w:br/>
              <w:t xml:space="preserve">6.9376</w:t>
            </w:r>
          </w:p>
        </w:tc>
        <w:tc>
          <w:tcPr>
            <w:tcW w:w="2360" w:type="dxa"/>
            <w:shd w:fill="F7F9FC"/>
            <w:vAlign w:val="center"/>
          </w:tcPr>
          <w:p>
            <w:pPr>
              <w:pStyle w:val="TableNumber"/>
            </w:pPr>
            <w:r>
              <w:t xml:space="preserve">0.181942</w:t>
              <w:br/>
              <w:t xml:space="preserve">0.188363</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0.286706</w:t>
              <w:br/>
              <w:t xml:space="preserve">0.283467</w:t>
            </w:r>
          </w:p>
        </w:tc>
        <w:tc>
          <w:tcPr>
            <w:tcW w:w="2075" w:type="dxa"/>
            <w:shd w:fill="FFFFFF"/>
            <w:vAlign w:val="center"/>
          </w:tcPr>
          <w:p>
            <w:pPr>
              <w:pStyle w:val="TableNumber"/>
            </w:pPr>
            <w:r>
              <w:t xml:space="preserve">68.8074%</w:t>
              <w:br/>
              <w:t xml:space="preserve">73.0340%</w:t>
            </w:r>
          </w:p>
        </w:tc>
        <w:tc>
          <w:tcPr>
            <w:tcW w:w="2200" w:type="dxa"/>
            <w:shd w:fill="FFFFFF"/>
            <w:vAlign w:val="center"/>
          </w:tcPr>
          <w:p>
            <w:pPr>
              <w:pStyle w:val="TableNumber"/>
            </w:pPr>
            <w:r>
              <w:t xml:space="preserve">11.1926</w:t>
              <w:br/>
              <w:t xml:space="preserve">6.9660</w:t>
            </w:r>
          </w:p>
        </w:tc>
        <w:tc>
          <w:tcPr>
            <w:tcW w:w="2360" w:type="dxa"/>
            <w:shd w:fill="FFFFFF"/>
            <w:vAlign w:val="center"/>
          </w:tcPr>
          <w:p>
            <w:pPr>
              <w:pStyle w:val="TableNumber"/>
            </w:pPr>
            <w:r>
              <w:t xml:space="preserve">0.190850</w:t>
              <w:br/>
              <w:t xml:space="preserve">0.199544</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0.287854</w:t>
              <w:br/>
              <w:t xml:space="preserve">0.284665</w:t>
            </w:r>
          </w:p>
        </w:tc>
        <w:tc>
          <w:tcPr>
            <w:tcW w:w="2075" w:type="dxa"/>
            <w:shd w:fill="F7F9FC"/>
            <w:vAlign w:val="center"/>
          </w:tcPr>
          <w:p>
            <w:pPr>
              <w:pStyle w:val="TableNumber"/>
            </w:pPr>
            <w:r>
              <w:t xml:space="preserve">68.5925%</w:t>
              <w:br/>
              <w:t xml:space="preserve">72.7860%</w:t>
            </w:r>
          </w:p>
        </w:tc>
        <w:tc>
          <w:tcPr>
            <w:tcW w:w="2200" w:type="dxa"/>
            <w:shd w:fill="F7F9FC"/>
            <w:vAlign w:val="center"/>
          </w:tcPr>
          <w:p>
            <w:pPr>
              <w:pStyle w:val="TableNumber"/>
            </w:pPr>
            <w:r>
              <w:t xml:space="preserve">11.4075</w:t>
              <w:br/>
              <w:t xml:space="preserve">7.2140</w:t>
            </w:r>
          </w:p>
        </w:tc>
        <w:tc>
          <w:tcPr>
            <w:tcW w:w="2360" w:type="dxa"/>
            <w:shd w:fill="F7F9FC"/>
            <w:vAlign w:val="center"/>
          </w:tcPr>
          <w:p>
            <w:pPr>
              <w:pStyle w:val="TableNumber"/>
            </w:pPr>
            <w:r>
              <w:t xml:space="preserve">0.202172</w:t>
              <w:br/>
              <w:t xml:space="preserve">0.210209</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0.287317</w:t>
              <w:br/>
              <w:t xml:space="preserve">0.283709</w:t>
            </w:r>
          </w:p>
        </w:tc>
        <w:tc>
          <w:tcPr>
            <w:tcW w:w="2075" w:type="dxa"/>
            <w:shd w:fill="FFFFFF"/>
            <w:vAlign w:val="center"/>
          </w:tcPr>
          <w:p>
            <w:pPr>
              <w:pStyle w:val="TableNumber"/>
            </w:pPr>
            <w:r>
              <w:t xml:space="preserve">68.1929%</w:t>
              <w:br/>
              <w:t xml:space="preserve">72.8050%</w:t>
            </w:r>
          </w:p>
        </w:tc>
        <w:tc>
          <w:tcPr>
            <w:tcW w:w="2200" w:type="dxa"/>
            <w:shd w:fill="FFFFFF"/>
            <w:vAlign w:val="center"/>
          </w:tcPr>
          <w:p>
            <w:pPr>
              <w:pStyle w:val="TableNumber"/>
            </w:pPr>
            <w:r>
              <w:t xml:space="preserve">11.8071</w:t>
              <w:br/>
              <w:t xml:space="preserve">7.1950</w:t>
            </w:r>
          </w:p>
        </w:tc>
        <w:tc>
          <w:tcPr>
            <w:tcW w:w="2360" w:type="dxa"/>
            <w:shd w:fill="FFFFFF"/>
            <w:vAlign w:val="center"/>
          </w:tcPr>
          <w:p>
            <w:pPr>
              <w:pStyle w:val="TableNumber"/>
            </w:pPr>
            <w:r>
              <w:t xml:space="preserve">0.210431</w:t>
              <w:br/>
              <w:t xml:space="preserve">0.220563</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0.287549</w:t>
              <w:br/>
              <w:t xml:space="preserve">0.283433</w:t>
            </w:r>
          </w:p>
        </w:tc>
        <w:tc>
          <w:tcPr>
            <w:tcW w:w="2075" w:type="dxa"/>
            <w:shd w:fill="F7F9FC"/>
            <w:vAlign w:val="center"/>
          </w:tcPr>
          <w:p>
            <w:pPr>
              <w:pStyle w:val="TableNumber"/>
            </w:pPr>
            <w:r>
              <w:t xml:space="preserve">67.5391%</w:t>
              <w:br/>
              <w:t xml:space="preserve">72.7591%</w:t>
            </w:r>
          </w:p>
        </w:tc>
        <w:tc>
          <w:tcPr>
            <w:tcW w:w="2200" w:type="dxa"/>
            <w:shd w:fill="F7F9FC"/>
            <w:vAlign w:val="center"/>
          </w:tcPr>
          <w:p>
            <w:pPr>
              <w:pStyle w:val="TableNumber"/>
            </w:pPr>
            <w:r>
              <w:t xml:space="preserve">12.4609</w:t>
              <w:br/>
              <w:t xml:space="preserve">7.2409</w:t>
            </w:r>
          </w:p>
        </w:tc>
        <w:tc>
          <w:tcPr>
            <w:tcW w:w="2360" w:type="dxa"/>
            <w:shd w:fill="F7F9FC"/>
            <w:vAlign w:val="center"/>
          </w:tcPr>
          <w:p>
            <w:pPr>
              <w:pStyle w:val="TableNumber"/>
            </w:pPr>
            <w:r>
              <w:t xml:space="preserve">0.217652</w:t>
              <w:br/>
              <w:t xml:space="preserve">0.229708</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0.290751</w:t>
              <w:br/>
              <w:t xml:space="preserve">0.286562</w:t>
            </w:r>
          </w:p>
        </w:tc>
        <w:tc>
          <w:tcPr>
            <w:tcW w:w="2075" w:type="dxa"/>
            <w:shd w:fill="FFFFFF"/>
            <w:vAlign w:val="center"/>
          </w:tcPr>
          <w:p>
            <w:pPr>
              <w:pStyle w:val="TableNumber"/>
            </w:pPr>
            <w:r>
              <w:t xml:space="preserve">67.4854%</w:t>
              <w:br/>
              <w:t xml:space="preserve">72.7813%</w:t>
            </w:r>
          </w:p>
        </w:tc>
        <w:tc>
          <w:tcPr>
            <w:tcW w:w="2200" w:type="dxa"/>
            <w:shd w:fill="FFFFFF"/>
            <w:vAlign w:val="center"/>
          </w:tcPr>
          <w:p>
            <w:pPr>
              <w:pStyle w:val="TableNumber"/>
            </w:pPr>
            <w:r>
              <w:t xml:space="preserve">12.5146</w:t>
              <w:br/>
              <w:t xml:space="preserve">7.2187</w:t>
            </w:r>
          </w:p>
        </w:tc>
        <w:tc>
          <w:tcPr>
            <w:tcW w:w="2360" w:type="dxa"/>
            <w:shd w:fill="FFFFFF"/>
            <w:vAlign w:val="center"/>
          </w:tcPr>
          <w:p>
            <w:pPr>
              <w:pStyle w:val="TableNumber"/>
            </w:pPr>
            <w:r>
              <w:t xml:space="preserve">0.227470</w:t>
              <w:br/>
              <w:t xml:space="preserve">0.239566</w:t>
            </w:r>
          </w:p>
        </w:tc>
      </w:tr>
    </w:tbl>
    <w:p>
      <w:pPr>
        <w:pStyle w:val="a"/>
        <w:spacing w:before="160"/>
      </w:pPr>
      <w:r>
        <w:t xml:space="preserve">TWSE all-horizon coverage 70.1775% → 73.6181%; normalized pinball 0.286492 → 0.283951.</w:t>
      </w:r>
    </w:p>
    <w:p>
      <w:pPr>
        <w:pStyle w:val="Decision"/>
      </w:pPr>
      <w:r>
        <w:t xml:space="preserve">Table 10c | TPEX 31,285 windows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pPr>
            <w:r>
              <w:t xml:space="preserve">H</w:t>
            </w:r>
          </w:p>
        </w:tc>
        <w:tc>
          <w:tcPr>
            <w:tcW w:w="2075" w:type="dxa"/>
            <w:shd w:fill="DCE6F1"/>
            <w:vAlign w:val="center"/>
          </w:tcPr>
          <w:p>
            <w:pPr>
              <w:pStyle w:val="TableHeader"/>
            </w:pPr>
            <w:r>
              <w:t xml:space="preserve">N pinball</w:t>
              <w:br/>
              <w:t xml:space="preserve">raw / calibrated</w:t>
            </w:r>
          </w:p>
        </w:tc>
        <w:tc>
          <w:tcPr>
            <w:tcW w:w="2075" w:type="dxa"/>
            <w:shd w:fill="DCE6F1"/>
            <w:vAlign w:val="center"/>
          </w:tcPr>
          <w:p>
            <w:pPr>
              <w:pStyle w:val="TableHeader"/>
            </w:pPr>
            <w:r>
              <w:t xml:space="preserve">Coverage</w:t>
              <w:br/>
              <w:t xml:space="preserve">raw / calibrated</w:t>
            </w:r>
          </w:p>
        </w:tc>
        <w:tc>
          <w:tcPr>
            <w:tcW w:w="2200" w:type="dxa"/>
            <w:shd w:fill="DCE6F1"/>
            <w:vAlign w:val="center"/>
          </w:tcPr>
          <w:p>
            <w:pPr>
              <w:pStyle w:val="TableHeader"/>
            </w:pPr>
            <w:r>
              <w:t xml:space="preserve">Coverage error pp</w:t>
              <w:br/>
              <w:t xml:space="preserve">raw / calibrated</w:t>
            </w:r>
          </w:p>
        </w:tc>
        <w:tc>
          <w:tcPr>
            <w:tcW w:w="2360" w:type="dxa"/>
            <w:shd w:fill="DCE6F1"/>
            <w:vAlign w:val="center"/>
          </w:tcPr>
          <w:p>
            <w:pPr>
              <w:pStyle w:val="TableHeader"/>
            </w:pPr>
            <w:r>
              <w:t xml:space="preserve">Width</w:t>
              <w:br/>
              <w:t xml:space="preserve">raw / calibrated</w:t>
            </w:r>
          </w:p>
        </w:tc>
      </w:tr>
      <w:tr>
        <w:trPr>
          <w:cantSplit/>
        </w:trPr>
        <w:tc>
          <w:tcPr>
            <w:tcW w:w="650" w:type="dxa"/>
            <w:shd w:fill="FFFFFF"/>
            <w:vAlign w:val="center"/>
          </w:tcPr>
          <w:p>
            <w:pPr>
              <w:pStyle w:val="TableNumber"/>
            </w:pPr>
            <w:r>
              <w:t xml:space="preserve">All</w:t>
            </w:r>
          </w:p>
        </w:tc>
        <w:tc>
          <w:tcPr>
            <w:tcW w:w="2075" w:type="dxa"/>
            <w:shd w:fill="FFFFFF"/>
            <w:vAlign w:val="center"/>
          </w:tcPr>
          <w:p>
            <w:pPr>
              <w:pStyle w:val="TableNumber"/>
            </w:pPr>
            <w:r>
              <w:t xml:space="preserve">0.322516</w:t>
              <w:br/>
              <w:t xml:space="preserve">0.320362</w:t>
            </w:r>
          </w:p>
        </w:tc>
        <w:tc>
          <w:tcPr>
            <w:tcW w:w="2075" w:type="dxa"/>
            <w:shd w:fill="FFFFFF"/>
            <w:vAlign w:val="center"/>
          </w:tcPr>
          <w:p>
            <w:pPr>
              <w:pStyle w:val="TableNumber"/>
            </w:pPr>
            <w:r>
              <w:t xml:space="preserve">69.5192%</w:t>
              <w:br/>
              <w:t xml:space="preserve">72.6202%</w:t>
            </w:r>
          </w:p>
        </w:tc>
        <w:tc>
          <w:tcPr>
            <w:tcW w:w="2200" w:type="dxa"/>
            <w:shd w:fill="FFFFFF"/>
            <w:vAlign w:val="center"/>
          </w:tcPr>
          <w:p>
            <w:pPr>
              <w:pStyle w:val="TableNumber"/>
            </w:pPr>
            <w:r>
              <w:t xml:space="preserve">10.4808</w:t>
              <w:br/>
              <w:t xml:space="preserve">7.3798</w:t>
            </w:r>
          </w:p>
        </w:tc>
        <w:tc>
          <w:tcPr>
            <w:tcW w:w="2360" w:type="dxa"/>
            <w:shd w:fill="FFFFFF"/>
            <w:vAlign w:val="center"/>
          </w:tcPr>
          <w:p>
            <w:pPr>
              <w:pStyle w:val="TableNumber"/>
            </w:pPr>
            <w:r>
              <w:t xml:space="preserve">0.172279</w:t>
              <w:br/>
              <w:t xml:space="preserve">0.185875</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0.327977</w:t>
              <w:br/>
              <w:t xml:space="preserve">0.327364</w:t>
            </w:r>
          </w:p>
        </w:tc>
        <w:tc>
          <w:tcPr>
            <w:tcW w:w="2075" w:type="dxa"/>
            <w:shd w:fill="F7F9FC"/>
            <w:vAlign w:val="center"/>
          </w:tcPr>
          <w:p>
            <w:pPr>
              <w:pStyle w:val="TableNumber"/>
            </w:pPr>
            <w:r>
              <w:t xml:space="preserve">73.9716%</w:t>
              <w:br/>
              <w:t xml:space="preserve">75.0583%</w:t>
            </w:r>
          </w:p>
        </w:tc>
        <w:tc>
          <w:tcPr>
            <w:tcW w:w="2200" w:type="dxa"/>
            <w:shd w:fill="F7F9FC"/>
            <w:vAlign w:val="center"/>
          </w:tcPr>
          <w:p>
            <w:pPr>
              <w:pStyle w:val="TableNumber"/>
            </w:pPr>
            <w:r>
              <w:t xml:space="preserve">6.0284</w:t>
              <w:br/>
              <w:t xml:space="preserve">4.9417</w:t>
            </w:r>
          </w:p>
        </w:tc>
        <w:tc>
          <w:tcPr>
            <w:tcW w:w="2360" w:type="dxa"/>
            <w:shd w:fill="F7F9FC"/>
            <w:vAlign w:val="center"/>
          </w:tcPr>
          <w:p>
            <w:pPr>
              <w:pStyle w:val="TableNumber"/>
            </w:pPr>
            <w:r>
              <w:t xml:space="preserve">0.064573</w:t>
              <w:br/>
              <w:t xml:space="preserve">0.066188</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0.322809</w:t>
              <w:br/>
              <w:t xml:space="preserve">0.321679</w:t>
            </w:r>
          </w:p>
        </w:tc>
        <w:tc>
          <w:tcPr>
            <w:tcW w:w="2075" w:type="dxa"/>
            <w:shd w:fill="FFFFFF"/>
            <w:vAlign w:val="center"/>
          </w:tcPr>
          <w:p>
            <w:pPr>
              <w:pStyle w:val="TableNumber"/>
            </w:pPr>
            <w:r>
              <w:t xml:space="preserve">71.9866%</w:t>
              <w:br/>
              <w:t xml:space="preserve">73.8021%</w:t>
            </w:r>
          </w:p>
        </w:tc>
        <w:tc>
          <w:tcPr>
            <w:tcW w:w="2200" w:type="dxa"/>
            <w:shd w:fill="FFFFFF"/>
            <w:vAlign w:val="center"/>
          </w:tcPr>
          <w:p>
            <w:pPr>
              <w:pStyle w:val="TableNumber"/>
            </w:pPr>
            <w:r>
              <w:t xml:space="preserve">8.0134</w:t>
              <w:br/>
              <w:t xml:space="preserve">6.1979</w:t>
            </w:r>
          </w:p>
        </w:tc>
        <w:tc>
          <w:tcPr>
            <w:tcW w:w="2360" w:type="dxa"/>
            <w:shd w:fill="FFFFFF"/>
            <w:vAlign w:val="center"/>
          </w:tcPr>
          <w:p>
            <w:pPr>
              <w:pStyle w:val="TableNumber"/>
            </w:pPr>
            <w:r>
              <w:t xml:space="preserve">0.091033</w:t>
              <w:br/>
              <w:t xml:space="preserve">0.095633</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0.322586</w:t>
              <w:br/>
              <w:t xml:space="preserve">0.321037</w:t>
            </w:r>
          </w:p>
        </w:tc>
        <w:tc>
          <w:tcPr>
            <w:tcW w:w="2075" w:type="dxa"/>
            <w:shd w:fill="F7F9FC"/>
            <w:vAlign w:val="center"/>
          </w:tcPr>
          <w:p>
            <w:pPr>
              <w:pStyle w:val="TableNumber"/>
            </w:pPr>
            <w:r>
              <w:t xml:space="preserve">71.1012%</w:t>
              <w:br/>
              <w:t xml:space="preserve">73.5592%</w:t>
            </w:r>
          </w:p>
        </w:tc>
        <w:tc>
          <w:tcPr>
            <w:tcW w:w="2200" w:type="dxa"/>
            <w:shd w:fill="F7F9FC"/>
            <w:vAlign w:val="center"/>
          </w:tcPr>
          <w:p>
            <w:pPr>
              <w:pStyle w:val="TableNumber"/>
            </w:pPr>
            <w:r>
              <w:t xml:space="preserve">8.8988</w:t>
              <w:br/>
              <w:t xml:space="preserve">6.4408</w:t>
            </w:r>
          </w:p>
        </w:tc>
        <w:tc>
          <w:tcPr>
            <w:tcW w:w="2360" w:type="dxa"/>
            <w:shd w:fill="F7F9FC"/>
            <w:vAlign w:val="center"/>
          </w:tcPr>
          <w:p>
            <w:pPr>
              <w:pStyle w:val="TableNumber"/>
            </w:pPr>
            <w:r>
              <w:t xml:space="preserve">0.111667</w:t>
              <w:br/>
              <w:t xml:space="preserve">0.118937</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0.321699</w:t>
              <w:br/>
              <w:t xml:space="preserve">0.319813</w:t>
            </w:r>
          </w:p>
        </w:tc>
        <w:tc>
          <w:tcPr>
            <w:tcW w:w="2075" w:type="dxa"/>
            <w:shd w:fill="FFFFFF"/>
            <w:vAlign w:val="center"/>
          </w:tcPr>
          <w:p>
            <w:pPr>
              <w:pStyle w:val="TableNumber"/>
            </w:pPr>
            <w:r>
              <w:t xml:space="preserve">70.4267%</w:t>
              <w:br/>
              <w:t xml:space="preserve">73.3419%</w:t>
            </w:r>
          </w:p>
        </w:tc>
        <w:tc>
          <w:tcPr>
            <w:tcW w:w="2200" w:type="dxa"/>
            <w:shd w:fill="FFFFFF"/>
            <w:vAlign w:val="center"/>
          </w:tcPr>
          <w:p>
            <w:pPr>
              <w:pStyle w:val="TableNumber"/>
            </w:pPr>
            <w:r>
              <w:t xml:space="preserve">9.5733</w:t>
              <w:br/>
              <w:t xml:space="preserve">6.6581</w:t>
            </w:r>
          </w:p>
        </w:tc>
        <w:tc>
          <w:tcPr>
            <w:tcW w:w="2360" w:type="dxa"/>
            <w:shd w:fill="FFFFFF"/>
            <w:vAlign w:val="center"/>
          </w:tcPr>
          <w:p>
            <w:pPr>
              <w:pStyle w:val="TableNumber"/>
            </w:pPr>
            <w:r>
              <w:t xml:space="preserve">0.129679</w:t>
              <w:br/>
              <w:t xml:space="preserve">0.138338</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0.317508</w:t>
              <w:br/>
              <w:t xml:space="preserve">0.315499</w:t>
            </w:r>
          </w:p>
        </w:tc>
        <w:tc>
          <w:tcPr>
            <w:tcW w:w="2075" w:type="dxa"/>
            <w:shd w:fill="F7F9FC"/>
            <w:vAlign w:val="center"/>
          </w:tcPr>
          <w:p>
            <w:pPr>
              <w:pStyle w:val="TableNumber"/>
            </w:pPr>
            <w:r>
              <w:t xml:space="preserve">70.0080%</w:t>
              <w:br/>
              <w:t xml:space="preserve">72.9775%</w:t>
            </w:r>
          </w:p>
        </w:tc>
        <w:tc>
          <w:tcPr>
            <w:tcW w:w="2200" w:type="dxa"/>
            <w:shd w:fill="F7F9FC"/>
            <w:vAlign w:val="center"/>
          </w:tcPr>
          <w:p>
            <w:pPr>
              <w:pStyle w:val="TableNumber"/>
            </w:pPr>
            <w:r>
              <w:t xml:space="preserve">9.9920</w:t>
              <w:br/>
              <w:t xml:space="preserve">7.0225</w:t>
            </w:r>
          </w:p>
        </w:tc>
        <w:tc>
          <w:tcPr>
            <w:tcW w:w="2360" w:type="dxa"/>
            <w:shd w:fill="F7F9FC"/>
            <w:vAlign w:val="center"/>
          </w:tcPr>
          <w:p>
            <w:pPr>
              <w:pStyle w:val="TableNumber"/>
            </w:pPr>
            <w:r>
              <w:t xml:space="preserve">0.144786</w:t>
              <w:br/>
              <w:t xml:space="preserve">0.156422</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0.318743</w:t>
              <w:br/>
              <w:t xml:space="preserve">0.316593</w:t>
            </w:r>
          </w:p>
        </w:tc>
        <w:tc>
          <w:tcPr>
            <w:tcW w:w="2075" w:type="dxa"/>
            <w:shd w:fill="FFFFFF"/>
            <w:vAlign w:val="center"/>
          </w:tcPr>
          <w:p>
            <w:pPr>
              <w:pStyle w:val="TableNumber"/>
            </w:pPr>
            <w:r>
              <w:t xml:space="preserve">69.6148%</w:t>
              <w:br/>
              <w:t xml:space="preserve">72.9775%</w:t>
            </w:r>
          </w:p>
        </w:tc>
        <w:tc>
          <w:tcPr>
            <w:tcW w:w="2200" w:type="dxa"/>
            <w:shd w:fill="FFFFFF"/>
            <w:vAlign w:val="center"/>
          </w:tcPr>
          <w:p>
            <w:pPr>
              <w:pStyle w:val="TableNumber"/>
            </w:pPr>
            <w:r>
              <w:t xml:space="preserve">10.3852</w:t>
              <w:br/>
              <w:t xml:space="preserve">7.0225</w:t>
            </w:r>
          </w:p>
        </w:tc>
        <w:tc>
          <w:tcPr>
            <w:tcW w:w="2360" w:type="dxa"/>
            <w:shd w:fill="FFFFFF"/>
            <w:vAlign w:val="center"/>
          </w:tcPr>
          <w:p>
            <w:pPr>
              <w:pStyle w:val="TableNumber"/>
            </w:pPr>
            <w:r>
              <w:t xml:space="preserve">0.159472</w:t>
              <w:br/>
              <w:t xml:space="preserve">0.171777</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0.319819</w:t>
              <w:br/>
              <w:t xml:space="preserve">0.317443</w:t>
            </w:r>
          </w:p>
        </w:tc>
        <w:tc>
          <w:tcPr>
            <w:tcW w:w="2075" w:type="dxa"/>
            <w:shd w:fill="F7F9FC"/>
            <w:vAlign w:val="center"/>
          </w:tcPr>
          <w:p>
            <w:pPr>
              <w:pStyle w:val="TableNumber"/>
            </w:pPr>
            <w:r>
              <w:t xml:space="preserve">68.9724%</w:t>
              <w:br/>
              <w:t xml:space="preserve">72.4788%</w:t>
            </w:r>
          </w:p>
        </w:tc>
        <w:tc>
          <w:tcPr>
            <w:tcW w:w="2200" w:type="dxa"/>
            <w:shd w:fill="F7F9FC"/>
            <w:vAlign w:val="center"/>
          </w:tcPr>
          <w:p>
            <w:pPr>
              <w:pStyle w:val="TableNumber"/>
            </w:pPr>
            <w:r>
              <w:t xml:space="preserve">11.0276</w:t>
              <w:br/>
              <w:t xml:space="preserve">7.5212</w:t>
            </w:r>
          </w:p>
        </w:tc>
        <w:tc>
          <w:tcPr>
            <w:tcW w:w="2360" w:type="dxa"/>
            <w:shd w:fill="F7F9FC"/>
            <w:vAlign w:val="center"/>
          </w:tcPr>
          <w:p>
            <w:pPr>
              <w:pStyle w:val="TableNumber"/>
            </w:pPr>
            <w:r>
              <w:t xml:space="preserve">0.172567</w:t>
              <w:br/>
              <w:t xml:space="preserve">0.185494</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0.320482</w:t>
              <w:br/>
              <w:t xml:space="preserve">0.318524</w:t>
            </w:r>
          </w:p>
        </w:tc>
        <w:tc>
          <w:tcPr>
            <w:tcW w:w="2075" w:type="dxa"/>
            <w:shd w:fill="FFFFFF"/>
            <w:vAlign w:val="center"/>
          </w:tcPr>
          <w:p>
            <w:pPr>
              <w:pStyle w:val="TableNumber"/>
            </w:pPr>
            <w:r>
              <w:t xml:space="preserve">69.4135%</w:t>
              <w:br/>
              <w:t xml:space="preserve">72.2743%</w:t>
            </w:r>
          </w:p>
        </w:tc>
        <w:tc>
          <w:tcPr>
            <w:tcW w:w="2200" w:type="dxa"/>
            <w:shd w:fill="FFFFFF"/>
            <w:vAlign w:val="center"/>
          </w:tcPr>
          <w:p>
            <w:pPr>
              <w:pStyle w:val="TableNumber"/>
            </w:pPr>
            <w:r>
              <w:t xml:space="preserve">10.5865</w:t>
              <w:br/>
              <w:t xml:space="preserve">7.7257</w:t>
            </w:r>
          </w:p>
        </w:tc>
        <w:tc>
          <w:tcPr>
            <w:tcW w:w="2360" w:type="dxa"/>
            <w:shd w:fill="FFFFFF"/>
            <w:vAlign w:val="center"/>
          </w:tcPr>
          <w:p>
            <w:pPr>
              <w:pStyle w:val="TableNumber"/>
            </w:pPr>
            <w:r>
              <w:t xml:space="preserve">0.187632</w:t>
              <w:br/>
              <w:t xml:space="preserve">0.200197</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0.322162</w:t>
              <w:br/>
              <w:t xml:space="preserve">0.319876</w:t>
            </w:r>
          </w:p>
        </w:tc>
        <w:tc>
          <w:tcPr>
            <w:tcW w:w="2075" w:type="dxa"/>
            <w:shd w:fill="F7F9FC"/>
            <w:vAlign w:val="center"/>
          </w:tcPr>
          <w:p>
            <w:pPr>
              <w:pStyle w:val="TableNumber"/>
            </w:pPr>
            <w:r>
              <w:t xml:space="preserve">69.1833%</w:t>
              <w:br/>
              <w:t xml:space="preserve">72.4213%</w:t>
            </w:r>
          </w:p>
        </w:tc>
        <w:tc>
          <w:tcPr>
            <w:tcW w:w="2200" w:type="dxa"/>
            <w:shd w:fill="F7F9FC"/>
            <w:vAlign w:val="center"/>
          </w:tcPr>
          <w:p>
            <w:pPr>
              <w:pStyle w:val="TableNumber"/>
            </w:pPr>
            <w:r>
              <w:t xml:space="preserve">10.8167</w:t>
              <w:br/>
              <w:t xml:space="preserve">7.5787</w:t>
            </w:r>
          </w:p>
        </w:tc>
        <w:tc>
          <w:tcPr>
            <w:tcW w:w="2360" w:type="dxa"/>
            <w:shd w:fill="F7F9FC"/>
            <w:vAlign w:val="center"/>
          </w:tcPr>
          <w:p>
            <w:pPr>
              <w:pStyle w:val="TableNumber"/>
            </w:pPr>
            <w:r>
              <w:t xml:space="preserve">0.200145</w:t>
              <w:br/>
              <w:t xml:space="preserve">0.215406</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0.322290</w:t>
              <w:br/>
              <w:t xml:space="preserve">0.319857</w:t>
            </w:r>
          </w:p>
        </w:tc>
        <w:tc>
          <w:tcPr>
            <w:tcW w:w="2075" w:type="dxa"/>
            <w:shd w:fill="FFFFFF"/>
            <w:vAlign w:val="center"/>
          </w:tcPr>
          <w:p>
            <w:pPr>
              <w:pStyle w:val="TableNumber"/>
            </w:pPr>
            <w:r>
              <w:t xml:space="preserve">68.7997%</w:t>
              <w:br/>
              <w:t xml:space="preserve">72.2870%</w:t>
            </w:r>
          </w:p>
        </w:tc>
        <w:tc>
          <w:tcPr>
            <w:tcW w:w="2200" w:type="dxa"/>
            <w:shd w:fill="FFFFFF"/>
            <w:vAlign w:val="center"/>
          </w:tcPr>
          <w:p>
            <w:pPr>
              <w:pStyle w:val="TableNumber"/>
            </w:pPr>
            <w:r>
              <w:t xml:space="preserve">11.2003</w:t>
              <w:br/>
              <w:t xml:space="preserve">7.7130</w:t>
            </w:r>
          </w:p>
        </w:tc>
        <w:tc>
          <w:tcPr>
            <w:tcW w:w="2360" w:type="dxa"/>
            <w:shd w:fill="FFFFFF"/>
            <w:vAlign w:val="center"/>
          </w:tcPr>
          <w:p>
            <w:pPr>
              <w:pStyle w:val="TableNumber"/>
            </w:pPr>
            <w:r>
              <w:t xml:space="preserve">0.209707</w:t>
              <w:br/>
              <w:t xml:space="preserve">0.227338</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0.323565</w:t>
              <w:br/>
              <w:t xml:space="preserve">0.321409</w:t>
            </w:r>
          </w:p>
        </w:tc>
        <w:tc>
          <w:tcPr>
            <w:tcW w:w="2075" w:type="dxa"/>
            <w:shd w:fill="F7F9FC"/>
            <w:vAlign w:val="center"/>
          </w:tcPr>
          <w:p>
            <w:pPr>
              <w:pStyle w:val="TableNumber"/>
            </w:pPr>
            <w:r>
              <w:t xml:space="preserve">68.8573%</w:t>
              <w:br/>
              <w:t xml:space="preserve">71.9322%</w:t>
            </w:r>
          </w:p>
        </w:tc>
        <w:tc>
          <w:tcPr>
            <w:tcW w:w="2200" w:type="dxa"/>
            <w:shd w:fill="F7F9FC"/>
            <w:vAlign w:val="center"/>
          </w:tcPr>
          <w:p>
            <w:pPr>
              <w:pStyle w:val="TableNumber"/>
            </w:pPr>
            <w:r>
              <w:t xml:space="preserve">11.1427</w:t>
              <w:br/>
              <w:t xml:space="preserve">8.0678</w:t>
            </w:r>
          </w:p>
        </w:tc>
        <w:tc>
          <w:tcPr>
            <w:tcW w:w="2360" w:type="dxa"/>
            <w:shd w:fill="F7F9FC"/>
            <w:vAlign w:val="center"/>
          </w:tcPr>
          <w:p>
            <w:pPr>
              <w:pStyle w:val="TableNumber"/>
            </w:pPr>
            <w:r>
              <w:t xml:space="preserve">0.222477</w:t>
              <w:br/>
              <w:t xml:space="preserve">0.239745</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0.323238</w:t>
              <w:br/>
              <w:t xml:space="preserve">0.320652</w:t>
            </w:r>
          </w:p>
        </w:tc>
        <w:tc>
          <w:tcPr>
            <w:tcW w:w="2075" w:type="dxa"/>
            <w:shd w:fill="FFFFFF"/>
            <w:vAlign w:val="center"/>
          </w:tcPr>
          <w:p>
            <w:pPr>
              <w:pStyle w:val="TableNumber"/>
            </w:pPr>
            <w:r>
              <w:t xml:space="preserve">67.9303%</w:t>
              <w:br/>
              <w:t xml:space="preserve">71.5710%</w:t>
            </w:r>
          </w:p>
        </w:tc>
        <w:tc>
          <w:tcPr>
            <w:tcW w:w="2200" w:type="dxa"/>
            <w:shd w:fill="FFFFFF"/>
            <w:vAlign w:val="center"/>
          </w:tcPr>
          <w:p>
            <w:pPr>
              <w:pStyle w:val="TableNumber"/>
            </w:pPr>
            <w:r>
              <w:t xml:space="preserve">12.0697</w:t>
              <w:br/>
              <w:t xml:space="preserve">8.4290</w:t>
            </w:r>
          </w:p>
        </w:tc>
        <w:tc>
          <w:tcPr>
            <w:tcW w:w="2360" w:type="dxa"/>
            <w:shd w:fill="FFFFFF"/>
            <w:vAlign w:val="center"/>
          </w:tcPr>
          <w:p>
            <w:pPr>
              <w:pStyle w:val="TableNumber"/>
            </w:pPr>
            <w:r>
              <w:t xml:space="preserve">0.231027</w:t>
              <w:br/>
              <w:t xml:space="preserve">0.251239</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0.324299</w:t>
              <w:br/>
              <w:t xml:space="preserve">0.320773</w:t>
            </w:r>
          </w:p>
        </w:tc>
        <w:tc>
          <w:tcPr>
            <w:tcW w:w="2075" w:type="dxa"/>
            <w:shd w:fill="F7F9FC"/>
            <w:vAlign w:val="center"/>
          </w:tcPr>
          <w:p>
            <w:pPr>
              <w:pStyle w:val="TableNumber"/>
            </w:pPr>
            <w:r>
              <w:t xml:space="preserve">66.7189%</w:t>
              <w:br/>
              <w:t xml:space="preserve">71.3633%</w:t>
            </w:r>
          </w:p>
        </w:tc>
        <w:tc>
          <w:tcPr>
            <w:tcW w:w="2200" w:type="dxa"/>
            <w:shd w:fill="F7F9FC"/>
            <w:vAlign w:val="center"/>
          </w:tcPr>
          <w:p>
            <w:pPr>
              <w:pStyle w:val="TableNumber"/>
            </w:pPr>
            <w:r>
              <w:t xml:space="preserve">13.2811</w:t>
              <w:br/>
              <w:t xml:space="preserve">8.6367</w:t>
            </w:r>
          </w:p>
        </w:tc>
        <w:tc>
          <w:tcPr>
            <w:tcW w:w="2360" w:type="dxa"/>
            <w:shd w:fill="F7F9FC"/>
            <w:vAlign w:val="center"/>
          </w:tcPr>
          <w:p>
            <w:pPr>
              <w:pStyle w:val="TableNumber"/>
            </w:pPr>
            <w:r>
              <w:t xml:space="preserve">0.238099</w:t>
              <w:br/>
              <w:t xml:space="preserve">0.262703</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0.328047</w:t>
              <w:br/>
              <w:t xml:space="preserve">0.324552</w:t>
            </w:r>
          </w:p>
        </w:tc>
        <w:tc>
          <w:tcPr>
            <w:tcW w:w="2075" w:type="dxa"/>
            <w:shd w:fill="FFFFFF"/>
            <w:vAlign w:val="center"/>
          </w:tcPr>
          <w:p>
            <w:pPr>
              <w:pStyle w:val="TableNumber"/>
            </w:pPr>
            <w:r>
              <w:t xml:space="preserve">66.2842%</w:t>
              <w:br/>
              <w:t xml:space="preserve">70.6377%</w:t>
            </w:r>
          </w:p>
        </w:tc>
        <w:tc>
          <w:tcPr>
            <w:tcW w:w="2200" w:type="dxa"/>
            <w:shd w:fill="FFFFFF"/>
            <w:vAlign w:val="center"/>
          </w:tcPr>
          <w:p>
            <w:pPr>
              <w:pStyle w:val="TableNumber"/>
            </w:pPr>
            <w:r>
              <w:t xml:space="preserve">13.7158</w:t>
              <w:br/>
              <w:t xml:space="preserve">9.3623</w:t>
            </w:r>
          </w:p>
        </w:tc>
        <w:tc>
          <w:tcPr>
            <w:tcW w:w="2360" w:type="dxa"/>
            <w:shd w:fill="FFFFFF"/>
            <w:vAlign w:val="center"/>
          </w:tcPr>
          <w:p>
            <w:pPr>
              <w:pStyle w:val="TableNumber"/>
            </w:pPr>
            <w:r>
              <w:t xml:space="preserve">0.249049</w:t>
              <w:br/>
              <w:t xml:space="preserve">0.272828</w:t>
            </w:r>
          </w:p>
        </w:tc>
      </w:tr>
    </w:tbl>
    <w:p>
      <w:pPr>
        <w:pStyle w:val="a"/>
        <w:spacing w:before="160"/>
      </w:pPr>
      <w:r>
        <w:t xml:space="preserve">TPEX all-horizon coverage 69.5192% → 72.6202%; normalized pinball 0.322516 → 0.320362.</w:t>
      </w:r>
    </w:p>
    <w:p>
      <w:pPr>
        <w:pStyle w:val="a"/>
      </w:pPr>
      <w:r>
        <w:t xml:space="preserve">Market coverage can increase, decrease or exceed 80%. Read coverage error and width together; aggregate proximity does not establish calibration in every subgroup. These calibrated JSONs omit by_month, by_market_month and provider-specific calibration. Original provider/year slices remain raw; missing calibrated slices are not filled with zeros or estimates.</w:t>
      </w:r>
    </w:p>
    <w:p>
      <w:pPr>
        <w:pStyle w:val="21"/>
      </w:pPr>
      <w:r>
        <w:t>8.2 Year slices</w:t>
      </w:r>
    </w:p>
    <w:tbl>
      <w:tblPr>
        <w:tblStyle w:val="BenchmarkTable"/>
        <w:tblW w:w="9360" w:type="dxa"/>
        <w:tblLayout w:type="fixed"/>
      </w:tblPr>
      <w:tblGrid>
        <w:gridCol w:w="1300"/>
        <w:gridCol w:w="1200"/>
        <w:gridCol w:w="1400"/>
        <w:gridCol w:w="1400"/>
        <w:gridCol w:w="1800"/>
        <w:gridCol w:w="1200"/>
        <w:gridCol w:w="1060"/>
      </w:tblGrid>
      <w:tr>
        <w:trPr>
          <w:tblHeader/>
        </w:trPr>
        <w:tc>
          <w:tcPr>
            <w:tcW w:w="1300" w:type="dxa"/>
            <w:shd w:val="clear" w:fill="DCE6F1"/>
            <w:vAlign w:val="center"/>
          </w:tcPr>
          <w:p>
            <w:pPr>
              <w:pStyle w:val="TableHeader"/>
            </w:pPr>
            <w:r>
              <w:t>Year</w:t>
            </w:r>
          </w:p>
        </w:tc>
        <w:tc>
          <w:tcPr>
            <w:tcW w:w="1200" w:type="dxa"/>
            <w:shd w:val="clear" w:fill="DCE6F1"/>
            <w:vAlign w:val="center"/>
          </w:tcPr>
          <w:p>
            <w:pPr>
              <w:pStyle w:val="TableHeader"/>
            </w:pPr>
            <w:r>
              <w:t>n</w:t>
            </w:r>
          </w:p>
        </w:tc>
        <w:tc>
          <w:tcPr>
            <w:tcW w:w="1400" w:type="dxa"/>
            <w:shd w:val="clear" w:fill="DCE6F1"/>
            <w:vAlign w:val="center"/>
          </w:tcPr>
          <w:p>
            <w:pPr>
              <w:pStyle w:val="TableHeader"/>
            </w:pPr>
            <w:r>
              <w:t>14H score</w:t>
            </w:r>
          </w:p>
        </w:tc>
        <w:tc>
          <w:tcPr>
            <w:tcW w:w="1400" w:type="dxa"/>
            <w:shd w:val="clear" w:fill="DCE6F1"/>
            <w:vAlign w:val="center"/>
          </w:tcPr>
          <w:p>
            <w:pPr>
              <w:pStyle w:val="TableHeader"/>
            </w:pPr>
            <w:r>
              <w:t>Mean q50 corr.</w:t>
            </w:r>
          </w:p>
        </w:tc>
        <w:tc>
          <w:tcPr>
            <w:tcW w:w="1800" w:type="dxa"/>
            <w:shd w:val="clear" w:fill="DCE6F1"/>
            <w:vAlign w:val="center"/>
          </w:tcPr>
          <w:p>
            <w:pPr>
              <w:pStyle w:val="TableHeader"/>
            </w:pPr>
            <w:r>
              <w:t>Corr. range</w:t>
            </w:r>
          </w:p>
        </w:tc>
        <w:tc>
          <w:tcPr>
            <w:tcW w:w="1200" w:type="dxa"/>
            <w:shd w:val="clear" w:fill="DCE6F1"/>
            <w:vAlign w:val="center"/>
          </w:tcPr>
          <w:p>
            <w:pPr>
              <w:pStyle w:val="TableHeader"/>
            </w:pPr>
            <w:r>
              <w:t>Mean direction</w:t>
            </w:r>
          </w:p>
        </w:tc>
        <w:tc>
          <w:tcPr>
            <w:tcW w:w="1060" w:type="dxa"/>
            <w:shd w:val="clear" w:fill="DCE6F1"/>
            <w:vAlign w:val="center"/>
          </w:tcPr>
          <w:p>
            <w:pPr>
              <w:pStyle w:val="TableHeader"/>
            </w:pPr>
            <w:r>
              <w:t>Mean coverage</w:t>
            </w:r>
          </w:p>
        </w:tc>
      </w:tr>
      <w:tr>
        <w:trPr>
          <w:cantSplit/>
        </w:trPr>
        <w:tc>
          <w:tcPr>
            <w:tcW w:w="1300" w:type="dxa"/>
            <w:vAlign w:val="center"/>
          </w:tcPr>
          <w:p>
            <w:pPr>
              <w:pStyle w:val="TableText"/>
            </w:pPr>
            <w:r>
              <w:t>2025</w:t>
            </w:r>
          </w:p>
        </w:tc>
        <w:tc>
          <w:tcPr>
            <w:tcW w:w="1200" w:type="dxa"/>
            <w:vAlign w:val="center"/>
          </w:tcPr>
          <w:p>
            <w:pPr>
              <w:pStyle w:val="TableNumber"/>
            </w:pPr>
            <w:r>
              <w:t>106,394</w:t>
            </w:r>
          </w:p>
        </w:tc>
        <w:tc>
          <w:tcPr>
            <w:tcW w:w="1400" w:type="dxa"/>
            <w:vAlign w:val="center"/>
          </w:tcPr>
          <w:p>
            <w:pPr>
              <w:pStyle w:val="TableNumber"/>
            </w:pPr>
            <w:r>
              <w:t>0.254695</w:t>
            </w:r>
          </w:p>
        </w:tc>
        <w:tc>
          <w:tcPr>
            <w:tcW w:w="1400" w:type="dxa"/>
            <w:vAlign w:val="center"/>
          </w:tcPr>
          <w:p>
            <w:pPr>
              <w:pStyle w:val="TableNumber"/>
            </w:pPr>
            <w:r>
              <w:t>0.1175</w:t>
            </w:r>
          </w:p>
        </w:tc>
        <w:tc>
          <w:tcPr>
            <w:tcW w:w="1800" w:type="dxa"/>
            <w:vAlign w:val="center"/>
          </w:tcPr>
          <w:p>
            <w:pPr>
              <w:pStyle w:val="TableNumber"/>
            </w:pPr>
            <w:r>
              <w:t>0.0453 to 0.1465</w:t>
            </w:r>
          </w:p>
        </w:tc>
        <w:tc>
          <w:tcPr>
            <w:tcW w:w="1200" w:type="dxa"/>
            <w:vAlign w:val="center"/>
          </w:tcPr>
          <w:p>
            <w:pPr>
              <w:pStyle w:val="TableNumber"/>
            </w:pPr>
            <w:r>
              <w:t>54.29%</w:t>
            </w:r>
          </w:p>
        </w:tc>
        <w:tc>
          <w:tcPr>
            <w:tcW w:w="1060" w:type="dxa"/>
            <w:vAlign w:val="center"/>
          </w:tcPr>
          <w:p>
            <w:pPr>
              <w:pStyle w:val="TableNumber"/>
            </w:pPr>
            <w:r>
              <w:t>79.69%</w:t>
            </w:r>
          </w:p>
        </w:tc>
      </w:tr>
      <w:tr>
        <w:trPr>
          <w:cantSplit/>
        </w:trPr>
        <w:tc>
          <w:tcPr>
            <w:tcW w:w="1300" w:type="dxa"/>
            <w:vAlign w:val="center"/>
          </w:tcPr>
          <w:p>
            <w:pPr>
              <w:pStyle w:val="TableText"/>
            </w:pPr>
            <w:r>
              <w:t>2026</w:t>
            </w:r>
          </w:p>
        </w:tc>
        <w:tc>
          <w:tcPr>
            <w:tcW w:w="1200" w:type="dxa"/>
            <w:vAlign w:val="center"/>
          </w:tcPr>
          <w:p>
            <w:pPr>
              <w:pStyle w:val="TableNumber"/>
            </w:pPr>
            <w:r>
              <w:t>427,933</w:t>
            </w:r>
          </w:p>
        </w:tc>
        <w:tc>
          <w:tcPr>
            <w:tcW w:w="1400" w:type="dxa"/>
            <w:vAlign w:val="center"/>
          </w:tcPr>
          <w:p>
            <w:pPr>
              <w:pStyle w:val="TableNumber"/>
            </w:pPr>
            <w:r>
              <w:t>0.303551</w:t>
            </w:r>
          </w:p>
        </w:tc>
        <w:tc>
          <w:tcPr>
            <w:tcW w:w="1400" w:type="dxa"/>
            <w:vAlign w:val="center"/>
          </w:tcPr>
          <w:p>
            <w:pPr>
              <w:pStyle w:val="TableNumber"/>
            </w:pPr>
            <w:r>
              <w:t>0.0921</w:t>
            </w:r>
          </w:p>
        </w:tc>
        <w:tc>
          <w:tcPr>
            <w:tcW w:w="1800" w:type="dxa"/>
            <w:vAlign w:val="center"/>
          </w:tcPr>
          <w:p>
            <w:pPr>
              <w:pStyle w:val="TableNumber"/>
            </w:pPr>
            <w:r>
              <w:t>0.0607 to 0.1245</w:t>
            </w:r>
          </w:p>
        </w:tc>
        <w:tc>
          <w:tcPr>
            <w:tcW w:w="1200" w:type="dxa"/>
            <w:vAlign w:val="center"/>
          </w:tcPr>
          <w:p>
            <w:pPr>
              <w:pStyle w:val="TableNumber"/>
            </w:pPr>
            <w:r>
              <w:t>54.81%</w:t>
            </w:r>
          </w:p>
        </w:tc>
        <w:tc>
          <w:tcPr>
            <w:tcW w:w="1060" w:type="dxa"/>
            <w:vAlign w:val="center"/>
          </w:tcPr>
          <w:p>
            <w:pPr>
              <w:pStyle w:val="TableNumber"/>
            </w:pPr>
            <w:r>
              <w:t>74.83%</w:t>
            </w:r>
          </w:p>
        </w:tc>
      </w:tr>
    </w:tbl>
    <w:p>
      <w:pPr>
        <w:pStyle w:val="Lead"/>
        <w:spacing w:before="160"/>
      </w:pPr>
      <w:r>
        <w:t>The year slices are 2025 and 2026, with sample counts 2025=106,394; 2026=427,933. Annual score, coverage, and correlation are affected by sample size and market composition; they are diagnostics, not proof of temporal extrapolation.</w:t>
      </w:r>
    </w:p>
    <w:p>
      <w:pPr>
        <w:pStyle w:val="11"/>
      </w:pPr>
      <w:r>
        <w:t>9. Risks and next stage</w:t>
      </w:r>
    </w:p>
    <w:p>
      <w:pPr>
        <w:pStyle w:val="Decision"/>
        <w:keepNext/>
        <w:spacing w:after="80"/>
      </w:pPr>
      <w:r>
        <w:t>Table 11 | Main limitations and required validation</w:t>
      </w:r>
    </w:p>
    <w:tbl>
      <w:tblPr>
        <w:tblStyle w:val="BenchmarkTable"/>
        <w:tblW w:w="9360" w:type="dxa"/>
        <w:tblLayout w:type="fixed"/>
      </w:tblPr>
      <w:tblGrid>
        <w:gridCol w:w="2500"/>
        <w:gridCol w:w="2900"/>
        <w:gridCol w:w="3960"/>
      </w:tblGrid>
      <w:tr>
        <w:trPr>
          <w:tblHeader/>
        </w:trPr>
        <w:tc>
          <w:tcPr>
            <w:tcW w:w="2500" w:type="dxa"/>
            <w:shd w:val="clear" w:fill="DCE6F1"/>
            <w:vAlign w:val="center"/>
          </w:tcPr>
          <w:p>
            <w:pPr>
              <w:pStyle w:val="TableHeader"/>
            </w:pPr>
            <w:r>
              <w:t>Risk</w:t>
            </w:r>
          </w:p>
        </w:tc>
        <w:tc>
          <w:tcPr>
            <w:tcW w:w="2900" w:type="dxa"/>
            <w:shd w:val="clear" w:fill="DCE6F1"/>
            <w:vAlign w:val="center"/>
          </w:tcPr>
          <w:p>
            <w:pPr>
              <w:pStyle w:val="TableHeader"/>
            </w:pPr>
            <w:r>
              <w:t>Current evidence</w:t>
            </w:r>
          </w:p>
        </w:tc>
        <w:tc>
          <w:tcPr>
            <w:tcW w:w="3960" w:type="dxa"/>
            <w:shd w:val="clear" w:fill="DCE6F1"/>
            <w:vAlign w:val="center"/>
          </w:tcPr>
          <w:p>
            <w:pPr>
              <w:pStyle w:val="TableHeader"/>
            </w:pPr>
            <w:r>
              <w:t>Next validation</w:t>
            </w:r>
          </w:p>
        </w:tc>
      </w:tr>
      <w:tr>
        <w:trPr>
          <w:cantSplit/>
        </w:trPr>
        <w:tc>
          <w:tcPr>
            <w:tcW w:w="2500" w:type="dxa"/>
            <w:vAlign w:val="center"/>
          </w:tcPr>
          <w:p>
            <w:pPr>
              <w:pStyle w:val="TableText"/>
            </w:pPr>
            <w:r>
              <w:t>Full test holdout</w:t>
            </w:r>
          </w:p>
        </w:tc>
        <w:tc>
          <w:tcPr>
            <w:tcW w:w="2900" w:type="dxa"/>
            <w:vAlign w:val="center"/>
          </w:tcPr>
          <w:p>
            <w:pPr>
              <w:pStyle w:val="TableText"/>
            </w:pPr>
            <w:r>
              <w:t>534,327 rows across 112 dates; checkpoint selected on validation</w:t>
            </w:r>
          </w:p>
        </w:tc>
        <w:tc>
          <w:tcPr>
            <w:tcW w:w="3960" w:type="dxa"/>
            <w:vAlign w:val="center"/>
          </w:tcPr>
          <w:p>
            <w:pPr>
              <w:pStyle w:val="TableText"/>
            </w:pPr>
            <w:r>
              <w:t>Keep the holdout isolated and pre-register membership and protocol</w:t>
            </w:r>
          </w:p>
        </w:tc>
      </w:tr>
      <w:tr>
        <w:trPr>
          <w:cantSplit/>
        </w:trPr>
        <w:tc>
          <w:tcPr>
            <w:tcW w:w="2500" w:type="dxa"/>
            <w:vAlign w:val="center"/>
          </w:tcPr>
          <w:p>
            <w:pPr>
              <w:pStyle w:val="TableText"/>
            </w:pPr>
            <w:r>
              <w:t>Single seed</w:t>
            </w:r>
          </w:p>
        </w:tc>
        <w:tc>
          <w:tcPr>
            <w:tcW w:w="2900" w:type="dxa"/>
            <w:vAlign w:val="center"/>
          </w:tcPr>
          <w:p>
            <w:pPr>
              <w:pStyle w:val="TableText"/>
            </w:pPr>
            <w:r>
              <w:t>seed=42</w:t>
            </w:r>
          </w:p>
        </w:tc>
        <w:tc>
          <w:tcPr>
            <w:tcW w:w="3960" w:type="dxa"/>
            <w:vAlign w:val="center"/>
          </w:tcPr>
          <w:p>
            <w:pPr>
              <w:pStyle w:val="TableText"/>
            </w:pPr>
            <w:r>
              <w:t>Report median, dispersion, and worst result across seeds</w:t>
            </w:r>
          </w:p>
        </w:tc>
      </w:tr>
      <w:tr>
        <w:trPr>
          <w:cantSplit/>
        </w:trPr>
        <w:tc>
          <w:tcPr>
            <w:tcW w:w="2500" w:type="dxa"/>
            <w:vAlign w:val="center"/>
          </w:tcPr>
          <w:p>
            <w:pPr>
              <w:pStyle w:val="TableText"/>
            </w:pPr>
            <w:r>
              <w:t xml:space="preserve">Intervals already calibrated</w:t>
            </w:r>
          </w:p>
        </w:tc>
        <w:tc>
          <w:tcPr>
            <w:tcW w:w="2900" w:type="dxa"/>
            <w:vAlign w:val="center"/>
          </w:tcPr>
          <w:p>
            <w:pPr>
              <w:pStyle w:val="TableText"/>
            </w:pPr>
            <w:r>
              <w:t xml:space="preserve">75.7978% → 77.1449%</w:t>
            </w:r>
          </w:p>
        </w:tc>
        <w:tc>
          <w:tcPr>
            <w:tcW w:w="3960" w:type="dxa"/>
            <w:vAlign w:val="center"/>
          </w:tcPr>
          <w:p>
            <w:pPr>
              <w:pStyle w:val="TableText"/>
            </w:pPr>
            <w:r>
              <w:t xml:space="preserve">Inspect market/horizon error and width; no universal target claim</w:t>
            </w:r>
          </w:p>
        </w:tc>
      </w:tr>
      <w:tr>
        <w:trPr>
          <w:cantSplit/>
        </w:trPr>
        <w:tc>
          <w:tcPr>
            <w:tcW w:w="2500" w:type="dxa"/>
            <w:vAlign w:val="center"/>
          </w:tcPr>
          <w:p>
            <w:pPr>
              <w:pStyle w:val="TableText"/>
            </w:pPr>
            <w:r>
              <w:t>Weak q50 association</w:t>
            </w:r>
          </w:p>
        </w:tc>
        <w:tc>
          <w:tcPr>
            <w:tcW w:w="2900" w:type="dxa"/>
            <w:vAlign w:val="center"/>
          </w:tcPr>
          <w:p>
            <w:pPr>
              <w:pStyle w:val="TableText"/>
            </w:pPr>
            <w:r>
              <w:t>0.0569 to 0.1268</w:t>
            </w:r>
          </w:p>
        </w:tc>
        <w:tc>
          <w:tcPr>
            <w:tcW w:w="3960" w:type="dxa"/>
            <w:vAlign w:val="center"/>
          </w:tcPr>
          <w:p>
            <w:pPr>
              <w:pStyle w:val="TableText"/>
            </w:pPr>
            <w:r>
              <w:t>Check ranking stability by provider, month, and market regime</w:t>
            </w:r>
          </w:p>
        </w:tc>
      </w:tr>
      <w:tr>
        <w:trPr>
          <w:cantSplit/>
        </w:trPr>
        <w:tc>
          <w:tcPr>
            <w:tcW w:w="2500" w:type="dxa"/>
            <w:vAlign w:val="center"/>
          </w:tcPr>
          <w:p>
            <w:pPr>
              <w:pStyle w:val="TableText"/>
            </w:pPr>
            <w:r>
              <w:t>Signal distribution</w:t>
            </w:r>
          </w:p>
        </w:tc>
        <w:tc>
          <w:tcPr>
            <w:tcW w:w="2900" w:type="dxa"/>
            <w:vAlign w:val="center"/>
          </w:tcPr>
          <w:p>
            <w:pPr>
              <w:pStyle w:val="TableText"/>
            </w:pPr>
            <w:r>
              <w:t>bearish 57.05% to 67.53%; neutral 0.00% to 0.00%</w:t>
            </w:r>
          </w:p>
        </w:tc>
        <w:tc>
          <w:tcPr>
            <w:tcW w:w="3960" w:type="dxa"/>
            <w:vAlign w:val="center"/>
          </w:tcPr>
          <w:p>
            <w:pPr>
              <w:pStyle w:val="TableText"/>
            </w:pPr>
            <w:r>
              <w:t>Fix threshold and position mapping per horizon; labels are not probabilities</w:t>
            </w:r>
          </w:p>
        </w:tc>
      </w:tr>
      <w:tr>
        <w:trPr>
          <w:cantSplit/>
        </w:trPr>
        <w:tc>
          <w:tcPr>
            <w:tcW w:w="2500" w:type="dxa"/>
            <w:vAlign w:val="center"/>
          </w:tcPr>
          <w:p>
            <w:pPr>
              <w:pStyle w:val="TableText"/>
            </w:pPr>
            <w:r>
              <w:t xml:space="preserve">Legacy capital-path values</w:t>
            </w:r>
          </w:p>
        </w:tc>
        <w:tc>
          <w:tcPr>
            <w:tcW w:w="2900" w:type="dxa"/>
            <w:vAlign w:val="center"/>
          </w:tcPr>
          <w:p>
            <w:pPr>
              <w:pStyle w:val="TableText"/>
            </w:pPr>
            <w:r>
              <w:t xml:space="preserve">Original drawdown retained in Table 9; scales inconsistent</w:t>
            </w:r>
          </w:p>
        </w:tc>
        <w:tc>
          <w:tcPr>
            <w:tcW w:w="3960" w:type="dxa"/>
            <w:vAlign w:val="center"/>
          </w:tcPr>
          <w:p>
            <w:pPr>
              <w:pStyle w:val="TableText"/>
            </w:pPr>
            <w:r>
              <w:t xml:space="preserve">Correct and recompute before exposure or drawdown gates</w:t>
            </w:r>
          </w:p>
        </w:tc>
      </w:tr>
      <w:tr>
        <w:trPr>
          <w:cantSplit/>
        </w:trPr>
        <w:tc>
          <w:tcPr>
            <w:tcW w:w="2500" w:type="dxa"/>
            <w:vAlign w:val="center"/>
          </w:tcPr>
          <w:p>
            <w:pPr>
              <w:pStyle w:val="TableText"/>
            </w:pPr>
            <w:r>
              <w:t>Provider heterogeneity</w:t>
            </w:r>
          </w:p>
        </w:tc>
        <w:tc>
          <w:tcPr>
            <w:tcW w:w="2900" w:type="dxa"/>
            <w:vAlign w:val="center"/>
          </w:tcPr>
          <w:p>
            <w:pPr>
              <w:pStyle w:val="TableText"/>
            </w:pPr>
            <w:r>
              <w:t>Mean provider coverage ranges from 69.52% to 77.05%</w:t>
            </w:r>
          </w:p>
        </w:tc>
        <w:tc>
          <w:tcPr>
            <w:tcW w:w="3960" w:type="dxa"/>
            <w:vAlign w:val="center"/>
          </w:tcPr>
          <w:p>
            <w:pPr>
              <w:pStyle w:val="TableText"/>
            </w:pPr>
            <w:r>
              <w:t>Audit data, samples, and calibration per provider</w:t>
            </w:r>
          </w:p>
        </w:tc>
      </w:tr>
      <w:tr>
        <w:trPr>
          <w:cantSplit/>
        </w:trPr>
        <w:tc>
          <w:tcPr>
            <w:tcW w:w="2500" w:type="dxa"/>
            <w:vAlign w:val="center"/>
          </w:tcPr>
          <w:p>
            <w:pPr>
              <w:pStyle w:val="TableText"/>
            </w:pPr>
            <w:r>
              <w:t>Uneven year samples</w:t>
            </w:r>
          </w:p>
        </w:tc>
        <w:tc>
          <w:tcPr>
            <w:tcW w:w="2900" w:type="dxa"/>
            <w:vAlign w:val="center"/>
          </w:tcPr>
          <w:p>
            <w:pPr>
              <w:pStyle w:val="TableText"/>
            </w:pPr>
            <w:r>
              <w:t>2025=106,394; 2026=427,933</w:t>
            </w:r>
          </w:p>
        </w:tc>
        <w:tc>
          <w:tcPr>
            <w:tcW w:w="3960" w:type="dxa"/>
            <w:vAlign w:val="center"/>
          </w:tcPr>
          <w:p>
            <w:pPr>
              <w:pStyle w:val="TableText"/>
            </w:pPr>
            <w:r>
              <w:t>Add rolling, regime, and complete-year holdouts</w:t>
            </w:r>
          </w:p>
        </w:tc>
      </w:tr>
      <w:tr>
        <w:trPr>
          <w:cantSplit/>
        </w:trPr>
        <w:tc>
          <w:tcPr>
            <w:tcW w:w="2500" w:type="dxa"/>
            <w:vAlign w:val="center"/>
          </w:tcPr>
          <w:p>
            <w:pPr>
              <w:pStyle w:val="TableText"/>
            </w:pPr>
            <w:r>
              <w:t xml:space="preserve">Return/cost capital scales</w:t>
            </w:r>
          </w:p>
        </w:tc>
        <w:tc>
          <w:tcPr>
            <w:tcW w:w="2900" w:type="dxa"/>
            <w:vAlign w:val="center"/>
          </w:tcPr>
          <w:p>
            <w:pPr>
              <w:pStyle w:val="TableText"/>
            </w:pPr>
            <w:r>
              <w:t xml:space="preserve">+0.5 / −0.5 weights; gross missing 0.5</w:t>
            </w:r>
          </w:p>
        </w:tc>
        <w:tc>
          <w:tcPr>
            <w:tcW w:w="3960" w:type="dxa"/>
            <w:vAlign w:val="center"/>
          </w:tcPr>
          <w:p>
            <w:pPr>
              <w:pStyle w:val="TableText"/>
            </w:pPr>
            <w:r>
              <w:t xml:space="preserve">Recompute sequence, overlaps and realized PnL; do not simply halve</w:t>
            </w:r>
          </w:p>
        </w:tc>
      </w:tr>
      <w:tr>
        <w:trPr>
          <w:cantSplit/>
        </w:trPr>
        <w:tc>
          <w:tcPr>
            <w:tcW w:w="2500" w:type="dxa"/>
            <w:vAlign w:val="center"/>
          </w:tcPr>
          <w:p>
            <w:pPr>
              <w:pStyle w:val="TableText"/>
            </w:pPr>
            <w:r>
              <w:t xml:space="preserve">Direction baseline</w:t>
            </w:r>
          </w:p>
        </w:tc>
        <w:tc>
          <w:tcPr>
            <w:tcW w:w="2900" w:type="dxa"/>
            <w:vAlign w:val="center"/>
          </w:tcPr>
          <w:p>
            <w:pPr>
              <w:pStyle w:val="TableText"/>
            </w:pPr>
            <w:r>
              <w:t xml:space="preserve">always_buy = zero_return training-fixed distribution</w:t>
            </w:r>
          </w:p>
        </w:tc>
        <w:tc>
          <w:tcPr>
            <w:tcW w:w="3960" w:type="dxa"/>
            <w:vAlign w:val="center"/>
          </w:tcPr>
          <w:p>
            <w:pPr>
              <w:pStyle w:val="TableText"/>
            </w:pPr>
            <w:r>
              <w:t xml:space="preserve">Compare percentage-point gaps and future paired intervals</w:t>
            </w:r>
          </w:p>
        </w:tc>
      </w:tr>
      <w:tr>
        <w:trPr>
          <w:cantSplit/>
        </w:trPr>
        <w:tc>
          <w:tcPr>
            <w:tcW w:w="2500" w:type="dxa"/>
            <w:vAlign w:val="center"/>
          </w:tcPr>
          <w:p>
            <w:pPr>
              <w:pStyle w:val="TableText"/>
            </w:pPr>
            <w:r>
              <w:t xml:space="preserve">Fair head comparison</w:t>
            </w:r>
          </w:p>
        </w:tc>
        <w:tc>
          <w:tcPr>
            <w:tcW w:w="2900" w:type="dxa"/>
            <w:vAlign w:val="center"/>
          </w:tcPr>
          <w:p>
            <w:pPr>
              <w:pStyle w:val="TableText"/>
            </w:pPr>
            <w:r>
              <w:t xml:space="preserve">Pooled q50 versus market-specific ranking head</w:t>
            </w:r>
          </w:p>
        </w:tc>
        <w:tc>
          <w:tcPr>
            <w:tcW w:w="3960" w:type="dxa"/>
            <w:vAlign w:val="center"/>
          </w:tcPr>
          <w:p>
            <w:pPr>
              <w:pStyle w:val="TableText"/>
            </w:pPr>
            <w:r>
              <w:t xml:space="preserve">Same-market same-date q50 comparator is missing</w:t>
            </w:r>
          </w:p>
        </w:tc>
      </w:tr>
    </w:tbl>
    <w:p>
      <w:pPr>
        <w:pStyle w:val="Lead"/>
        <w:spacing w:before="160"/>
      </w:pPr>
      <w:r>
        <w:t xml:space="preserve">Final assessment: distribution and interval calibration have descriptive test evidence; direction and ranking require separate judgments. Cost-adjusted strategy metrics are not formal performance until the evaluator is corrected and recomputed. The following four conclusions are independent.</w:t>
      </w:r>
    </w:p>
    <w:p>
      <w:pPr>
        <w:pStyle w:val="21"/>
      </w:pPr>
      <w:r>
        <w:t xml:space="preserve">Has distribution prediction improved</w:t>
      </w:r>
    </w:p>
    <w:p>
      <w:pPr>
        <w:pStyle w:val="a"/>
      </w:pPr>
      <w:r>
        <w:t xml:space="preserve">Raw normalized pinball 0.293823 is 5.06% below the training-fixed distribution 0.309493. Existing interval calibration changes it to 0.293445, and coverage from 75.7978% to 77.1449%. This is descriptive holdout distribution and interval improvement, not proof of calibrated performance in every market or improved direction.</w:t>
      </w:r>
    </w:p>
    <w:p>
      <w:pPr>
        <w:pStyle w:val="21"/>
      </w:pPr>
      <w:r>
        <w:t xml:space="preserve">Does direction beat the fixed baseline</w:t>
      </w:r>
    </w:p>
    <w:p>
      <w:pPr>
        <w:pStyle w:val="a"/>
      </w:pPr>
      <w:r>
        <w:t xml:space="preserve">Only 5/14 horizons exceed the training-fixed unconditional distribution. Differences range from -1.1935 to +0.2055 percentage points. There is no broad directional advantage. No paired confidence intervals establish significance for the small positive differences. Direction is the sign of benchmark-relative alpha, not stock-price movement.</w:t>
      </w:r>
    </w:p>
    <w:p>
      <w:pPr>
        <w:pStyle w:val="21"/>
      </w:pPr>
      <w:r>
        <w:t xml:space="preserve">Is there stock-ranking evidence</w:t>
      </w:r>
    </w:p>
    <w:p>
      <w:pPr>
        <w:pStyle w:val="a"/>
      </w:pPr>
      <w:r>
        <w:t xml:space="preserve">Pooled-market q50 RankIC and market-specific independent-head RankIC show positive mean ordering association. This is descriptive stock-selection evidence. Different grouping populations prevent a head-to-head superiority claim, while one seed and roughly one hundred dates do not establish stable tradability.</w:t>
      </w:r>
    </w:p>
    <w:p>
      <w:pPr>
        <w:pStyle w:val="21"/>
      </w:pPr>
      <w:r>
        <w:t xml:space="preserve">Is strategy performance currently reliable</w:t>
      </w:r>
    </w:p>
    <w:p>
      <w:pPr>
        <w:pStyle w:val="a"/>
      </w:pPr>
      <w:r>
        <w:t xml:space="preserve">No, not as formal strategy performance. Positions and turnover use a different capital scale from gross return, and multi-day forward alpha labels overlap. Correct the evaluator and recompute the complete sequence, then address realized portfolio PnL, overlapping holdings and trading constraints. Existing Sharpe, drawdown and net returns are retained for version traceability only; they do not support deployment or strategy superiority.</w:t>
      </w:r>
    </w:p>
    <w:p>
      <w:pPr>
        <w:pStyle w:val="11"/>
      </w:pPr>
      <w:r>
        <w:t>Appendix A Complete model ranking</w:t>
      </w:r>
    </w:p>
    <w:tbl>
      <w:tblPr>
        <w:tblStyle w:val="BenchmarkTable"/>
        <w:tblW w:w="9360" w:type="dxa"/>
        <w:tblLayout w:type="fixed"/>
      </w:tblPr>
      <w:tblGrid>
        <w:gridCol w:w="650"/>
        <w:gridCol w:w="2800"/>
        <w:gridCol w:w="1900"/>
        <w:gridCol w:w="1330"/>
        <w:gridCol w:w="1330"/>
        <w:gridCol w:w="1350"/>
      </w:tblGrid>
      <w:tr>
        <w:trPr>
          <w:tblHeader/>
        </w:trPr>
        <w:tc>
          <w:tcPr>
            <w:tcW w:w="650" w:type="dxa"/>
            <w:shd w:val="clear" w:fill="DCE6F1"/>
            <w:vAlign w:val="center"/>
          </w:tcPr>
          <w:p>
            <w:pPr>
              <w:pStyle w:val="TableHeader"/>
            </w:pPr>
            <w:r>
              <w:t>Rank</w:t>
            </w:r>
          </w:p>
        </w:tc>
        <w:tc>
          <w:tcPr>
            <w:tcW w:w="2800" w:type="dxa"/>
            <w:shd w:val="clear" w:fill="DCE6F1"/>
            <w:vAlign w:val="center"/>
          </w:tcPr>
          <w:p>
            <w:pPr>
              <w:pStyle w:val="TableHeader"/>
            </w:pPr>
            <w:r>
              <w:t>Model</w:t>
            </w:r>
          </w:p>
        </w:tc>
        <w:tc>
          <w:tcPr>
            <w:tcW w:w="1900" w:type="dxa"/>
            <w:shd w:val="clear" w:fill="DCE6F1"/>
            <w:vAlign w:val="center"/>
          </w:tcPr>
          <w:p>
            <w:pPr>
              <w:pStyle w:val="TableHeader"/>
            </w:pPr>
            <w:r>
              <w:t>Days 1–14 score</w:t>
            </w:r>
          </w:p>
        </w:tc>
        <w:tc>
          <w:tcPr>
            <w:tcW w:w="1330" w:type="dxa"/>
            <w:shd w:val="clear" w:fill="DCE6F1"/>
            <w:vAlign w:val="center"/>
          </w:tcPr>
          <w:p>
            <w:pPr>
              <w:pStyle w:val="TableHeader"/>
            </w:pPr>
            <w:r>
              <w:t xml:space="preserve">14H Coverage</w:t>
            </w:r>
          </w:p>
        </w:tc>
        <w:tc>
          <w:tcPr>
            <w:tcW w:w="1330" w:type="dxa"/>
            <w:shd w:val="clear" w:fill="DCE6F1"/>
            <w:vAlign w:val="center"/>
          </w:tcPr>
          <w:p>
            <w:pPr>
              <w:pStyle w:val="TableHeader"/>
            </w:pPr>
            <w:r>
              <w:t xml:space="preserve">14H mean q50 corr.</w:t>
            </w:r>
          </w:p>
        </w:tc>
        <w:tc>
          <w:tcPr>
            <w:tcW w:w="1350" w:type="dxa"/>
            <w:shd w:val="clear" w:fill="DCE6F1"/>
            <w:vAlign w:val="center"/>
          </w:tcPr>
          <w:p>
            <w:pPr>
              <w:pStyle w:val="TableHeader"/>
            </w:pPr>
            <w:r>
              <w:t xml:space="preserve">5d q50 RankIC</w:t>
            </w:r>
          </w:p>
        </w:tc>
      </w:tr>
      <w:tr>
        <w:trPr>
          <w:cantSplit/>
        </w:trPr>
        <w:tc>
          <w:tcPr>
            <w:tcW w:w="650" w:type="dxa"/>
            <w:shd w:val="clear" w:fill="EDF5FC"/>
            <w:vAlign w:val="center"/>
          </w:tcPr>
          <w:p>
            <w:pPr>
              <w:pStyle w:val="TableNumber"/>
            </w:pPr>
            <w:r>
              <w:t>1</w:t>
            </w:r>
          </w:p>
        </w:tc>
        <w:tc>
          <w:tcPr>
            <w:tcW w:w="2800" w:type="dxa"/>
            <w:shd w:val="clear" w:fill="EDF5FC"/>
            <w:vAlign w:val="center"/>
          </w:tcPr>
          <w:p>
            <w:pPr>
              <w:pStyle w:val="TableText"/>
            </w:pPr>
            <w:r>
              <w:t>Compact PatchTST</w:t>
            </w:r>
          </w:p>
        </w:tc>
        <w:tc>
          <w:tcPr>
            <w:tcW w:w="1900" w:type="dxa"/>
            <w:shd w:val="clear" w:fill="EDF5FC"/>
            <w:vAlign w:val="center"/>
          </w:tcPr>
          <w:p>
            <w:pPr>
              <w:pStyle w:val="TableNumber"/>
            </w:pPr>
            <w:r>
              <w:t>0.293639</w:t>
            </w:r>
          </w:p>
        </w:tc>
        <w:tc>
          <w:tcPr>
            <w:tcW w:w="1330" w:type="dxa"/>
            <w:shd w:val="clear" w:fill="EDF5FC"/>
            <w:vAlign w:val="center"/>
          </w:tcPr>
          <w:p>
            <w:pPr>
              <w:pStyle w:val="TableNumber"/>
            </w:pPr>
            <w:r>
              <w:t xml:space="preserve">77.33%</w:t>
            </w:r>
          </w:p>
        </w:tc>
        <w:tc>
          <w:tcPr>
            <w:tcW w:w="1330" w:type="dxa"/>
            <w:shd w:val="clear" w:fill="EDF5FC"/>
            <w:vAlign w:val="center"/>
          </w:tcPr>
          <w:p>
            <w:pPr>
              <w:pStyle w:val="TableNumber"/>
            </w:pPr>
            <w:r>
              <w:t xml:space="preserve">0.0858</w:t>
            </w:r>
          </w:p>
        </w:tc>
        <w:tc>
          <w:tcPr>
            <w:tcW w:w="1350" w:type="dxa"/>
            <w:shd w:val="clear" w:fill="EDF5FC"/>
            <w:vAlign w:val="center"/>
          </w:tcPr>
          <w:p>
            <w:pPr>
              <w:pStyle w:val="TableNumber"/>
            </w:pPr>
            <w:r>
              <w:t>0.0762</w:t>
            </w:r>
          </w:p>
        </w:tc>
      </w:tr>
      <w:tr>
        <w:trPr>
          <w:cantSplit/>
        </w:trPr>
        <w:tc>
          <w:tcPr>
            <w:tcW w:w="650" w:type="dxa"/>
            <w:vAlign w:val="center"/>
          </w:tcPr>
          <w:p>
            <w:pPr>
              <w:pStyle w:val="TableNumber"/>
            </w:pPr>
            <w:r>
              <w:t>2</w:t>
            </w:r>
          </w:p>
        </w:tc>
        <w:tc>
          <w:tcPr>
            <w:tcW w:w="2800" w:type="dxa"/>
            <w:vAlign w:val="center"/>
          </w:tcPr>
          <w:p>
            <w:pPr>
              <w:pStyle w:val="TableText"/>
            </w:pPr>
            <w:r>
              <w:t>Kronos-base + LoRA</w:t>
            </w:r>
          </w:p>
        </w:tc>
        <w:tc>
          <w:tcPr>
            <w:tcW w:w="1900" w:type="dxa"/>
            <w:vAlign w:val="center"/>
          </w:tcPr>
          <w:p>
            <w:pPr>
              <w:pStyle w:val="TableNumber"/>
            </w:pPr>
            <w:r>
              <w:t>0.293823</w:t>
            </w:r>
          </w:p>
        </w:tc>
        <w:tc>
          <w:tcPr>
            <w:tcW w:w="1330" w:type="dxa"/>
            <w:vAlign w:val="center"/>
          </w:tcPr>
          <w:p>
            <w:pPr>
              <w:pStyle w:val="TableNumber"/>
            </w:pPr>
            <w:r>
              <w:t xml:space="preserve">75.80%</w:t>
            </w:r>
          </w:p>
        </w:tc>
        <w:tc>
          <w:tcPr>
            <w:tcW w:w="1330" w:type="dxa"/>
            <w:vAlign w:val="center"/>
          </w:tcPr>
          <w:p>
            <w:pPr>
              <w:pStyle w:val="TableNumber"/>
            </w:pPr>
            <w:r>
              <w:t xml:space="preserve">0.0979</w:t>
            </w:r>
          </w:p>
        </w:tc>
        <w:tc>
          <w:tcPr>
            <w:tcW w:w="1350" w:type="dxa"/>
            <w:vAlign w:val="center"/>
          </w:tcPr>
          <w:p>
            <w:pPr>
              <w:pStyle w:val="TableNumber"/>
            </w:pPr>
            <w:r>
              <w:t>0.0936</w:t>
            </w:r>
          </w:p>
        </w:tc>
      </w:tr>
      <w:tr>
        <w:trPr>
          <w:cantSplit/>
        </w:trPr>
        <w:tc>
          <w:tcPr>
            <w:tcW w:w="650" w:type="dxa"/>
            <w:vAlign w:val="center"/>
          </w:tcPr>
          <w:p>
            <w:pPr>
              <w:pStyle w:val="TableNumber"/>
            </w:pPr>
            <w:r>
              <w:t>3</w:t>
            </w:r>
          </w:p>
        </w:tc>
        <w:tc>
          <w:tcPr>
            <w:tcW w:w="2800" w:type="dxa"/>
            <w:vAlign w:val="center"/>
          </w:tcPr>
          <w:p>
            <w:pPr>
              <w:pStyle w:val="TableText"/>
            </w:pPr>
            <w:r>
              <w:t>Paired GRU</w:t>
            </w:r>
          </w:p>
        </w:tc>
        <w:tc>
          <w:tcPr>
            <w:tcW w:w="1900" w:type="dxa"/>
            <w:vAlign w:val="center"/>
          </w:tcPr>
          <w:p>
            <w:pPr>
              <w:pStyle w:val="TableNumber"/>
            </w:pPr>
            <w:r>
              <w:t>0.293948</w:t>
            </w:r>
          </w:p>
        </w:tc>
        <w:tc>
          <w:tcPr>
            <w:tcW w:w="1330" w:type="dxa"/>
            <w:vAlign w:val="center"/>
          </w:tcPr>
          <w:p>
            <w:pPr>
              <w:pStyle w:val="TableNumber"/>
            </w:pPr>
            <w:r>
              <w:t xml:space="preserve">75.40%</w:t>
            </w:r>
          </w:p>
        </w:tc>
        <w:tc>
          <w:tcPr>
            <w:tcW w:w="1330" w:type="dxa"/>
            <w:vAlign w:val="center"/>
          </w:tcPr>
          <w:p>
            <w:pPr>
              <w:pStyle w:val="TableNumber"/>
            </w:pPr>
            <w:r>
              <w:t xml:space="preserve">0.0950</w:t>
            </w:r>
          </w:p>
        </w:tc>
        <w:tc>
          <w:tcPr>
            <w:tcW w:w="1350" w:type="dxa"/>
            <w:vAlign w:val="center"/>
          </w:tcPr>
          <w:p>
            <w:pPr>
              <w:pStyle w:val="TableNumber"/>
            </w:pPr>
            <w:r>
              <w:t>0.0631</w:t>
            </w:r>
          </w:p>
        </w:tc>
      </w:tr>
      <w:tr>
        <w:trPr>
          <w:cantSplit/>
        </w:trPr>
        <w:tc>
          <w:tcPr>
            <w:tcW w:w="650" w:type="dxa"/>
            <w:vAlign w:val="center"/>
          </w:tcPr>
          <w:p>
            <w:pPr>
              <w:pStyle w:val="TableNumber"/>
            </w:pPr>
            <w:r>
              <w:t>4</w:t>
            </w:r>
          </w:p>
        </w:tc>
        <w:tc>
          <w:tcPr>
            <w:tcW w:w="2800" w:type="dxa"/>
            <w:vAlign w:val="center"/>
          </w:tcPr>
          <w:p>
            <w:pPr>
              <w:pStyle w:val="TableText"/>
            </w:pPr>
            <w:r>
              <w:t>Quantile GBDT</w:t>
            </w:r>
          </w:p>
        </w:tc>
        <w:tc>
          <w:tcPr>
            <w:tcW w:w="1900" w:type="dxa"/>
            <w:vAlign w:val="center"/>
          </w:tcPr>
          <w:p>
            <w:pPr>
              <w:pStyle w:val="TableNumber"/>
            </w:pPr>
            <w:r>
              <w:t>0.294929</w:t>
            </w:r>
          </w:p>
        </w:tc>
        <w:tc>
          <w:tcPr>
            <w:tcW w:w="1330" w:type="dxa"/>
            <w:vAlign w:val="center"/>
          </w:tcPr>
          <w:p>
            <w:pPr>
              <w:pStyle w:val="TableNumber"/>
            </w:pPr>
            <w:r>
              <w:t xml:space="preserve">74.98%</w:t>
            </w:r>
          </w:p>
        </w:tc>
        <w:tc>
          <w:tcPr>
            <w:tcW w:w="1330" w:type="dxa"/>
            <w:vAlign w:val="center"/>
          </w:tcPr>
          <w:p>
            <w:pPr>
              <w:pStyle w:val="TableNumber"/>
            </w:pPr>
            <w:r>
              <w:t xml:space="preserve">0.0498</w:t>
            </w:r>
          </w:p>
        </w:tc>
        <w:tc>
          <w:tcPr>
            <w:tcW w:w="1350" w:type="dxa"/>
            <w:vAlign w:val="center"/>
          </w:tcPr>
          <w:p>
            <w:pPr>
              <w:pStyle w:val="TableNumber"/>
            </w:pPr>
            <w:r>
              <w:t>0.0198</w:t>
            </w:r>
          </w:p>
        </w:tc>
      </w:tr>
      <w:tr>
        <w:trPr>
          <w:cantSplit/>
        </w:trPr>
        <w:tc>
          <w:tcPr>
            <w:tcW w:w="650" w:type="dxa"/>
            <w:vAlign w:val="center"/>
          </w:tcPr>
          <w:p>
            <w:pPr>
              <w:pStyle w:val="TableNumber"/>
            </w:pPr>
            <w:r>
              <w:t>5</w:t>
            </w:r>
          </w:p>
        </w:tc>
        <w:tc>
          <w:tcPr>
            <w:tcW w:w="2800" w:type="dxa"/>
            <w:vAlign w:val="center"/>
          </w:tcPr>
          <w:p>
            <w:pPr>
              <w:pStyle w:val="TableText"/>
            </w:pPr>
            <w:r>
              <w:t xml:space="preserve">always_buy</w:t>
              <w:br/>
              <w:t xml:space="preserve">Fixed training distribution</w:t>
            </w:r>
          </w:p>
        </w:tc>
        <w:tc>
          <w:tcPr>
            <w:tcW w:w="1900" w:type="dxa"/>
            <w:vAlign w:val="center"/>
          </w:tcPr>
          <w:p>
            <w:pPr>
              <w:pStyle w:val="TableNumber"/>
            </w:pPr>
            <w:r>
              <w:t>0.309493</w:t>
            </w:r>
          </w:p>
        </w:tc>
        <w:tc>
          <w:tcPr>
            <w:tcW w:w="1330" w:type="dxa"/>
            <w:vAlign w:val="center"/>
          </w:tcPr>
          <w:p>
            <w:pPr>
              <w:pStyle w:val="TableNumber"/>
            </w:pPr>
            <w:r>
              <w:t xml:space="preserve">75.08%</w:t>
            </w:r>
          </w:p>
        </w:tc>
        <w:tc>
          <w:tcPr>
            <w:tcW w:w="1330" w:type="dxa"/>
            <w:vAlign w:val="center"/>
          </w:tcPr>
          <w:p>
            <w:pPr>
              <w:pStyle w:val="TableNumber"/>
            </w:pPr>
            <w:r>
              <w:t xml:space="preserve">N/A fixed forecast</w:t>
            </w:r>
          </w:p>
        </w:tc>
        <w:tc>
          <w:tcPr>
            <w:tcW w:w="1350" w:type="dxa"/>
            <w:vAlign w:val="center"/>
          </w:tcPr>
          <w:p>
            <w:pPr>
              <w:pStyle w:val="TableNumber"/>
            </w:pPr>
            <w:r>
              <w:t>0.0000</w:t>
            </w:r>
          </w:p>
        </w:tc>
      </w:tr>
      <w:tr>
        <w:trPr>
          <w:cantSplit/>
        </w:trPr>
        <w:tc>
          <w:tcPr>
            <w:tcW w:w="650" w:type="dxa"/>
            <w:vAlign w:val="center"/>
          </w:tcPr>
          <w:p>
            <w:pPr>
              <w:pStyle w:val="TableNumber"/>
            </w:pPr>
            <w:r>
              <w:t>6</w:t>
            </w:r>
          </w:p>
        </w:tc>
        <w:tc>
          <w:tcPr>
            <w:tcW w:w="2800" w:type="dxa"/>
            <w:vAlign w:val="center"/>
          </w:tcPr>
          <w:p>
            <w:pPr>
              <w:pStyle w:val="TableText"/>
            </w:pPr>
            <w:r>
              <w:t xml:space="preserve">zero_return</w:t>
              <w:br/>
              <w:t xml:space="preserve">Fixed training distribution</w:t>
            </w:r>
          </w:p>
        </w:tc>
        <w:tc>
          <w:tcPr>
            <w:tcW w:w="1900" w:type="dxa"/>
            <w:vAlign w:val="center"/>
          </w:tcPr>
          <w:p>
            <w:pPr>
              <w:pStyle w:val="TableNumber"/>
            </w:pPr>
            <w:r>
              <w:t>0.309493</w:t>
            </w:r>
          </w:p>
        </w:tc>
        <w:tc>
          <w:tcPr>
            <w:tcW w:w="1330" w:type="dxa"/>
            <w:vAlign w:val="center"/>
          </w:tcPr>
          <w:p>
            <w:pPr>
              <w:pStyle w:val="TableNumber"/>
            </w:pPr>
            <w:r>
              <w:t xml:space="preserve">75.08%</w:t>
            </w:r>
          </w:p>
        </w:tc>
        <w:tc>
          <w:tcPr>
            <w:tcW w:w="1330" w:type="dxa"/>
            <w:vAlign w:val="center"/>
          </w:tcPr>
          <w:p>
            <w:pPr>
              <w:pStyle w:val="TableNumber"/>
            </w:pPr>
            <w:r>
              <w:t xml:space="preserve">N/A fixed forecast</w:t>
            </w:r>
          </w:p>
        </w:tc>
        <w:tc>
          <w:tcPr>
            <w:tcW w:w="1350" w:type="dxa"/>
            <w:vAlign w:val="center"/>
          </w:tcPr>
          <w:p>
            <w:pPr>
              <w:pStyle w:val="TableNumber"/>
            </w:pPr>
            <w:r>
              <w:t>0.0000</w:t>
            </w:r>
          </w:p>
        </w:tc>
      </w:tr>
      <w:tr>
        <w:trPr>
          <w:cantSplit/>
        </w:trPr>
        <w:tc>
          <w:tcPr>
            <w:tcW w:w="650" w:type="dxa"/>
            <w:vAlign w:val="center"/>
          </w:tcPr>
          <w:p>
            <w:pPr>
              <w:pStyle w:val="TableNumber"/>
            </w:pPr>
            <w:r>
              <w:t>7</w:t>
            </w:r>
          </w:p>
        </w:tc>
        <w:tc>
          <w:tcPr>
            <w:tcW w:w="2800" w:type="dxa"/>
            <w:vAlign w:val="center"/>
          </w:tcPr>
          <w:p>
            <w:pPr>
              <w:pStyle w:val="TableText"/>
            </w:pPr>
            <w:r>
              <w:t>MACD rule</w:t>
            </w:r>
          </w:p>
        </w:tc>
        <w:tc>
          <w:tcPr>
            <w:tcW w:w="1900" w:type="dxa"/>
            <w:vAlign w:val="center"/>
          </w:tcPr>
          <w:p>
            <w:pPr>
              <w:pStyle w:val="TableNumber"/>
            </w:pPr>
            <w:r>
              <w:t>0.311108</w:t>
            </w:r>
          </w:p>
        </w:tc>
        <w:tc>
          <w:tcPr>
            <w:tcW w:w="1330" w:type="dxa"/>
            <w:vAlign w:val="center"/>
          </w:tcPr>
          <w:p>
            <w:pPr>
              <w:pStyle w:val="TableNumber"/>
            </w:pPr>
            <w:r>
              <w:t xml:space="preserve">75.11%</w:t>
            </w:r>
          </w:p>
        </w:tc>
        <w:tc>
          <w:tcPr>
            <w:tcW w:w="1330" w:type="dxa"/>
            <w:vAlign w:val="center"/>
          </w:tcPr>
          <w:p>
            <w:pPr>
              <w:pStyle w:val="TableNumber"/>
            </w:pPr>
            <w:r>
              <w:t xml:space="preserve">-0.0119</w:t>
            </w:r>
          </w:p>
        </w:tc>
        <w:tc>
          <w:tcPr>
            <w:tcW w:w="1350" w:type="dxa"/>
            <w:vAlign w:val="center"/>
          </w:tcPr>
          <w:p>
            <w:pPr>
              <w:pStyle w:val="TableNumber"/>
            </w:pPr>
            <w:r>
              <w:t>0.0015</w:t>
            </w:r>
          </w:p>
        </w:tc>
      </w:tr>
      <w:tr>
        <w:trPr>
          <w:cantSplit/>
        </w:trPr>
        <w:tc>
          <w:tcPr>
            <w:tcW w:w="650" w:type="dxa"/>
            <w:vAlign w:val="center"/>
          </w:tcPr>
          <w:p>
            <w:pPr>
              <w:pStyle w:val="TableNumber"/>
            </w:pPr>
            <w:r>
              <w:t>8</w:t>
            </w:r>
          </w:p>
        </w:tc>
        <w:tc>
          <w:tcPr>
            <w:tcW w:w="2800" w:type="dxa"/>
            <w:vAlign w:val="center"/>
          </w:tcPr>
          <w:p>
            <w:pPr>
              <w:pStyle w:val="TableText"/>
            </w:pPr>
            <w:r>
              <w:t>DLinear</w:t>
            </w:r>
          </w:p>
        </w:tc>
        <w:tc>
          <w:tcPr>
            <w:tcW w:w="1900" w:type="dxa"/>
            <w:vAlign w:val="center"/>
          </w:tcPr>
          <w:p>
            <w:pPr>
              <w:pStyle w:val="TableNumber"/>
            </w:pPr>
            <w:r>
              <w:t>0.313656</w:t>
            </w:r>
          </w:p>
        </w:tc>
        <w:tc>
          <w:tcPr>
            <w:tcW w:w="1330" w:type="dxa"/>
            <w:vAlign w:val="center"/>
          </w:tcPr>
          <w:p>
            <w:pPr>
              <w:pStyle w:val="TableNumber"/>
            </w:pPr>
            <w:r>
              <w:t xml:space="preserve">73.17%</w:t>
            </w:r>
          </w:p>
        </w:tc>
        <w:tc>
          <w:tcPr>
            <w:tcW w:w="1330" w:type="dxa"/>
            <w:vAlign w:val="center"/>
          </w:tcPr>
          <w:p>
            <w:pPr>
              <w:pStyle w:val="TableNumber"/>
            </w:pPr>
            <w:r>
              <w:t xml:space="preserve">0.0075</w:t>
            </w:r>
          </w:p>
        </w:tc>
        <w:tc>
          <w:tcPr>
            <w:tcW w:w="1350" w:type="dxa"/>
            <w:vAlign w:val="center"/>
          </w:tcPr>
          <w:p>
            <w:pPr>
              <w:pStyle w:val="TableNumber"/>
            </w:pPr>
            <w:r>
              <w:t>0.0123</w:t>
            </w:r>
          </w:p>
        </w:tc>
      </w:tr>
      <w:tr>
        <w:trPr>
          <w:cantSplit/>
        </w:trPr>
        <w:tc>
          <w:tcPr>
            <w:tcW w:w="650" w:type="dxa"/>
            <w:vAlign w:val="center"/>
          </w:tcPr>
          <w:p>
            <w:pPr>
              <w:pStyle w:val="TableNumber"/>
            </w:pPr>
            <w:r>
              <w:t>9</w:t>
            </w:r>
          </w:p>
        </w:tc>
        <w:tc>
          <w:tcPr>
            <w:tcW w:w="2800" w:type="dxa"/>
            <w:vAlign w:val="center"/>
          </w:tcPr>
          <w:p>
            <w:pPr>
              <w:pStyle w:val="TableText"/>
            </w:pPr>
            <w:r>
              <w:t>Moving-average crossover</w:t>
            </w:r>
          </w:p>
        </w:tc>
        <w:tc>
          <w:tcPr>
            <w:tcW w:w="1900" w:type="dxa"/>
            <w:vAlign w:val="center"/>
          </w:tcPr>
          <w:p>
            <w:pPr>
              <w:pStyle w:val="TableNumber"/>
            </w:pPr>
            <w:r>
              <w:t>0.331069</w:t>
            </w:r>
          </w:p>
        </w:tc>
        <w:tc>
          <w:tcPr>
            <w:tcW w:w="1330" w:type="dxa"/>
            <w:vAlign w:val="center"/>
          </w:tcPr>
          <w:p>
            <w:pPr>
              <w:pStyle w:val="TableNumber"/>
            </w:pPr>
            <w:r>
              <w:t xml:space="preserve">75.99%</w:t>
            </w:r>
          </w:p>
        </w:tc>
        <w:tc>
          <w:tcPr>
            <w:tcW w:w="1330" w:type="dxa"/>
            <w:vAlign w:val="center"/>
          </w:tcPr>
          <w:p>
            <w:pPr>
              <w:pStyle w:val="TableNumber"/>
            </w:pPr>
            <w:r>
              <w:t xml:space="preserve">0.0468</w:t>
            </w:r>
          </w:p>
        </w:tc>
        <w:tc>
          <w:tcPr>
            <w:tcW w:w="1350" w:type="dxa"/>
            <w:vAlign w:val="center"/>
          </w:tcPr>
          <w:p>
            <w:pPr>
              <w:pStyle w:val="TableNumber"/>
            </w:pPr>
            <w:r>
              <w:t>0.0427</w:t>
            </w:r>
          </w:p>
        </w:tc>
      </w:tr>
      <w:tr>
        <w:trPr>
          <w:cantSplit/>
        </w:trPr>
        <w:tc>
          <w:tcPr>
            <w:tcW w:w="650" w:type="dxa"/>
            <w:vAlign w:val="center"/>
          </w:tcPr>
          <w:p>
            <w:pPr>
              <w:pStyle w:val="TableNumber"/>
            </w:pPr>
            <w:r>
              <w:t>10</w:t>
            </w:r>
          </w:p>
        </w:tc>
        <w:tc>
          <w:tcPr>
            <w:tcW w:w="2800" w:type="dxa"/>
            <w:vAlign w:val="center"/>
          </w:tcPr>
          <w:p>
            <w:pPr>
              <w:pStyle w:val="TableText"/>
            </w:pPr>
            <w:r>
              <w:t>RSI rule</w:t>
            </w:r>
          </w:p>
        </w:tc>
        <w:tc>
          <w:tcPr>
            <w:tcW w:w="1900" w:type="dxa"/>
            <w:vAlign w:val="center"/>
          </w:tcPr>
          <w:p>
            <w:pPr>
              <w:pStyle w:val="TableNumber"/>
            </w:pPr>
            <w:r>
              <w:t>0.366923</w:t>
            </w:r>
          </w:p>
        </w:tc>
        <w:tc>
          <w:tcPr>
            <w:tcW w:w="1330" w:type="dxa"/>
            <w:vAlign w:val="center"/>
          </w:tcPr>
          <w:p>
            <w:pPr>
              <w:pStyle w:val="TableNumber"/>
            </w:pPr>
            <w:r>
              <w:t xml:space="preserve">74.62%</w:t>
            </w:r>
          </w:p>
        </w:tc>
        <w:tc>
          <w:tcPr>
            <w:tcW w:w="1330" w:type="dxa"/>
            <w:vAlign w:val="center"/>
          </w:tcPr>
          <w:p>
            <w:pPr>
              <w:pStyle w:val="TableNumber"/>
            </w:pPr>
            <w:r>
              <w:t xml:space="preserve">-0.0410</w:t>
            </w:r>
          </w:p>
        </w:tc>
        <w:tc>
          <w:tcPr>
            <w:tcW w:w="1350" w:type="dxa"/>
            <w:vAlign w:val="center"/>
          </w:tcPr>
          <w:p>
            <w:pPr>
              <w:pStyle w:val="TableNumber"/>
            </w:pPr>
            <w:r>
              <w:t>-0.0255</w:t>
            </w:r>
          </w:p>
        </w:tc>
      </w:tr>
      <w:tr>
        <w:trPr>
          <w:cantSplit/>
        </w:trPr>
        <w:tc>
          <w:tcPr>
            <w:tcW w:w="650" w:type="dxa"/>
            <w:vAlign w:val="center"/>
          </w:tcPr>
          <w:p>
            <w:pPr>
              <w:pStyle w:val="TableNumber"/>
            </w:pPr>
            <w:r>
              <w:t>11</w:t>
            </w:r>
          </w:p>
        </w:tc>
        <w:tc>
          <w:tcPr>
            <w:tcW w:w="2800" w:type="dxa"/>
            <w:vAlign w:val="center"/>
          </w:tcPr>
          <w:p>
            <w:pPr>
              <w:pStyle w:val="TableText"/>
            </w:pPr>
            <w:r>
              <w:t>Volatility-scaled rule</w:t>
            </w:r>
          </w:p>
        </w:tc>
        <w:tc>
          <w:tcPr>
            <w:tcW w:w="1900" w:type="dxa"/>
            <w:vAlign w:val="center"/>
          </w:tcPr>
          <w:p>
            <w:pPr>
              <w:pStyle w:val="TableNumber"/>
            </w:pPr>
            <w:r>
              <w:t>0.458607</w:t>
            </w:r>
          </w:p>
        </w:tc>
        <w:tc>
          <w:tcPr>
            <w:tcW w:w="1330" w:type="dxa"/>
            <w:vAlign w:val="center"/>
          </w:tcPr>
          <w:p>
            <w:pPr>
              <w:pStyle w:val="TableNumber"/>
            </w:pPr>
            <w:r>
              <w:t xml:space="preserve">76.39%</w:t>
            </w:r>
          </w:p>
        </w:tc>
        <w:tc>
          <w:tcPr>
            <w:tcW w:w="1330" w:type="dxa"/>
            <w:vAlign w:val="center"/>
          </w:tcPr>
          <w:p>
            <w:pPr>
              <w:pStyle w:val="TableNumber"/>
            </w:pPr>
            <w:r>
              <w:t xml:space="preserve">0.0117</w:t>
            </w:r>
          </w:p>
        </w:tc>
        <w:tc>
          <w:tcPr>
            <w:tcW w:w="1350" w:type="dxa"/>
            <w:vAlign w:val="center"/>
          </w:tcPr>
          <w:p>
            <w:pPr>
              <w:pStyle w:val="TableNumber"/>
            </w:pPr>
            <w:r>
              <w:t>0.0185</w:t>
            </w:r>
          </w:p>
        </w:tc>
      </w:tr>
      <w:tr>
        <w:trPr>
          <w:cantSplit/>
        </w:trPr>
        <w:tc>
          <w:tcPr>
            <w:tcW w:w="650" w:type="dxa"/>
            <w:vAlign w:val="center"/>
          </w:tcPr>
          <w:p>
            <w:pPr>
              <w:pStyle w:val="TableNumber"/>
            </w:pPr>
            <w:r>
              <w:t>12</w:t>
            </w:r>
          </w:p>
        </w:tc>
        <w:tc>
          <w:tcPr>
            <w:tcW w:w="2800" w:type="dxa"/>
            <w:vAlign w:val="center"/>
          </w:tcPr>
          <w:p>
            <w:pPr>
              <w:pStyle w:val="TableText"/>
            </w:pPr>
            <w:r>
              <w:t>Five-day momentum</w:t>
            </w:r>
          </w:p>
        </w:tc>
        <w:tc>
          <w:tcPr>
            <w:tcW w:w="1900" w:type="dxa"/>
            <w:vAlign w:val="center"/>
          </w:tcPr>
          <w:p>
            <w:pPr>
              <w:pStyle w:val="TableNumber"/>
            </w:pPr>
            <w:r>
              <w:t>0.480247</w:t>
            </w:r>
          </w:p>
        </w:tc>
        <w:tc>
          <w:tcPr>
            <w:tcW w:w="1330" w:type="dxa"/>
            <w:vAlign w:val="center"/>
          </w:tcPr>
          <w:p>
            <w:pPr>
              <w:pStyle w:val="TableNumber"/>
            </w:pPr>
            <w:r>
              <w:t xml:space="preserve">76.37%</w:t>
            </w:r>
          </w:p>
        </w:tc>
        <w:tc>
          <w:tcPr>
            <w:tcW w:w="1330" w:type="dxa"/>
            <w:vAlign w:val="center"/>
          </w:tcPr>
          <w:p>
            <w:pPr>
              <w:pStyle w:val="TableNumber"/>
            </w:pPr>
            <w:r>
              <w:t xml:space="preserve">0.0118</w:t>
            </w:r>
          </w:p>
        </w:tc>
        <w:tc>
          <w:tcPr>
            <w:tcW w:w="1350" w:type="dxa"/>
            <w:vAlign w:val="center"/>
          </w:tcPr>
          <w:p>
            <w:pPr>
              <w:pStyle w:val="TableNumber"/>
            </w:pPr>
            <w:r>
              <w:t>0.0187</w:t>
            </w:r>
          </w:p>
        </w:tc>
      </w:tr>
      <w:tr>
        <w:trPr>
          <w:cantSplit/>
        </w:trPr>
        <w:tc>
          <w:tcPr>
            <w:tcW w:w="650" w:type="dxa"/>
            <w:vAlign w:val="center"/>
          </w:tcPr>
          <w:p>
            <w:pPr>
              <w:pStyle w:val="TableNumber"/>
            </w:pPr>
            <w:r>
              <w:t>13</w:t>
            </w:r>
          </w:p>
        </w:tc>
        <w:tc>
          <w:tcPr>
            <w:tcW w:w="2800" w:type="dxa"/>
            <w:vAlign w:val="center"/>
          </w:tcPr>
          <w:p>
            <w:pPr>
              <w:pStyle w:val="TableText"/>
            </w:pPr>
            <w:r>
              <w:t>Five-day reversal</w:t>
            </w:r>
          </w:p>
        </w:tc>
        <w:tc>
          <w:tcPr>
            <w:tcW w:w="1900" w:type="dxa"/>
            <w:vAlign w:val="center"/>
          </w:tcPr>
          <w:p>
            <w:pPr>
              <w:pStyle w:val="TableNumber"/>
            </w:pPr>
            <w:r>
              <w:t>0.489689</w:t>
            </w:r>
          </w:p>
        </w:tc>
        <w:tc>
          <w:tcPr>
            <w:tcW w:w="1330" w:type="dxa"/>
            <w:vAlign w:val="center"/>
          </w:tcPr>
          <w:p>
            <w:pPr>
              <w:pStyle w:val="TableNumber"/>
            </w:pPr>
            <w:r>
              <w:t xml:space="preserve">75.22%</w:t>
            </w:r>
          </w:p>
        </w:tc>
        <w:tc>
          <w:tcPr>
            <w:tcW w:w="1330" w:type="dxa"/>
            <w:vAlign w:val="center"/>
          </w:tcPr>
          <w:p>
            <w:pPr>
              <w:pStyle w:val="TableNumber"/>
            </w:pPr>
            <w:r>
              <w:t xml:space="preserve">-0.0118</w:t>
            </w:r>
          </w:p>
        </w:tc>
        <w:tc>
          <w:tcPr>
            <w:tcW w:w="1350" w:type="dxa"/>
            <w:vAlign w:val="center"/>
          </w:tcPr>
          <w:p>
            <w:pPr>
              <w:pStyle w:val="TableNumber"/>
            </w:pPr>
            <w:r>
              <w:t>-0.0187</w:t>
            </w:r>
          </w:p>
        </w:tc>
      </w:tr>
    </w:tbl>
    <w:p>
      <w:pPr>
        <w:pStyle w:val="Note"/>
        <w:spacing w:before="160"/>
      </w:pPr>
      <w:r>
        <w:t xml:space="preserve">Learned baselines use seed 42; model rank uses only 14-horizon raw normalized pinball. Coverage is a 14H mean; mean correlation is not a pooled-sample correlation. RankIC retains the five-day pooled-market reference. A fixed forecast has no numerical variance, so correlation is not applicable; JSON zeros are a computational convention, not measured zero correlation.</w:t>
      </w:r>
    </w:p>
    <w:p>
      <w:pPr>
        <w:pStyle w:val="11"/>
      </w:pPr>
      <w:r>
        <w:t>Appendix B Reproducibility and evidence sources</w:t>
      </w:r>
    </w:p>
    <w:tbl>
      <w:tblPr>
        <w:tblStyle w:val="BenchmarkTable"/>
        <w:tblW w:w="9360" w:type="dxa"/>
        <w:tblLayout w:type="fixed"/>
      </w:tblPr>
      <w:tblGrid>
        <w:gridCol w:w="3000"/>
        <w:gridCol w:w="6360"/>
      </w:tblGrid>
      <w:tr>
        <w:trPr>
          <w:tblHeader/>
        </w:trPr>
        <w:tc>
          <w:tcPr>
            <w:tcW w:w="3000" w:type="dxa"/>
            <w:shd w:val="clear" w:fill="DCE6F1"/>
            <w:vAlign w:val="center"/>
          </w:tcPr>
          <w:p>
            <w:pPr>
              <w:pStyle w:val="TableHeader"/>
            </w:pPr>
            <w:r>
              <w:t>Evidence</w:t>
            </w:r>
          </w:p>
        </w:tc>
        <w:tc>
          <w:tcPr>
            <w:tcW w:w="6360" w:type="dxa"/>
            <w:shd w:val="clear" w:fill="DCE6F1"/>
            <w:vAlign w:val="center"/>
          </w:tcPr>
          <w:p>
            <w:pPr>
              <w:pStyle w:val="TableHeader"/>
            </w:pPr>
            <w:r>
              <w:t>Value or purpose</w:t>
            </w:r>
          </w:p>
        </w:tc>
      </w:tr>
      <w:tr>
        <w:trPr>
          <w:cantSplit/>
        </w:trPr>
        <w:tc>
          <w:tcPr>
            <w:tcW w:w="3000" w:type="dxa"/>
            <w:vAlign w:val="center"/>
          </w:tcPr>
          <w:p>
            <w:pPr>
              <w:pStyle w:val="TableText"/>
            </w:pPr>
            <w:r>
              <w:t>Run ID</w:t>
            </w:r>
          </w:p>
        </w:tc>
        <w:tc>
          <w:tcPr>
            <w:tcW w:w="6360" w:type="dxa"/>
            <w:vAlign w:val="center"/>
          </w:tcPr>
          <w:p>
            <w:pPr>
              <w:pStyle w:val="TableText"/>
            </w:pPr>
            <w:r>
              <w:t>run-20261007T085308Z-2debcc6e669b4522</w:t>
            </w:r>
          </w:p>
        </w:tc>
      </w:tr>
      <w:tr>
        <w:trPr>
          <w:cantSplit/>
        </w:trPr>
        <w:tc>
          <w:tcPr>
            <w:tcW w:w="3000" w:type="dxa"/>
            <w:vAlign w:val="center"/>
          </w:tcPr>
          <w:p>
            <w:pPr>
              <w:pStyle w:val="TableText"/>
            </w:pPr>
            <w:r>
              <w:t>Best checkpoint</w:t>
            </w:r>
          </w:p>
        </w:tc>
        <w:tc>
          <w:tcPr>
            <w:tcW w:w="6360" w:type="dxa"/>
            <w:vAlign w:val="center"/>
          </w:tcPr>
          <w:p>
            <w:pPr>
              <w:pStyle w:val="TableText"/>
            </w:pPr>
            <w:r>
              <w:t>checkpoint-011040; validation monitor 0.262905558502; test score 0.293823160496</w:t>
            </w:r>
          </w:p>
        </w:tc>
      </w:tr>
      <w:tr>
        <w:trPr>
          <w:cantSplit/>
        </w:trPr>
        <w:tc>
          <w:tcPr>
            <w:tcW w:w="3000" w:type="dxa"/>
            <w:vAlign w:val="center"/>
          </w:tcPr>
          <w:p>
            <w:pPr>
              <w:pStyle w:val="TableText"/>
            </w:pPr>
            <w:r>
              <w:t>Model configuration</w:t>
            </w:r>
          </w:p>
        </w:tc>
        <w:tc>
          <w:tcPr>
            <w:tcW w:w="6360" w:type="dxa"/>
            <w:vAlign w:val="center"/>
          </w:tcPr>
          <w:p>
            <w:pPr>
              <w:pStyle w:val="TableText"/>
            </w:pPr>
            <w:r>
              <w:t>a-partial; LoRA rank=32 / alpha=64; unfreeze last 2 blocks</w:t>
            </w:r>
          </w:p>
        </w:tc>
      </w:tr>
      <w:tr>
        <w:trPr>
          <w:cantSplit/>
        </w:trPr>
        <w:tc>
          <w:tcPr>
            <w:tcW w:w="3000" w:type="dxa"/>
            <w:vAlign w:val="center"/>
          </w:tcPr>
          <w:p>
            <w:pPr>
              <w:pStyle w:val="TableText"/>
            </w:pPr>
            <w:r>
              <w:t>Output schema</w:t>
            </w:r>
          </w:p>
        </w:tc>
        <w:tc>
          <w:tcPr>
            <w:tcW w:w="6360" w:type="dxa"/>
            <w:vAlign w:val="center"/>
          </w:tcPr>
          <w:p>
            <w:pPr>
              <w:pStyle w:val="TableText"/>
            </w:pPr>
            <w:r>
              <w:t>model_output_schema_version=5.0; alpha_quantiles [batch,14,3]; horizons 1–14; q10/q50/q90</w:t>
            </w:r>
          </w:p>
        </w:tc>
      </w:tr>
      <w:tr>
        <w:trPr>
          <w:cantSplit/>
        </w:trPr>
        <w:tc>
          <w:tcPr>
            <w:tcW w:w="3000" w:type="dxa"/>
            <w:vAlign w:val="center"/>
          </w:tcPr>
          <w:p>
            <w:pPr>
              <w:pStyle w:val="TableText"/>
            </w:pPr>
            <w:r>
              <w:t>Evaluation state</w:t>
            </w:r>
          </w:p>
        </w:tc>
        <w:tc>
          <w:tcPr>
            <w:tcW w:w="6360" w:type="dxa"/>
            <w:vAlign w:val="center"/>
          </w:tcPr>
          <w:p>
            <w:pPr>
              <w:pStyle w:val="TableText"/>
            </w:pPr>
            <w:r>
              <w:t>state=ready; split=test; test_unlocked=true; 534,327 rows / 112 dates</w:t>
            </w:r>
          </w:p>
        </w:tc>
      </w:tr>
      <w:tr>
        <w:trPr>
          <w:cantSplit/>
        </w:trPr>
        <w:tc>
          <w:tcPr>
            <w:tcW w:w="3000" w:type="dxa"/>
            <w:vAlign w:val="center"/>
          </w:tcPr>
          <w:p>
            <w:pPr>
              <w:pStyle w:val="TableText"/>
            </w:pPr>
            <w:r>
              <w:t>Training lifecycle</w:t>
            </w:r>
          </w:p>
        </w:tc>
        <w:tc>
          <w:tcPr>
            <w:tcW w:w="6360" w:type="dxa"/>
            <w:vAlign w:val="center"/>
          </w:tcPr>
          <w:p>
            <w:pPr>
              <w:pStyle w:val="TableText"/>
            </w:pPr>
            <w:r>
              <w:t>state=ready; exit_code=0; timed_out=false; training_completed=true</w:t>
            </w:r>
          </w:p>
        </w:tc>
      </w:tr>
      <w:tr>
        <w:trPr>
          <w:cantSplit/>
        </w:trPr>
        <w:tc>
          <w:tcPr>
            <w:tcW w:w="3000" w:type="dxa"/>
            <w:vAlign w:val="center"/>
          </w:tcPr>
          <w:p>
            <w:pPr>
              <w:pStyle w:val="TableText"/>
            </w:pPr>
            <w:r>
              <w:t>Dataset manifest SHA-256</w:t>
            </w:r>
          </w:p>
        </w:tc>
        <w:tc>
          <w:tcPr>
            <w:tcW w:w="6360" w:type="dxa"/>
            <w:vAlign w:val="center"/>
          </w:tcPr>
          <w:p>
            <w:pPr>
              <w:pStyle w:val="TableText"/>
            </w:pPr>
            <w:r>
              <w:t>9f26f1f29cf1dd1a57b368a9b5ace3fcafe9098fb8d2a06a7ba2c39bad7592b6</w:t>
            </w:r>
          </w:p>
        </w:tc>
      </w:tr>
      <w:tr>
        <w:trPr>
          <w:cantSplit/>
        </w:trPr>
        <w:tc>
          <w:tcPr>
            <w:tcW w:w="3000" w:type="dxa"/>
            <w:vAlign w:val="center"/>
          </w:tcPr>
          <w:p>
            <w:pPr>
              <w:pStyle w:val="TableText"/>
            </w:pPr>
            <w:r>
              <w:t>Test membership SHA-256</w:t>
            </w:r>
          </w:p>
        </w:tc>
        <w:tc>
          <w:tcPr>
            <w:tcW w:w="6360" w:type="dxa"/>
            <w:vAlign w:val="center"/>
          </w:tcPr>
          <w:p>
            <w:pPr>
              <w:pStyle w:val="TableText"/>
            </w:pPr>
            <w:r>
              <w:t>93e2e6a0b74edbdce616b82628aed180dad4d004a9bcd24292a78896c240bc0d</w:t>
            </w:r>
          </w:p>
        </w:tc>
      </w:tr>
    </w:tbl>
    <w:p>
      <w:pPr>
        <w:pStyle w:val="Note"/>
        <w:spacing w:before="160"/>
      </w:pPr>
      <w:r>
        <w:t xml:space="preserve">Local evidence root: artifacts/runpod/run-20261007T085308Z-2debcc6e669b4522/. This revision changes reports only: no retraining, prepare/baseline rebuilding, evaluator or handbook edits. Field-level provenance follows. Do not mix these completed tests with a-adaptive64 multi-seed training that lacks final test results.</w:t>
      </w:r>
    </w:p>
    <w:p>
      <w:pPr>
        <w:pStyle w:val="11"/>
      </w:pPr>
      <w:r>
        <w:t xml:space="preserve">Appendix C Metric sources and evidence gaps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400"/>
        <w:gridCol w:w="6960"/>
      </w:tblGrid>
      <w:tr>
        <w:trPr>
          <w:cantSplit/>
          <w:tblHeader/>
        </w:trPr>
        <w:tc>
          <w:tcPr>
            <w:tcW w:w="2400" w:type="dxa"/>
            <w:shd w:fill="DCE6F1"/>
            <w:vAlign w:val="center"/>
          </w:tcPr>
          <w:p>
            <w:pPr>
              <w:pStyle w:val="TableHeader"/>
            </w:pPr>
            <w:r>
              <w:t xml:space="preserve">Item</w:t>
            </w:r>
          </w:p>
        </w:tc>
        <w:tc>
          <w:tcPr>
            <w:tcW w:w="6960" w:type="dxa"/>
            <w:shd w:fill="DCE6F1"/>
            <w:vAlign w:val="center"/>
          </w:tcPr>
          <w:p>
            <w:pPr>
              <w:pStyle w:val="TableHeader"/>
            </w:pPr>
            <w:r>
              <w:t xml:space="preserve">Source field</w:t>
            </w:r>
          </w:p>
        </w:tc>
      </w:tr>
      <w:tr>
        <w:trPr>
          <w:cantSplit/>
        </w:trPr>
        <w:tc>
          <w:tcPr>
            <w:tcW w:w="2400" w:type="dxa"/>
            <w:shd w:fill="FFFFFF"/>
            <w:vAlign w:val="center"/>
          </w:tcPr>
          <w:p>
            <w:pPr>
              <w:pStyle w:val="TableText"/>
            </w:pPr>
            <w:r>
              <w:t xml:space="preserve">Experiment identity</w:t>
            </w:r>
          </w:p>
        </w:tc>
        <w:tc>
          <w:tcPr>
            <w:tcW w:w="6960" w:type="dxa"/>
            <w:shd w:fill="FFFFFF"/>
            <w:vAlign w:val="center"/>
          </w:tcPr>
          <w:p>
            <w:pPr>
              <w:pStyle w:val="TableText"/>
            </w:pPr>
            <w:r>
              <w:t xml:space="preserve">resolved-config.yaml experiment_name；run-manifest.json selection_provenance.stage_config_path</w:t>
            </w:r>
          </w:p>
        </w:tc>
      </w:tr>
      <w:tr>
        <w:trPr>
          <w:cantSplit/>
        </w:trPr>
        <w:tc>
          <w:tcPr>
            <w:tcW w:w="2400" w:type="dxa"/>
            <w:shd w:fill="F7F9FC"/>
            <w:vAlign w:val="center"/>
          </w:tcPr>
          <w:p>
            <w:pPr>
              <w:pStyle w:val="TableText"/>
            </w:pPr>
            <w:r>
              <w:t xml:space="preserve">Raw distributions</w:t>
            </w:r>
          </w:p>
        </w:tc>
        <w:tc>
          <w:tcPr>
            <w:tcW w:w="6960" w:type="dxa"/>
            <w:shd w:fill="F7F9FC"/>
            <w:vAlign w:val="center"/>
          </w:tcPr>
          <w:p>
            <w:pPr>
              <w:pStyle w:val="TableText"/>
            </w:pPr>
            <w:r>
              <w:t xml:space="preserve">validation-benchmark.json models.kronos_full.metrics.aggregate / per_horizon</w:t>
            </w:r>
          </w:p>
        </w:tc>
      </w:tr>
      <w:tr>
        <w:trPr>
          <w:cantSplit/>
        </w:trPr>
        <w:tc>
          <w:tcPr>
            <w:tcW w:w="2400" w:type="dxa"/>
            <w:shd w:fill="FFFFFF"/>
            <w:vAlign w:val="center"/>
          </w:tcPr>
          <w:p>
            <w:pPr>
              <w:pStyle w:val="TableText"/>
            </w:pPr>
            <w:r>
              <w:t xml:space="preserve">Calibrated distributions</w:t>
            </w:r>
          </w:p>
        </w:tc>
        <w:tc>
          <w:tcPr>
            <w:tcW w:w="6960" w:type="dxa"/>
            <w:shd w:fill="FFFFFF"/>
            <w:vAlign w:val="center"/>
          </w:tcPr>
          <w:p>
            <w:pPr>
              <w:pStyle w:val="TableText"/>
            </w:pPr>
            <w:r>
              <w:t xml:space="preserve">models.kronos_full.metrics.calibrated.aggregate / per_horizon / by_market</w:t>
            </w:r>
          </w:p>
        </w:tc>
      </w:tr>
      <w:tr>
        <w:trPr>
          <w:cantSplit/>
        </w:trPr>
        <w:tc>
          <w:tcPr>
            <w:tcW w:w="2400" w:type="dxa"/>
            <w:shd w:fill="F7F9FC"/>
            <w:vAlign w:val="center"/>
          </w:tcPr>
          <w:p>
            <w:pPr>
              <w:pStyle w:val="TableText"/>
            </w:pPr>
            <w:r>
              <w:t xml:space="preserve">Calibration source</w:t>
            </w:r>
          </w:p>
        </w:tc>
        <w:tc>
          <w:tcPr>
            <w:tcW w:w="6960" w:type="dxa"/>
            <w:shd w:fill="F7F9FC"/>
            <w:vAlign w:val="center"/>
          </w:tcPr>
          <w:p>
            <w:pPr>
              <w:pStyle w:val="TableText"/>
            </w:pPr>
            <w:r>
              <w:t xml:space="preserve">metrics.interval_calibration = interval-calibration.json；fit_split=validation；calibrated.in_sample_fit=false</w:t>
            </w:r>
          </w:p>
        </w:tc>
      </w:tr>
      <w:tr>
        <w:trPr>
          <w:cantSplit/>
        </w:trPr>
        <w:tc>
          <w:tcPr>
            <w:tcW w:w="2400" w:type="dxa"/>
            <w:shd w:fill="FFFFFF"/>
            <w:vAlign w:val="center"/>
          </w:tcPr>
          <w:p>
            <w:pPr>
              <w:pStyle w:val="TableText"/>
            </w:pPr>
            <w:r>
              <w:t xml:space="preserve">Market raw</w:t>
            </w:r>
          </w:p>
        </w:tc>
        <w:tc>
          <w:tcPr>
            <w:tcW w:w="6960" w:type="dxa"/>
            <w:shd w:fill="FFFFFF"/>
            <w:vAlign w:val="center"/>
          </w:tcPr>
          <w:p>
            <w:pPr>
              <w:pStyle w:val="TableText"/>
            </w:pPr>
            <w:r>
              <w:t xml:space="preserve">models.kronos_full.metrics.subgroups.market.&lt;MARKET&gt;.aggregate / per_horizon</w:t>
            </w:r>
          </w:p>
        </w:tc>
      </w:tr>
      <w:tr>
        <w:trPr>
          <w:cantSplit/>
        </w:trPr>
        <w:tc>
          <w:tcPr>
            <w:tcW w:w="2400" w:type="dxa"/>
            <w:shd w:fill="F7F9FC"/>
            <w:vAlign w:val="center"/>
          </w:tcPr>
          <w:p>
            <w:pPr>
              <w:pStyle w:val="TableText"/>
            </w:pPr>
            <w:r>
              <w:t xml:space="preserve">q50 ranking</w:t>
            </w:r>
          </w:p>
        </w:tc>
        <w:tc>
          <w:tcPr>
            <w:tcW w:w="6960" w:type="dxa"/>
            <w:shd w:fill="F7F9FC"/>
            <w:vAlign w:val="center"/>
          </w:tcPr>
          <w:p>
            <w:pPr>
              <w:pStyle w:val="TableText"/>
            </w:pPr>
            <w:r>
              <w:t xml:space="preserve">metrics.cross_sectional_by_horizon.&lt;H&gt;；pooled US TWSE TPEX</w:t>
            </w:r>
          </w:p>
        </w:tc>
      </w:tr>
      <w:tr>
        <w:trPr>
          <w:cantSplit/>
        </w:trPr>
        <w:tc>
          <w:tcPr>
            <w:tcW w:w="2400" w:type="dxa"/>
            <w:shd w:fill="FFFFFF"/>
            <w:vAlign w:val="center"/>
          </w:tcPr>
          <w:p>
            <w:pPr>
              <w:pStyle w:val="TableText"/>
            </w:pPr>
            <w:r>
              <w:t xml:space="preserve">Independent ranking</w:t>
            </w:r>
          </w:p>
        </w:tc>
        <w:tc>
          <w:tcPr>
            <w:tcW w:w="6960" w:type="dxa"/>
            <w:shd w:fill="FFFFFF"/>
            <w:vAlign w:val="center"/>
          </w:tcPr>
          <w:p>
            <w:pPr>
              <w:pStyle w:val="TableText"/>
            </w:pPr>
            <w:r>
              <w:t xml:space="preserve">metrics.independent_ranking.by_market.&lt;MARKET&gt;.&lt;H&gt;.rank_ic_mean / rank_ic_ir / evaluated_dates</w:t>
            </w:r>
          </w:p>
        </w:tc>
      </w:tr>
      <w:tr>
        <w:trPr>
          <w:cantSplit/>
        </w:trPr>
        <w:tc>
          <w:tcPr>
            <w:tcW w:w="2400" w:type="dxa"/>
            <w:shd w:fill="F7F9FC"/>
            <w:vAlign w:val="center"/>
          </w:tcPr>
          <w:p>
            <w:pPr>
              <w:pStyle w:val="TableText"/>
            </w:pPr>
            <w:r>
              <w:t xml:space="preserve">Fixed distributions</w:t>
            </w:r>
          </w:p>
        </w:tc>
        <w:tc>
          <w:tcPr>
            <w:tcW w:w="6960" w:type="dxa"/>
            <w:shd w:fill="F7F9FC"/>
            <w:vAlign w:val="center"/>
          </w:tcPr>
          <w:p>
            <w:pPr>
              <w:pStyle w:val="TableText"/>
            </w:pPr>
            <w:r>
              <w:t xml:space="preserve">models.zero_return.metrics.per_horizon.&lt;H&gt;.median_direction_agreement；equals models.always_buy.metrics</w:t>
            </w:r>
          </w:p>
        </w:tc>
      </w:tr>
      <w:tr>
        <w:trPr>
          <w:cantSplit/>
        </w:trPr>
        <w:tc>
          <w:tcPr>
            <w:tcW w:w="2400" w:type="dxa"/>
            <w:shd w:fill="FFFFFF"/>
            <w:vAlign w:val="center"/>
          </w:tcPr>
          <w:p>
            <w:pPr>
              <w:pStyle w:val="TableText"/>
            </w:pPr>
            <w:r>
              <w:t xml:space="preserve">Checkpoint chronology</w:t>
            </w:r>
          </w:p>
        </w:tc>
        <w:tc>
          <w:tcPr>
            <w:tcW w:w="6960" w:type="dxa"/>
            <w:shd w:fill="FFFFFF"/>
            <w:vAlign w:val="center"/>
          </w:tcPr>
          <w:p>
            <w:pPr>
              <w:pStyle w:val="TableText"/>
            </w:pPr>
            <w:r>
              <w:t xml:space="preserve">metrics.jsonl validation/evaluation_index；best-checkpoint.json；checkpoint-leaderboard.json；trainer-state.json</w:t>
            </w:r>
          </w:p>
        </w:tc>
      </w:tr>
      <w:tr>
        <w:trPr>
          <w:cantSplit/>
        </w:trPr>
        <w:tc>
          <w:tcPr>
            <w:tcW w:w="2400" w:type="dxa"/>
            <w:shd w:fill="F7F9FC"/>
            <w:vAlign w:val="center"/>
          </w:tcPr>
          <w:p>
            <w:pPr>
              <w:pStyle w:val="TableText"/>
            </w:pPr>
            <w:r>
              <w:t xml:space="preserve">Strategy limitation code</w:t>
            </w:r>
          </w:p>
        </w:tc>
        <w:tc>
          <w:tcPr>
            <w:tcW w:w="6960" w:type="dxa"/>
            <w:shd w:fill="F7F9FC"/>
            <w:vAlign w:val="center"/>
          </w:tcPr>
          <w:p>
            <w:pPr>
              <w:pStyle w:val="TableText"/>
            </w:pPr>
            <w:r>
              <w:t xml:space="preserve">src/stock_forecasting/metrics.py cross_sectional_metrics；weights ±0.5 / gross unscaled</w:t>
            </w:r>
          </w:p>
        </w:tc>
      </w:tr>
    </w:tbl>
    <w:p>
      <w:pPr>
        <w:pStyle w:val="a"/>
        <w:spacing w:before="160"/>
      </w:pPr>
      <w:r>
        <w:t xml:space="preserve">Gaps: the three local run directories contain summary artifacts, not complete targets.npy, predictions.npy, membership.npy or ranking-scores.npy sequences. JSON provides neither a same-market same-date q50 RankIC comparator nor a portfolio sequence recomputed at a consistent capital scale. These are not computed or not downloaded, not zero or no improvement. Aggregate report edits cannot replace recomputation.</w:t>
      </w:r>
    </w:p>
    <w:p>
      <w:pPr>
        <w:pStyle w:val="21"/>
      </w:pPr>
      <w:r>
        <w:t xml:space="preserve">Calibration modes and future reporting rules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600"/>
        <w:gridCol w:w="2300"/>
        <w:gridCol w:w="4460"/>
      </w:tblGrid>
      <w:tr>
        <w:trPr>
          <w:cantSplit/>
          <w:tblHeader/>
        </w:trPr>
        <w:tc>
          <w:tcPr>
            <w:tcW w:w="2600" w:type="dxa"/>
            <w:shd w:fill="DCE6F1"/>
            <w:vAlign w:val="center"/>
          </w:tcPr>
          <w:p>
            <w:pPr>
              <w:pStyle w:val="TableHeader"/>
            </w:pPr>
            <w:r>
              <w:t xml:space="preserve">Field</w:t>
            </w:r>
          </w:p>
        </w:tc>
        <w:tc>
          <w:tcPr>
            <w:tcW w:w="2300" w:type="dxa"/>
            <w:shd w:fill="DCE6F1"/>
            <w:vAlign w:val="center"/>
          </w:tcPr>
          <w:p>
            <w:pPr>
              <w:pStyle w:val="TableHeader"/>
            </w:pPr>
            <w:r>
              <w:t xml:space="preserve">Status here</w:t>
            </w:r>
          </w:p>
        </w:tc>
        <w:tc>
          <w:tcPr>
            <w:tcW w:w="4460" w:type="dxa"/>
            <w:shd w:fill="DCE6F1"/>
            <w:vAlign w:val="center"/>
          </w:tcPr>
          <w:p>
            <w:pPr>
              <w:pStyle w:val="TableHeader"/>
            </w:pPr>
            <w:r>
              <w:t xml:space="preserve">Interpretation</w:t>
            </w:r>
          </w:p>
        </w:tc>
      </w:tr>
      <w:tr>
        <w:trPr>
          <w:cantSplit/>
        </w:trPr>
        <w:tc>
          <w:tcPr>
            <w:tcW w:w="2600" w:type="dxa"/>
            <w:shd w:fill="FFFFFF"/>
            <w:vAlign w:val="center"/>
          </w:tcPr>
          <w:p>
            <w:pPr>
              <w:pStyle w:val="TableText"/>
            </w:pPr>
            <w:r>
              <w:t xml:space="preserve">raw</w:t>
            </w:r>
          </w:p>
        </w:tc>
        <w:tc>
          <w:tcPr>
            <w:tcW w:w="2300" w:type="dxa"/>
            <w:shd w:fill="FFFFFF"/>
            <w:vAlign w:val="center"/>
          </w:tcPr>
          <w:p>
            <w:pPr>
              <w:pStyle w:val="TableText"/>
            </w:pPr>
            <w:r>
              <w:t xml:space="preserve">Present</w:t>
            </w:r>
          </w:p>
        </w:tc>
        <w:tc>
          <w:tcPr>
            <w:tcW w:w="4460" w:type="dxa"/>
            <w:shd w:fill="FFFFFF"/>
            <w:vAlign w:val="center"/>
          </w:tcPr>
          <w:p>
            <w:pPr>
              <w:pStyle w:val="TableText"/>
            </w:pPr>
            <w:r>
              <w:t xml:space="preserve">Raw validation alone selects checkpoints</w:t>
            </w:r>
          </w:p>
        </w:tc>
      </w:tr>
      <w:tr>
        <w:trPr>
          <w:cantSplit/>
        </w:trPr>
        <w:tc>
          <w:tcPr>
            <w:tcW w:w="2600" w:type="dxa"/>
            <w:shd w:fill="F7F9FC"/>
            <w:vAlign w:val="center"/>
          </w:tcPr>
          <w:p>
            <w:pPr>
              <w:pStyle w:val="TableText"/>
            </w:pPr>
            <w:r>
              <w:t xml:space="preserve">calibrated</w:t>
            </w:r>
          </w:p>
        </w:tc>
        <w:tc>
          <w:tcPr>
            <w:tcW w:w="2300" w:type="dxa"/>
            <w:shd w:fill="F7F9FC"/>
            <w:vAlign w:val="center"/>
          </w:tcPr>
          <w:p>
            <w:pPr>
              <w:pStyle w:val="TableText"/>
            </w:pPr>
            <w:r>
              <w:t xml:space="preserve">Present static calibration</w:t>
            </w:r>
          </w:p>
        </w:tc>
        <w:tc>
          <w:tcPr>
            <w:tcW w:w="4460" w:type="dxa"/>
            <w:shd w:fill="F7F9FC"/>
            <w:vAlign w:val="center"/>
          </w:tcPr>
          <w:p>
            <w:pPr>
              <w:pStyle w:val="TableText"/>
            </w:pPr>
            <w:r>
              <w:t xml:space="preserve">Validation-fitted and frozen on test in these runs</w:t>
            </w:r>
          </w:p>
        </w:tc>
      </w:tr>
      <w:tr>
        <w:trPr>
          <w:cantSplit/>
        </w:trPr>
        <w:tc>
          <w:tcPr>
            <w:tcW w:w="2600" w:type="dxa"/>
            <w:shd w:fill="FFFFFF"/>
            <w:vAlign w:val="center"/>
          </w:tcPr>
          <w:p>
            <w:pPr>
              <w:pStyle w:val="TableText"/>
            </w:pPr>
            <w:r>
              <w:t xml:space="preserve">calibrated_static</w:t>
            </w:r>
          </w:p>
        </w:tc>
        <w:tc>
          <w:tcPr>
            <w:tcW w:w="2300" w:type="dxa"/>
            <w:shd w:fill="FFFFFF"/>
            <w:vAlign w:val="center"/>
          </w:tcPr>
          <w:p>
            <w:pPr>
              <w:pStyle w:val="TableText"/>
            </w:pPr>
            <w:r>
              <w:t xml:space="preserve">N/A no separate field</w:t>
            </w:r>
          </w:p>
        </w:tc>
        <w:tc>
          <w:tcPr>
            <w:tcW w:w="4460" w:type="dxa"/>
            <w:shd w:fill="FFFFFF"/>
            <w:vAlign w:val="center"/>
          </w:tcPr>
          <w:p>
            <w:pPr>
              <w:pStyle w:val="TableText"/>
            </w:pPr>
            <w:r>
              <w:t xml:space="preserve">Report separately as the static comparator when available in adaptive runs</w:t>
            </w:r>
          </w:p>
        </w:tc>
      </w:tr>
      <w:tr>
        <w:trPr>
          <w:cantSplit/>
        </w:trPr>
        <w:tc>
          <w:tcPr>
            <w:tcW w:w="2600" w:type="dxa"/>
            <w:shd w:fill="F7F9FC"/>
            <w:vAlign w:val="center"/>
          </w:tcPr>
          <w:p>
            <w:pPr>
              <w:pStyle w:val="TableText"/>
            </w:pPr>
            <w:r>
              <w:t xml:space="preserve">calibrated_online</w:t>
            </w:r>
          </w:p>
        </w:tc>
        <w:tc>
          <w:tcPr>
            <w:tcW w:w="2300" w:type="dxa"/>
            <w:shd w:fill="F7F9FC"/>
            <w:vAlign w:val="center"/>
          </w:tcPr>
          <w:p>
            <w:pPr>
              <w:pStyle w:val="TableText"/>
            </w:pPr>
            <w:r>
              <w:t xml:space="preserve">N/A absent</w:t>
            </w:r>
          </w:p>
        </w:tc>
        <w:tc>
          <w:tcPr>
            <w:tcW w:w="4460" w:type="dxa"/>
            <w:shd w:fill="F7F9FC"/>
            <w:vAlign w:val="center"/>
          </w:tcPr>
          <w:p>
            <w:pPr>
              <w:pStyle w:val="TableText"/>
            </w:pPr>
            <w:r>
              <w:t xml:space="preserve">Future delayed matured-label feedback; not a fully frozen holdout</w:t>
            </w:r>
          </w:p>
        </w:tc>
      </w:tr>
    </w:tbl>
    <w:p>
      <w:pPr>
        <w:pStyle w:val="a"/>
        <w:spacing w:before="160"/>
      </w:pPr>
      <w:r>
        <w:t xml:space="preserve">In future adaptive runs, calibrated denotes frozen regime-adaptive calibration, not the static meaning in these runs. Present calibrated_static, calibrated and calibrated_online separately when available, with aggregate/horizon/market and available month pinball, coverage, error and width. State fitting source, label maturity, update timing and checkpoint. Absent modes are N/A and unavailable calculations are not computed, never zeros. Online does not alter model selection, but uses past test feedback and is not a fully frozen test.</w:t>
      </w:r>
    </w:p>
    <w:p>
      <w:pPr>
        <w:pStyle w:val="21"/>
      </w:pPr>
      <w:r>
        <w:t xml:space="preserve">Evidence file SHA256</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600"/>
        <w:gridCol w:w="6760"/>
      </w:tblGrid>
      <w:tr>
        <w:trPr>
          <w:cantSplit/>
          <w:tblHeader/>
        </w:trPr>
        <w:tc>
          <w:tcPr>
            <w:tcW w:w="2600" w:type="dxa"/>
            <w:shd w:fill="DCE6F1"/>
            <w:vAlign w:val="center"/>
          </w:tcPr>
          <w:p>
            <w:pPr>
              <w:pStyle w:val="TableHeader"/>
            </w:pPr>
            <w:r>
              <w:t xml:space="preserve">File</w:t>
            </w:r>
          </w:p>
        </w:tc>
        <w:tc>
          <w:tcPr>
            <w:tcW w:w="6760" w:type="dxa"/>
            <w:shd w:fill="DCE6F1"/>
            <w:vAlign w:val="center"/>
          </w:tcPr>
          <w:p>
            <w:pPr>
              <w:pStyle w:val="TableHeader"/>
            </w:pPr>
            <w:r>
              <w:t xml:space="preserve">SHA256</w:t>
            </w:r>
          </w:p>
        </w:tc>
      </w:tr>
      <w:tr>
        <w:trPr>
          <w:cantSplit/>
        </w:trPr>
        <w:tc>
          <w:tcPr>
            <w:tcW w:w="2600" w:type="dxa"/>
            <w:shd w:fill="FFFFFF"/>
            <w:vAlign w:val="center"/>
          </w:tcPr>
          <w:p>
            <w:pPr>
              <w:pStyle w:val="TableText"/>
            </w:pPr>
            <w:r>
              <w:t xml:space="preserve">resolved-config.yaml</w:t>
            </w:r>
          </w:p>
        </w:tc>
        <w:tc>
          <w:tcPr>
            <w:tcW w:w="6760" w:type="dxa"/>
            <w:shd w:fill="FFFFFF"/>
            <w:vAlign w:val="center"/>
          </w:tcPr>
          <w:p>
            <w:pPr>
              <w:pStyle w:val="TableText"/>
            </w:pPr>
            <w:r>
              <w:t xml:space="preserve">7fe84432df97c78de4f174dfbe36dac66ad04af350c4d5f3960cc4d6b7ccd37b</w:t>
            </w:r>
          </w:p>
        </w:tc>
      </w:tr>
      <w:tr>
        <w:trPr>
          <w:cantSplit/>
        </w:trPr>
        <w:tc>
          <w:tcPr>
            <w:tcW w:w="2600" w:type="dxa"/>
            <w:shd w:fill="F7F9FC"/>
            <w:vAlign w:val="center"/>
          </w:tcPr>
          <w:p>
            <w:pPr>
              <w:pStyle w:val="TableText"/>
            </w:pPr>
            <w:r>
              <w:t xml:space="preserve">run-manifest.json</w:t>
            </w:r>
          </w:p>
        </w:tc>
        <w:tc>
          <w:tcPr>
            <w:tcW w:w="6760" w:type="dxa"/>
            <w:shd w:fill="F7F9FC"/>
            <w:vAlign w:val="center"/>
          </w:tcPr>
          <w:p>
            <w:pPr>
              <w:pStyle w:val="TableText"/>
            </w:pPr>
            <w:r>
              <w:t xml:space="preserve">55ee50be89cade7e64668da6b8a156dd80b275aa8b0bba839aec06d2805e2ebf</w:t>
            </w:r>
          </w:p>
        </w:tc>
      </w:tr>
      <w:tr>
        <w:trPr>
          <w:cantSplit/>
        </w:trPr>
        <w:tc>
          <w:tcPr>
            <w:tcW w:w="2600" w:type="dxa"/>
            <w:shd w:fill="FFFFFF"/>
            <w:vAlign w:val="center"/>
          </w:tcPr>
          <w:p>
            <w:pPr>
              <w:pStyle w:val="TableText"/>
            </w:pPr>
            <w:r>
              <w:t xml:space="preserve">validation-benchmark.json</w:t>
            </w:r>
          </w:p>
        </w:tc>
        <w:tc>
          <w:tcPr>
            <w:tcW w:w="6760" w:type="dxa"/>
            <w:shd w:fill="FFFFFF"/>
            <w:vAlign w:val="center"/>
          </w:tcPr>
          <w:p>
            <w:pPr>
              <w:pStyle w:val="TableText"/>
            </w:pPr>
            <w:r>
              <w:t xml:space="preserve">535d2019fe512cc81ab2fcd62080bd0ba6a440b23d5454c3bda4d27a59acaf83</w:t>
            </w:r>
          </w:p>
        </w:tc>
      </w:tr>
      <w:tr>
        <w:trPr>
          <w:cantSplit/>
        </w:trPr>
        <w:tc>
          <w:tcPr>
            <w:tcW w:w="2600" w:type="dxa"/>
            <w:shd w:fill="F7F9FC"/>
            <w:vAlign w:val="center"/>
          </w:tcPr>
          <w:p>
            <w:pPr>
              <w:pStyle w:val="TableText"/>
            </w:pPr>
            <w:r>
              <w:t xml:space="preserve">interval-calibration.json</w:t>
            </w:r>
          </w:p>
        </w:tc>
        <w:tc>
          <w:tcPr>
            <w:tcW w:w="6760" w:type="dxa"/>
            <w:shd w:fill="F7F9FC"/>
            <w:vAlign w:val="center"/>
          </w:tcPr>
          <w:p>
            <w:pPr>
              <w:pStyle w:val="TableText"/>
            </w:pPr>
            <w:r>
              <w:t xml:space="preserve">fa868ad0ed39da50dbbe2abeb3642916ad16652706ed6f2f08b4baa3368c8b03</w:t>
            </w:r>
          </w:p>
        </w:tc>
      </w:tr>
      <w:tr>
        <w:trPr>
          <w:cantSplit/>
        </w:trPr>
        <w:tc>
          <w:tcPr>
            <w:tcW w:w="2600" w:type="dxa"/>
            <w:shd w:fill="FFFFFF"/>
            <w:vAlign w:val="center"/>
          </w:tcPr>
          <w:p>
            <w:pPr>
              <w:pStyle w:val="TableText"/>
            </w:pPr>
            <w:r>
              <w:t xml:space="preserve">best-checkpoint.json</w:t>
            </w:r>
          </w:p>
        </w:tc>
        <w:tc>
          <w:tcPr>
            <w:tcW w:w="6760" w:type="dxa"/>
            <w:shd w:fill="FFFFFF"/>
            <w:vAlign w:val="center"/>
          </w:tcPr>
          <w:p>
            <w:pPr>
              <w:pStyle w:val="TableText"/>
            </w:pPr>
            <w:r>
              <w:t xml:space="preserve">4481bd1b816f9636e8f38d47be1ed3d94951d71564e6f317f1cfe9814502e551</w:t>
            </w:r>
          </w:p>
        </w:tc>
      </w:tr>
    </w:tbl>
    <w:sectPr w:rsidR="00A97D95">
      <w:footerReference ns1:id="rId18" w:type="default"/>
      <w:pgSz w:h="15840" w:w="12240"/>
      <w:pgMar w:bottom="1037" w:footer="504" w:gutter="0" w:header="504" w:left="1181" w:right="1181" w:top="1123"/>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6B2D1BE" w14:textId="77777777" w:rsidR="00BD6B20" w:rsidRDefault="00BD6B20">
      <w:pPr>
        <w:spacing w:after="0" w:line="240" w:lineRule="auto"/>
      </w:pPr>
      <w:r>
        <w:separator/>
      </w:r>
    </w:p>
  </w:endnote>
  <w:endnote w:type="continuationSeparator" w:id="0">
    <w:p w14:paraId="36E0CFF8" w14:textId="77777777" w:rsidR="00BD6B20" w:rsidRDefault="00BD6B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PingFang TC">
    <w:panose1 w:val="020B0400000000000000"/>
    <w:charset w:val="00"/>
    <w:family w:val="roman"/>
    <w:notTrueType/>
    <w:pitch w:val="default"/>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http://schemas.openxmlformats.org/wordprocessingml/2006/main">
  <w:p>
    <w:pPr>
      <w:pStyle w:val="10"/>
      <w:jc w:val="center"/>
    </w:pPr>
    <w:r>
      <w:t xml:space="preserve">Stage 2 Alpha Forecast Holdout Test  |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8929E15" w14:textId="77777777" w:rsidR="00BD6B20" w:rsidRDefault="00BD6B20">
      <w:pPr>
        <w:spacing w:after="0" w:line="240" w:lineRule="auto"/>
      </w:pPr>
      <w:r>
        <w:separator/>
      </w:r>
    </w:p>
  </w:footnote>
  <w:footnote w:type="continuationSeparator" w:id="0">
    <w:p w14:paraId="0ECE18C4" w14:textId="77777777" w:rsidR="00BD6B20" w:rsidRDefault="00BD6B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431773"/>
    <w:multiLevelType w:val="singleLevel"/>
    <w:tmpl w:val="89608B28"/>
    <w:lvl w:ilvl="0">
      <w:start w:val="1"/>
      <w:numFmt w:val="bullet"/>
      <w:lvlText w:val="•"/>
      <w:lvlJc w:val="left"/>
      <w:pPr>
        <w:ind w:left="540" w:hanging="270"/>
      </w:pPr>
      <w:rPr>
        <w:rFonts w:ascii="Calibri" w:eastAsia="PingFang TC" w:hAnsi="Calibri" w:cs="Calibri"/>
      </w:rPr>
    </w:lvl>
  </w:abstractNum>
  <w:abstractNum w:abstractNumId="1" w15:restartNumberingAfterBreak="0">
    <w:nsid w:val="69411DBC"/>
    <w:multiLevelType w:val="singleLevel"/>
    <w:tmpl w:val="C73E1470"/>
    <w:lvl w:ilvl="0">
      <w:start w:val="1"/>
      <w:numFmt w:val="decimal"/>
      <w:lvlText w:val="%1."/>
      <w:lvlJc w:val="left"/>
      <w:pPr>
        <w:ind w:left="540" w:hanging="270"/>
      </w:pPr>
      <w:rPr>
        <w:rFonts w:ascii="Calibri" w:eastAsia="PingFang TC" w:hAnsi="Calibri" w:cs="Calibri"/>
      </w:rPr>
    </w:lvl>
  </w:abstractNum>
  <w:num w:numId="1" w16cid:durableId="600375822">
    <w:abstractNumId w:val="0"/>
  </w:num>
  <w:num w:numId="2" w16cid:durableId="26832076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56"/>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D95"/>
    <w:rsid w:val="003D547D"/>
    <w:rsid w:val="006D6F9A"/>
    <w:rsid w:val="00A97D95"/>
    <w:rsid w:val="00BD6B2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4F6FFAD0"/>
  <w15:docId w15:val="{52ABB852-2F3F-264F-8986-09B73429B99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heme="minorEastAsia" w:hAnsi="Calibri" w:cs="Calibri"/>
        <w:sz w:val="22"/>
        <w:szCs w:val="22"/>
        <w:lang w:val="en-US" w:eastAsia="zh-TW" w:bidi="ar-SA"/>
      </w:rPr>
    </w:rPrDefault>
    <w:pPrDefault>
      <w:pPr>
        <w:spacing w:after="120" w:line="2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Calibri"/>
      <w:color w:val="1F293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Kicker">
    <w:name w:val="Kicker"/>
    <w:basedOn w:val="a"/>
    <w:next w:val="a"/>
    <w:pPr>
      <w:spacing w:before="360" w:after="40"/>
    </w:pPr>
    <w:rPr>
      <w:b/>
      <w:color w:val="2E74B5"/>
      <w:sz w:val="20"/>
      <w:szCs w:val="20"/>
    </w:rPr>
  </w:style>
  <w:style w:type="paragraph" w:customStyle="1" w:styleId="ReportTitle">
    <w:name w:val="Report Title"/>
    <w:basedOn w:val="a"/>
    <w:next w:val="a"/>
    <w:pPr>
      <w:spacing w:before="80" w:after="100"/>
    </w:pPr>
    <w:rPr>
      <w:b/>
      <w:color w:val="0B2545"/>
      <w:sz w:val="48"/>
      <w:szCs w:val="48"/>
    </w:rPr>
  </w:style>
  <w:style w:type="paragraph" w:customStyle="1" w:styleId="1">
    <w:name w:val="副標題1"/>
    <w:basedOn w:val="a"/>
    <w:next w:val="a"/>
    <w:pPr>
      <w:spacing w:after="360"/>
    </w:pPr>
    <w:rPr>
      <w:color w:val="52606D"/>
      <w:sz w:val="26"/>
      <w:szCs w:val="26"/>
    </w:rPr>
  </w:style>
  <w:style w:type="paragraph" w:customStyle="1" w:styleId="Metadata">
    <w:name w:val="Metadata"/>
    <w:basedOn w:val="a"/>
    <w:next w:val="a"/>
    <w:pPr>
      <w:spacing w:before="20" w:after="20"/>
    </w:pPr>
    <w:rPr>
      <w:color w:val="334E68"/>
      <w:sz w:val="21"/>
      <w:szCs w:val="21"/>
    </w:rPr>
  </w:style>
  <w:style w:type="paragraph" w:customStyle="1" w:styleId="11">
    <w:name w:val="標題 11"/>
    <w:basedOn w:val="a"/>
    <w:next w:val="a"/>
    <w:pPr>
      <w:keepNext/>
      <w:keepLines/>
      <w:spacing w:before="320" w:after="160"/>
      <w:outlineLvl w:val="0"/>
    </w:pPr>
    <w:rPr>
      <w:b/>
      <w:color w:val="2E74B5"/>
      <w:sz w:val="32"/>
      <w:szCs w:val="32"/>
    </w:rPr>
  </w:style>
  <w:style w:type="paragraph" w:customStyle="1" w:styleId="21">
    <w:name w:val="標題 21"/>
    <w:basedOn w:val="a"/>
    <w:next w:val="a"/>
    <w:pPr>
      <w:keepNext/>
      <w:keepLines/>
      <w:spacing w:before="240"/>
      <w:outlineLvl w:val="1"/>
    </w:pPr>
    <w:rPr>
      <w:b/>
      <w:color w:val="2E74B5"/>
      <w:sz w:val="26"/>
      <w:szCs w:val="26"/>
    </w:rPr>
  </w:style>
  <w:style w:type="paragraph" w:customStyle="1" w:styleId="31">
    <w:name w:val="標題 31"/>
    <w:basedOn w:val="a"/>
    <w:next w:val="a"/>
    <w:pPr>
      <w:keepNext/>
      <w:keepLines/>
      <w:spacing w:before="160" w:after="80"/>
      <w:outlineLvl w:val="2"/>
    </w:pPr>
    <w:rPr>
      <w:b/>
      <w:color w:val="1F4D78"/>
      <w:sz w:val="24"/>
      <w:szCs w:val="24"/>
    </w:rPr>
  </w:style>
  <w:style w:type="paragraph" w:customStyle="1" w:styleId="Lead">
    <w:name w:val="Lead"/>
    <w:basedOn w:val="a"/>
    <w:next w:val="a"/>
    <w:pPr>
      <w:pBdr>
        <w:left w:val="single" w:sz="28" w:space="8" w:color="2E74B5"/>
      </w:pBdr>
      <w:shd w:val="clear" w:color="auto" w:fill="F4F6F9"/>
      <w:spacing w:before="160" w:after="240"/>
      <w:ind w:left="180" w:right="120"/>
    </w:pPr>
  </w:style>
  <w:style w:type="paragraph" w:customStyle="1" w:styleId="Decision">
    <w:name w:val="Decision"/>
    <w:basedOn w:val="a"/>
    <w:next w:val="a"/>
    <w:pPr>
      <w:keepNext/>
      <w:keepLines/>
      <w:spacing w:before="80" w:after="100"/>
    </w:pPr>
    <w:rPr>
      <w:b/>
      <w:color w:val="0B2545"/>
      <w:sz w:val="24"/>
      <w:szCs w:val="24"/>
    </w:rPr>
  </w:style>
  <w:style w:type="paragraph" w:customStyle="1" w:styleId="Note">
    <w:name w:val="Note"/>
    <w:basedOn w:val="a"/>
    <w:next w:val="a"/>
    <w:pPr>
      <w:spacing w:after="160"/>
    </w:pPr>
    <w:rPr>
      <w:color w:val="52606D"/>
      <w:sz w:val="19"/>
      <w:szCs w:val="19"/>
    </w:rPr>
  </w:style>
  <w:style w:type="paragraph" w:customStyle="1" w:styleId="TableText">
    <w:name w:val="Table Text"/>
    <w:basedOn w:val="a"/>
    <w:next w:val="a"/>
    <w:pPr>
      <w:spacing w:before="30" w:after="30" w:line="240" w:lineRule="auto"/>
    </w:pPr>
    <w:rPr>
      <w:sz w:val="17"/>
      <w:szCs w:val="17"/>
    </w:rPr>
  </w:style>
  <w:style w:type="paragraph" w:customStyle="1" w:styleId="TableNumber">
    <w:name w:val="Table Number"/>
    <w:basedOn w:val="a"/>
    <w:next w:val="a"/>
    <w:pPr>
      <w:spacing w:before="30" w:after="30" w:line="240" w:lineRule="auto"/>
      <w:jc w:val="right"/>
    </w:pPr>
    <w:rPr>
      <w:sz w:val="17"/>
      <w:szCs w:val="17"/>
    </w:rPr>
  </w:style>
  <w:style w:type="paragraph" w:customStyle="1" w:styleId="TableHeader">
    <w:name w:val="Table Header"/>
    <w:basedOn w:val="a"/>
    <w:next w:val="a"/>
    <w:pPr>
      <w:spacing w:before="30" w:after="30" w:line="240" w:lineRule="auto"/>
      <w:jc w:val="center"/>
    </w:pPr>
    <w:rPr>
      <w:b/>
      <w:color w:val="0B2545"/>
      <w:sz w:val="17"/>
      <w:szCs w:val="17"/>
    </w:rPr>
  </w:style>
  <w:style w:type="paragraph" w:customStyle="1" w:styleId="10">
    <w:name w:val="頁尾1"/>
    <w:basedOn w:val="a"/>
    <w:next w:val="a"/>
    <w:pPr>
      <w:spacing w:after="0"/>
    </w:pPr>
    <w:rPr>
      <w:color w:val="52606D"/>
      <w:sz w:val="18"/>
      <w:szCs w:val="18"/>
    </w:rPr>
  </w:style>
  <w:style w:type="table" w:customStyle="1" w:styleId="BenchmarkTable">
    <w:name w:val="Benchmark Table"/>
    <w:tblPr>
      <w:tblBorders>
        <w:top w:val="single" w:sz="4" w:space="0" w:color="C7D0D9"/>
        <w:left w:val="single" w:sz="4" w:space="0" w:color="C7D0D9"/>
        <w:bottom w:val="single" w:sz="4" w:space="0" w:color="C7D0D9"/>
        <w:right w:val="single" w:sz="4" w:space="0" w:color="C7D0D9"/>
        <w:insideH w:val="single" w:sz="4" w:space="0" w:color="C7D0D9"/>
        <w:insideV w:val="single" w:sz="4" w:space="0" w:color="C7D0D9"/>
      </w:tblBorders>
      <w:tblCellMar>
        <w:top w:w="80" w:type="dxa"/>
        <w:left w:w="80" w:type="dxa"/>
        <w:bottom w:w="80" w:type="dxa"/>
        <w:right w:w="8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Relationships xmlns="http://schemas.openxmlformats.org/package/2006/relationships"><Relationship Id="rId18" Type="http://schemas.openxmlformats.org/officeDocument/2006/relationships/footer" Target="footer1.xml" /><Relationship Id="rId3" Type="http://schemas.openxmlformats.org/officeDocument/2006/relationships/settings" Target="settings.xml" /><Relationship Id="rId2" Type="http://schemas.openxmlformats.org/officeDocument/2006/relationships/styles" Target="styles.xml" /><Relationship Id="rId20"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9"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3637</Words>
  <Characters>19131</Characters>
  <Application>Microsoft Office Word</Application>
  <DocSecurity>0</DocSecurity>
  <Lines>869</Lines>
  <Paragraphs>843</Paragraphs>
  <ScaleCrop>false</ScaleCrop>
  <Company/>
  <LinksUpToDate>false</LinksUpToDate>
  <CharactersWithSpaces>21925</CharactersWithSpaces>
  <SharedDoc>false</SharedDoc>
  <HyperlinksChanged>false</HyperlinksChanged>
  <AppVersion>16.0000</AppVersion>
</Properties>
</file>

<file path=docProps/core.xml><?xml version="1.0" encoding="utf-8"?>
<ns0:coreProperties xmlns:dc="http://purl.org/dc/elements/1.1/" xmlns:dcterms="http://purl.org/dc/terms/" xmlns:ns0="http://schemas.openxmlformats.org/package/2006/metadata/core-properties" xmlns:xsi="http://www.w3.org/2001/XMLSchema-instance">
  <dc:title>A-partial model performance report revised 20261009</dc:title>
  <dc:subject>Stage 2 validation report using schema 5.0 outputs</dc:subject>
  <dc:creator>stock_forecasting project</dc:creator>
  <ns0:keywords>Kronos, quantile forecast, benchmark-relative alpha, pinball loss, RankIC, validation</ns0:keywords>
  <dc:description>Bilingual Stage 2 model performance evaluation based on immutable run artifacts.</dc:description>
  <ns0:lastModifiedBy>鷹揚 牧野</ns0:lastModifiedBy>
  <ns0:revision>4</ns0:revision>
  <dcterms:created xsi:type="dcterms:W3CDTF">2026-07-17T00:00:00Z</dcterms:created>
  <dcterms:modified xsi:type="dcterms:W3CDTF">2026-10-09T00:00:00Z</dcterms:modified>
</ns0:coreProperties>
</file>