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ReportTitle"/>
      </w:pPr>
      <w:r>
        <w:t xml:space="preserve">1 至 14 日 Alpha 預測與選股評估</w:t>
      </w:r>
    </w:p>
    <w:p>
      <w:pPr>
        <w:pStyle w:val="1"/>
      </w:pPr>
      <w:r>
        <w:t xml:space="preserve">A-LoRA64  Stage 2  run-20261007T085627Z-cc5f9ef13b484d90</w:t>
      </w:r>
    </w:p>
    <w:p>
      <w:pPr>
        <w:pStyle w:val="Metadata"/>
      </w:pPr>
      <w:r>
        <w:t xml:space="preserve">報告修訂日期：2026-10-09</w:t>
      </w:r>
    </w:p>
    <w:p>
      <w:pPr>
        <w:pStyle w:val="Metadata"/>
      </w:pPr>
      <w:r>
        <w:t>最佳 checkpoint：checkpoint-014720（global step 14,720）</w:t>
      </w:r>
    </w:p>
    <w:p>
      <w:pPr>
        <w:pStyle w:val="Metadata"/>
      </w:pPr>
      <w:r>
        <w:t>評估資料：完整 test；checkpoint 由 validation 選出；test 已解鎖</w:t>
      </w:r>
    </w:p>
    <w:p>
      <w:pPr>
        <w:pStyle w:val="Lead"/>
      </w:pPr>
      <w:r>
        <w:t xml:space="preserve">A-LoRA64 的 raw test normalized pinball 為 0.291608，13 個模型第 1 名；校準後為 0.291244，整體 coverage 由 77.8015% 變為 79.4615%。q50 不變，方向能力需與 training 固定分布比較。獨立 ranking head 另按市場呈現。現有成本後報酬、Sharpe 與最大回撤存在資金尺度問題，不能作可靠策略績效結論。</w:t>
      </w:r>
    </w:p>
    <w:p>
      <w:pPr>
        <w:pStyle w:val="11"/>
      </w:pPr>
      <w:r>
        <w:t>1. 執行摘要</w:t>
      </w:r>
    </w:p>
    <w:p>
      <w:pPr>
        <w:pStyle w:val="21"/>
      </w:pPr>
      <w:r>
        <w:t>1.1 評估單位是全部 14 個 horizon</w:t>
      </w:r>
    </w:p>
    <w:p>
      <w:pPr>
        <w:pStyle w:val="a"/>
      </w:pPr>
      <w:r>
        <w:t>每筆樣本包含 14 組獨立 q10、q50、q90；selection score 是 14 個 horizon normalized pinball 等權平均。本輪直接評估完整 test split，不是抽樣子集。</w:t>
      </w:r>
    </w:p>
    <w:p>
      <w:pPr>
        <w:pStyle w:val="Decision"/>
        <w:keepNext/>
        <w:spacing w:after="80"/>
      </w:pPr>
      <w:r>
        <w:t>表 1｜跨 1 至 14 日的核心結論</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評估面向</w:t>
            </w:r>
          </w:p>
        </w:tc>
        <w:tc>
          <w:tcPr>
            <w:tcW w:w="2800" w:type="dxa"/>
            <w:shd w:val="clear" w:fill="DCE6F1"/>
            <w:vAlign w:val="center"/>
          </w:tcPr>
          <w:p>
            <w:pPr>
              <w:pStyle w:val="TableHeader"/>
            </w:pPr>
            <w:r>
              <w:t>本次結果</w:t>
            </w:r>
          </w:p>
        </w:tc>
        <w:tc>
          <w:tcPr>
            <w:tcW w:w="3910" w:type="dxa"/>
            <w:shd w:val="clear" w:fill="DCE6F1"/>
            <w:vAlign w:val="center"/>
          </w:tcPr>
          <w:p>
            <w:pPr>
              <w:pStyle w:val="TableHeader"/>
            </w:pPr>
            <w:r>
              <w:t>正確解讀</w:t>
            </w:r>
          </w:p>
        </w:tc>
      </w:tr>
      <w:tr>
        <w:trPr>
          <w:cantSplit/>
        </w:trPr>
        <w:tc>
          <w:tcPr>
            <w:tcW w:w="2650" w:type="dxa"/>
            <w:vAlign w:val="center"/>
          </w:tcPr>
          <w:p>
            <w:pPr>
              <w:pStyle w:val="TableText"/>
            </w:pPr>
            <w:r>
              <w:t xml:space="preserve">全 horizon raw test score</w:t>
            </w:r>
          </w:p>
        </w:tc>
        <w:tc>
          <w:tcPr>
            <w:tcW w:w="2800" w:type="dxa"/>
            <w:vAlign w:val="center"/>
          </w:tcPr>
          <w:p>
            <w:pPr>
              <w:pStyle w:val="TableNumber"/>
            </w:pPr>
            <w:r>
              <w:t xml:space="preserve">0.291608</w:t>
            </w:r>
          </w:p>
        </w:tc>
        <w:tc>
          <w:tcPr>
            <w:tcW w:w="3910" w:type="dxa"/>
            <w:vAlign w:val="center"/>
          </w:tcPr>
          <w:p>
            <w:pPr>
              <w:pStyle w:val="TableText"/>
            </w:pPr>
            <w:r>
              <w:t xml:space="preserve">13 個模型第 1 名；只用 raw validation 選 checkpoint</w:t>
            </w:r>
          </w:p>
        </w:tc>
      </w:tr>
      <w:tr>
        <w:trPr>
          <w:cantSplit/>
        </w:trPr>
        <w:tc>
          <w:tcPr>
            <w:tcW w:w="2650" w:type="dxa"/>
            <w:vAlign w:val="center"/>
          </w:tcPr>
          <w:p>
            <w:pPr>
              <w:pStyle w:val="TableText"/>
            </w:pPr>
            <w:r>
              <w:t xml:space="preserve">校準後分布誤差</w:t>
            </w:r>
          </w:p>
        </w:tc>
        <w:tc>
          <w:tcPr>
            <w:tcW w:w="2800" w:type="dxa"/>
            <w:vAlign w:val="center"/>
          </w:tcPr>
          <w:p>
            <w:pPr>
              <w:pStyle w:val="TableNumber"/>
            </w:pPr>
            <w:r>
              <w:t xml:space="preserve">0.291244</w:t>
            </w:r>
          </w:p>
        </w:tc>
        <w:tc>
          <w:tcPr>
            <w:tcW w:w="3910" w:type="dxa"/>
            <w:vAlign w:val="center"/>
          </w:tcPr>
          <w:p>
            <w:pPr>
              <w:pStyle w:val="TableText"/>
            </w:pPr>
            <w:r>
              <w:t xml:space="preserve">validation 擬合後凍結套用 test；不是新的選模分數</w:t>
            </w:r>
          </w:p>
        </w:tc>
      </w:tr>
      <w:tr>
        <w:trPr>
          <w:cantSplit/>
        </w:trPr>
        <w:tc>
          <w:tcPr>
            <w:tcW w:w="2650" w:type="dxa"/>
            <w:vAlign w:val="center"/>
          </w:tcPr>
          <w:p>
            <w:pPr>
              <w:pStyle w:val="TableText"/>
            </w:pPr>
            <w:r>
              <w:t xml:space="preserve">整體 coverage raw / calibrated</w:t>
            </w:r>
          </w:p>
        </w:tc>
        <w:tc>
          <w:tcPr>
            <w:tcW w:w="2800" w:type="dxa"/>
            <w:vAlign w:val="center"/>
          </w:tcPr>
          <w:p>
            <w:pPr>
              <w:pStyle w:val="TableNumber"/>
            </w:pPr>
            <w:r>
              <w:t xml:space="preserve">77.8015%</w:t>
              <w:br/>
              <w:t xml:space="preserve">79.4615%</w:t>
            </w:r>
          </w:p>
        </w:tc>
        <w:tc>
          <w:tcPr>
            <w:tcW w:w="3910" w:type="dxa"/>
            <w:vAlign w:val="center"/>
          </w:tcPr>
          <w:p>
            <w:pPr>
              <w:pStyle w:val="TableText"/>
            </w:pPr>
            <w:r>
              <w:t xml:space="preserve">須連同區間寬度及市場別結果閱讀；不保證每個子群達 80%</w:t>
            </w:r>
          </w:p>
        </w:tc>
      </w:tr>
      <w:tr>
        <w:trPr>
          <w:cantSplit/>
        </w:trPr>
        <w:tc>
          <w:tcPr>
            <w:tcW w:w="2650" w:type="dxa"/>
            <w:vAlign w:val="center"/>
          </w:tcPr>
          <w:p>
            <w:pPr>
              <w:pStyle w:val="TableText"/>
            </w:pPr>
            <w:r>
              <w:t xml:space="preserve">q50 Pearson correlation</w:t>
            </w:r>
          </w:p>
        </w:tc>
        <w:tc>
          <w:tcPr>
            <w:tcW w:w="2800" w:type="dxa"/>
            <w:vAlign w:val="center"/>
          </w:tcPr>
          <w:p>
            <w:pPr>
              <w:pStyle w:val="TableNumber"/>
            </w:pPr>
            <w:r>
              <w:t xml:space="preserve">0.0701~0.1303</w:t>
            </w:r>
          </w:p>
        </w:tc>
        <w:tc>
          <w:tcPr>
            <w:tcW w:w="3910" w:type="dxa"/>
            <w:vAlign w:val="center"/>
          </w:tcPr>
          <w:p>
            <w:pPr>
              <w:pStyle w:val="TableText"/>
            </w:pPr>
            <w:r>
              <w:t xml:space="preserve">報酬中位數是否與實際 alpha 共同變動；校準後不變</w:t>
            </w:r>
          </w:p>
        </w:tc>
      </w:tr>
      <w:tr>
        <w:trPr>
          <w:cantSplit/>
        </w:trPr>
        <w:tc>
          <w:tcPr>
            <w:tcW w:w="2650" w:type="dxa"/>
            <w:vAlign w:val="center"/>
          </w:tcPr>
          <w:p>
            <w:pPr>
              <w:pStyle w:val="TableText"/>
            </w:pPr>
            <w:r>
              <w:t xml:space="preserve">方向一致率相對固定分布</w:t>
            </w:r>
          </w:p>
        </w:tc>
        <w:tc>
          <w:tcPr>
            <w:tcW w:w="2800" w:type="dxa"/>
            <w:vAlign w:val="center"/>
          </w:tcPr>
          <w:p>
            <w:pPr>
              <w:pStyle w:val="TableNumber"/>
            </w:pPr>
            <w:r>
              <w:t xml:space="preserve">-0.9627~+0.0732 pp</w:t>
            </w:r>
          </w:p>
        </w:tc>
        <w:tc>
          <w:tcPr>
            <w:tcW w:w="3910" w:type="dxa"/>
            <w:vAlign w:val="center"/>
          </w:tcPr>
          <w:p>
            <w:pPr>
              <w:pStyle w:val="TableText"/>
            </w:pPr>
            <w:r>
              <w:t xml:space="preserve">僅 1/14 個 horizon 高於 training 固定 baseline；非股價漲跌</w:t>
            </w:r>
          </w:p>
        </w:tc>
      </w:tr>
      <w:tr>
        <w:trPr>
          <w:cantSplit/>
        </w:trPr>
        <w:tc>
          <w:tcPr>
            <w:tcW w:w="2650" w:type="dxa"/>
            <w:vAlign w:val="center"/>
          </w:tcPr>
          <w:p>
            <w:pPr>
              <w:pStyle w:val="TableText"/>
            </w:pPr>
            <w:r>
              <w:t xml:space="preserve">以 q50 排序的 RankIC</w:t>
            </w:r>
          </w:p>
        </w:tc>
        <w:tc>
          <w:tcPr>
            <w:tcW w:w="2800" w:type="dxa"/>
            <w:vAlign w:val="center"/>
          </w:tcPr>
          <w:p>
            <w:pPr>
              <w:pStyle w:val="TableNumber"/>
            </w:pPr>
            <w:r>
              <w:t xml:space="preserve">0.0844~0.1264</w:t>
            </w:r>
          </w:p>
        </w:tc>
        <w:tc>
          <w:tcPr>
            <w:tcW w:w="3910" w:type="dxa"/>
            <w:vAlign w:val="center"/>
          </w:tcPr>
          <w:p>
            <w:pPr>
              <w:pStyle w:val="TableText"/>
            </w:pPr>
            <w:r>
              <w:t xml:space="preserve">跨市場同日排序；與市場別 head 缺少公平同群對照</w:t>
            </w:r>
          </w:p>
        </w:tc>
      </w:tr>
      <w:tr>
        <w:trPr>
          <w:cantSplit/>
        </w:trPr>
        <w:tc>
          <w:tcPr>
            <w:tcW w:w="2650" w:type="dxa"/>
            <w:vAlign w:val="center"/>
          </w:tcPr>
          <w:p>
            <w:pPr>
              <w:pStyle w:val="TableText"/>
            </w:pPr>
            <w:r>
              <w:t xml:space="preserve">獨立 ranking head RankIC</w:t>
            </w:r>
          </w:p>
        </w:tc>
        <w:tc>
          <w:tcPr>
            <w:tcW w:w="2800" w:type="dxa"/>
            <w:vAlign w:val="center"/>
          </w:tcPr>
          <w:p>
            <w:pPr>
              <w:pStyle w:val="TableNumber"/>
            </w:pPr>
            <w:r>
              <w:t xml:space="preserve">US 0.0284~0.0893; TWSE 0.0508~0.0665; TPEX 0.0482~0.0696</w:t>
            </w:r>
          </w:p>
        </w:tc>
        <w:tc>
          <w:tcPr>
            <w:tcW w:w="3910" w:type="dxa"/>
            <w:vAlign w:val="center"/>
          </w:tcPr>
          <w:p>
            <w:pPr>
              <w:pStyle w:val="TableText"/>
            </w:pPr>
            <w:r>
              <w:t xml:space="preserve">無量綱分數；42 個市場與 horizon 組合均為正，穩定性仍待驗證</w:t>
            </w:r>
          </w:p>
        </w:tc>
      </w:tr>
      <w:tr>
        <w:trPr>
          <w:cantSplit/>
        </w:trPr>
        <w:tc>
          <w:tcPr>
            <w:tcW w:w="2650" w:type="dxa"/>
            <w:vAlign w:val="center"/>
          </w:tcPr>
          <w:p>
            <w:pPr>
              <w:pStyle w:val="TableText"/>
            </w:pPr>
            <w:r>
              <w:t xml:space="preserve">成本後 Sharpe 及最大回撤</w:t>
            </w:r>
          </w:p>
        </w:tc>
        <w:tc>
          <w:tcPr>
            <w:tcW w:w="2800" w:type="dxa"/>
            <w:vAlign w:val="center"/>
          </w:tcPr>
          <w:p>
            <w:pPr>
              <w:pStyle w:val="TableNumber"/>
            </w:pPr>
            <w:r>
              <w:t xml:space="preserve">保留原值於表 9</w:t>
            </w:r>
          </w:p>
        </w:tc>
        <w:tc>
          <w:tcPr>
            <w:tcW w:w="3910" w:type="dxa"/>
            <w:vAlign w:val="center"/>
          </w:tcPr>
          <w:p>
            <w:pPr>
              <w:pStyle w:val="TableText"/>
            </w:pPr>
            <w:r>
              <w:t xml:space="preserve">舊版簡化診斷；資金／成本尺度未對齊，不作可靠策略績效結論</w:t>
            </w:r>
          </w:p>
        </w:tc>
      </w:tr>
    </w:tbl>
    <w:p>
      <w:pPr>
        <w:pStyle w:val="21"/>
        <w:spacing w:before="160"/>
      </w:pPr>
      <w:r>
        <w:t>1.2 決策與證據強度</w:t>
      </w:r>
    </w:p>
    <w:p>
      <w:pPr>
        <w:pStyle w:val="a"/>
      </w:pPr>
      <w:r>
        <w:t xml:space="preserve">本實驗 raw 分布誤差排名第 1/13。相較 training 固定無條件分布 baseline 0.309493，誤差低 5.78%。三個實驗是相同 test 集合上的單一 seed 設定比較，不是多 seed 穩定性。always_buy 與 zero_return 雖保留兩個來源名稱，實際預測相同，不能當成兩種不同的方向策略。</w:t>
      </w:r>
    </w:p>
    <w:p>
      <w:pPr>
        <w:pStyle w:val="Decision"/>
      </w:pPr>
      <w:r>
        <w:t xml:space="preserve">決策：保留 checkpoint 與預測評估證據。完成多 seed 穩定性、同市場排序對照，以及評估程式資金／成本口徑修正與正式回測之前，不批准部署或獲利宣稱。</w:t>
      </w:r>
    </w:p>
    <w:p>
      <w:pPr>
        <w:pStyle w:val="Note"/>
      </w:pPr>
      <w:r>
        <w:t>selection score 衡量 14 個 horizon 的分布誤差。它不是報酬率、勝率或可交易性分數。</w:t>
      </w:r>
    </w:p>
    <w:p>
      <w:pPr>
        <w:pStyle w:val="11"/>
      </w:pPr>
      <w:r>
        <w:t xml:space="preserve">2. 評估設計與證據邊界</w:t>
      </w:r>
    </w:p>
    <w:p>
      <w:pPr>
        <w:pStyle w:val="21"/>
      </w:pPr>
      <w:r>
        <w:t>2.1 資料與切分</w:t>
      </w:r>
    </w:p>
    <w:p>
      <w:pPr>
        <w:pStyle w:val="a"/>
      </w:pPr>
      <w:r>
        <w:t xml:space="preserve">資料 profile 為 us_tw_eodhd。三個 run 均為 evaluation_split=test、state=ready，使用相同 534,327 windows、112 個預測日期與相同有序股票日期集合。檔名 validation-benchmark.json 是工作流程名稱，不代表最終結果來自 validation。完整 test 預測日期為 2025-12-01 至 2026-05-11；validation 僅用於 checkpoint 選擇、早停及校準擬合。</w:t>
      </w:r>
    </w:p>
    <w:p>
      <w:pPr>
        <w:pStyle w:val="Decision"/>
        <w:keepNext/>
        <w:spacing w:after="80"/>
      </w:pPr>
      <w:r>
        <w:t>表 2｜樣本與切分</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項目</w:t>
            </w:r>
          </w:p>
        </w:tc>
        <w:tc>
          <w:tcPr>
            <w:tcW w:w="2050" w:type="dxa"/>
            <w:shd w:val="clear" w:fill="DCE6F1"/>
            <w:vAlign w:val="center"/>
          </w:tcPr>
          <w:p>
            <w:pPr>
              <w:pStyle w:val="TableHeader"/>
            </w:pPr>
            <w:r>
              <w:t>數量或狀態</w:t>
            </w:r>
          </w:p>
        </w:tc>
        <w:tc>
          <w:tcPr>
            <w:tcW w:w="4510" w:type="dxa"/>
            <w:shd w:val="clear" w:fill="DCE6F1"/>
            <w:vAlign w:val="center"/>
          </w:tcPr>
          <w:p>
            <w:pPr>
              <w:pStyle w:val="TableHeader"/>
            </w:pPr>
            <w:r>
              <w:t>報告意義</w:t>
            </w:r>
          </w:p>
        </w:tc>
      </w:tr>
      <w:tr>
        <w:trPr>
          <w:cantSplit/>
        </w:trPr>
        <w:tc>
          <w:tcPr>
            <w:tcW w:w="2800" w:type="dxa"/>
            <w:vAlign w:val="center"/>
          </w:tcPr>
          <w:p>
            <w:pPr>
              <w:pStyle w:val="TableText"/>
            </w:pPr>
            <w:r>
              <w:t>每個 epoch 訓練樣本</w:t>
            </w:r>
          </w:p>
        </w:tc>
        <w:tc>
          <w:tcPr>
            <w:tcW w:w="2050" w:type="dxa"/>
            <w:vAlign w:val="center"/>
          </w:tcPr>
          <w:p>
            <w:pPr>
              <w:pStyle w:val="TableNumber"/>
            </w:pPr>
            <w:r>
              <w:t>4,710,117</w:t>
            </w:r>
          </w:p>
        </w:tc>
        <w:tc>
          <w:tcPr>
            <w:tcW w:w="4510" w:type="dxa"/>
            <w:vAlign w:val="center"/>
          </w:tcPr>
          <w:p>
            <w:pPr>
              <w:pStyle w:val="TableText"/>
            </w:pPr>
            <w:r>
              <w:t>依本輪 Stage 2 設定抽樣，未重複計算 epoch</w:t>
            </w:r>
          </w:p>
        </w:tc>
      </w:tr>
      <w:tr>
        <w:trPr>
          <w:cantSplit/>
        </w:trPr>
        <w:tc>
          <w:tcPr>
            <w:tcW w:w="2800" w:type="dxa"/>
            <w:vAlign w:val="center"/>
          </w:tcPr>
          <w:p>
            <w:pPr>
              <w:pStyle w:val="TableText"/>
            </w:pPr>
            <w:r>
              <w:t>實際處理訓練樣本</w:t>
            </w:r>
          </w:p>
        </w:tc>
        <w:tc>
          <w:tcPr>
            <w:tcW w:w="2050" w:type="dxa"/>
            <w:vAlign w:val="center"/>
          </w:tcPr>
          <w:p>
            <w:pPr>
              <w:pStyle w:val="TableNumber"/>
            </w:pPr>
            <w:r>
              <w:t>9,420,288／23,550,585（40.00%）</w:t>
            </w:r>
          </w:p>
        </w:tc>
        <w:tc>
          <w:tcPr>
            <w:tcW w:w="4510" w:type="dxa"/>
            <w:vAlign w:val="center"/>
          </w:tcPr>
          <w:p>
            <w:pPr>
              <w:pStyle w:val="TableText"/>
            </w:pPr>
            <w:r>
              <w:t>因 early stopping 提前停止，未完成原定樣本數</w:t>
            </w:r>
          </w:p>
        </w:tc>
      </w:tr>
      <w:tr>
        <w:trPr>
          <w:cantSplit/>
        </w:trPr>
        <w:tc>
          <w:tcPr>
            <w:tcW w:w="2800" w:type="dxa"/>
            <w:vAlign w:val="center"/>
          </w:tcPr>
          <w:p>
            <w:pPr>
              <w:pStyle w:val="TableText"/>
            </w:pPr>
            <w:r>
              <w:t>完整 validation split</w:t>
            </w:r>
          </w:p>
        </w:tc>
        <w:tc>
          <w:tcPr>
            <w:tcW w:w="2050" w:type="dxa"/>
            <w:vAlign w:val="center"/>
          </w:tcPr>
          <w:p>
            <w:pPr>
              <w:pStyle w:val="TableNumber"/>
            </w:pPr>
            <w:r>
              <w:t>528,315</w:t>
            </w:r>
          </w:p>
        </w:tc>
        <w:tc>
          <w:tcPr>
            <w:tcW w:w="4510" w:type="dxa"/>
            <w:vAlign w:val="center"/>
          </w:tcPr>
          <w:p>
            <w:pPr>
              <w:pStyle w:val="TableText"/>
            </w:pPr>
            <w:r>
              <w:t>用於 checkpoint 選擇與 early stopping</w:t>
            </w:r>
          </w:p>
        </w:tc>
      </w:tr>
      <w:tr>
        <w:trPr>
          <w:cantSplit/>
        </w:trPr>
        <w:tc>
          <w:tcPr>
            <w:tcW w:w="2800" w:type="dxa"/>
            <w:vAlign w:val="center"/>
          </w:tcPr>
          <w:p>
            <w:pPr>
              <w:pStyle w:val="TableText"/>
            </w:pPr>
            <w:r>
              <w:t>完整 test split</w:t>
            </w:r>
          </w:p>
        </w:tc>
        <w:tc>
          <w:tcPr>
            <w:tcW w:w="2050" w:type="dxa"/>
            <w:vAlign w:val="center"/>
          </w:tcPr>
          <w:p>
            <w:pPr>
              <w:pStyle w:val="TableNumber"/>
            </w:pPr>
            <w:r>
              <w:t>534,327</w:t>
            </w:r>
          </w:p>
        </w:tc>
        <w:tc>
          <w:tcPr>
            <w:tcW w:w="4510" w:type="dxa"/>
            <w:vAlign w:val="center"/>
          </w:tcPr>
          <w:p>
            <w:pPr>
              <w:pStyle w:val="TableText"/>
            </w:pPr>
            <w:r>
              <w:t>直接評估完整 test split，沒有抽樣</w:t>
            </w:r>
          </w:p>
        </w:tc>
      </w:tr>
      <w:tr>
        <w:trPr>
          <w:cantSplit/>
        </w:trPr>
        <w:tc>
          <w:tcPr>
            <w:tcW w:w="2800" w:type="dxa"/>
            <w:vAlign w:val="center"/>
          </w:tcPr>
          <w:p>
            <w:pPr>
              <w:pStyle w:val="TableText"/>
            </w:pPr>
            <w:r>
              <w:t>test 日期與日期數</w:t>
            </w:r>
          </w:p>
        </w:tc>
        <w:tc>
          <w:tcPr>
            <w:tcW w:w="2050" w:type="dxa"/>
            <w:vAlign w:val="center"/>
          </w:tcPr>
          <w:p>
            <w:pPr>
              <w:pStyle w:val="TableNumber"/>
            </w:pPr>
            <w:r>
              <w:t>2025-12-01 至 2026-05-11；112 個日期</w:t>
            </w:r>
          </w:p>
        </w:tc>
        <w:tc>
          <w:tcPr>
            <w:tcW w:w="4510" w:type="dxa"/>
            <w:vAlign w:val="center"/>
          </w:tcPr>
          <w:p>
            <w:pPr>
              <w:pStyle w:val="TableText"/>
            </w:pPr>
            <w:r>
              <w:t>14 個 horizon 共用完整 symbol-date membership</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單一 seed；未估計重訓波動</w:t>
            </w:r>
          </w:p>
        </w:tc>
      </w:tr>
      <w:tr>
        <w:trPr>
          <w:cantSplit/>
        </w:trPr>
        <w:tc>
          <w:tcPr>
            <w:tcW w:w="2800" w:type="dxa"/>
            <w:vAlign w:val="center"/>
          </w:tcPr>
          <w:p>
            <w:pPr>
              <w:pStyle w:val="TableText"/>
            </w:pPr>
            <w:r>
              <w:t>test membership SHA-256</w:t>
            </w:r>
          </w:p>
        </w:tc>
        <w:tc>
          <w:tcPr>
            <w:tcW w:w="2050" w:type="dxa"/>
            <w:vAlign w:val="center"/>
          </w:tcPr>
          <w:p>
            <w:pPr>
              <w:pStyle w:val="TableNumber"/>
            </w:pPr>
            <w:r>
              <w:t>93e2e6a0b74edbdce616b82628aed180dad4d004a9bcd24292a78896c240bc0d</w:t>
            </w:r>
          </w:p>
        </w:tc>
        <w:tc>
          <w:tcPr>
            <w:tcW w:w="4510" w:type="dxa"/>
            <w:vAlign w:val="center"/>
          </w:tcPr>
          <w:p>
            <w:pPr>
              <w:pStyle w:val="TableText"/>
            </w:pPr>
            <w:r>
              <w:t>固定本輪完整 test 成員的可重現識別</w:t>
            </w:r>
          </w:p>
        </w:tc>
      </w:tr>
    </w:tbl>
    <w:p>
      <w:pPr>
        <w:pStyle w:val="a"/>
        <w:spacing w:before="160"/>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 benchmark 多賺或少賺多少」，不是估值、目標價或單獨股價報酬。若 alpha=0.05，精確相對 gross ratio 是 exp(0.05)-1=5.13%。</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的實際結果會低於它；不是下跌機率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實際結果約一半較低、一半較高；常作點預測與排序訊號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的實際結果會低於它；不是保證上限</w:t>
            </w:r>
          </w:p>
        </w:tc>
      </w:tr>
    </w:tbl>
    <w:p>
      <w:pPr>
        <w:pStyle w:val="21"/>
        <w:spacing w:before="160"/>
      </w:pPr>
      <w:r>
        <w:t>3.2 三種股票情境</w:t>
      </w:r>
    </w:p>
    <w:p>
      <w:pPr>
        <w:pStyle w:val="Decision"/>
        <w:keepNext/>
        <w:spacing w:after="80"/>
      </w:pPr>
      <w:r>
        <w:t>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 q10 都大於 0；三個情境都預測優於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 q90 都小於 0；三個情境都預測落後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中間接近持平但樂觀尾端很大；不代表有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高於 0 但 q10 低於 0；悲觀情境仍可能落後</w:t>
            </w:r>
          </w:p>
        </w:tc>
      </w:tr>
    </w:tbl>
    <w:p>
      <w:pPr>
        <w:pStyle w:val="Note"/>
        <w:spacing w:before="160"/>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alpha head 先產生 q50，再以正值距離形成 q10=q50-lower_gap 與 q90=q50+upper_gap，維持 q10≤q50≤q90。bullish、bearish、strong signal 是後處理標籤，不是分類器輸出。設定中的 forecast_horizon=5 與 primary_5d 是舊相容欄位；實際輸出為 [batch,14,3]，checkpoint monitor 彙總 1 至 14 日 normalized pinball，本報告完整評估 1 至 14 日。</w:t>
      </w:r>
    </w:p>
    <w:p>
      <w:pPr>
        <w:pStyle w:val="11"/>
      </w:pPr>
      <w:r>
        <w:t>4. 訓練完成度 早停與 checkpoint</w:t>
      </w:r>
    </w:p>
    <w:p>
      <w:pPr>
        <w:pStyle w:val="21"/>
      </w:pPr>
      <w:r>
        <w:t>4.1 執行狀態</w:t>
      </w:r>
    </w:p>
    <w:p>
      <w:pPr>
        <w:pStyle w:val="Decision"/>
        <w:keepNext/>
        <w:spacing w:after="80"/>
      </w:pPr>
      <w:r>
        <w:t>表 5｜訓練摘要</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項目</w:t>
            </w:r>
          </w:p>
        </w:tc>
        <w:tc>
          <w:tcPr>
            <w:tcW w:w="6260" w:type="dxa"/>
            <w:shd w:val="clear" w:fill="DCE6F1"/>
            <w:vAlign w:val="center"/>
          </w:tcPr>
          <w:p>
            <w:pPr>
              <w:pStyle w:val="TableHeader"/>
            </w:pPr>
            <w:r>
              <w:t>結果</w:t>
            </w:r>
          </w:p>
        </w:tc>
      </w:tr>
      <w:tr>
        <w:trPr>
          <w:cantSplit/>
        </w:trPr>
        <w:tc>
          <w:tcPr>
            <w:tcW w:w="3100" w:type="dxa"/>
            <w:vAlign w:val="center"/>
          </w:tcPr>
          <w:p>
            <w:pPr>
              <w:pStyle w:val="TableText"/>
            </w:pPr>
            <w:r>
              <w:t>完成證據</w:t>
            </w:r>
          </w:p>
        </w:tc>
        <w:tc>
          <w:tcPr>
            <w:tcW w:w="6260" w:type="dxa"/>
            <w:vAlign w:val="center"/>
          </w:tcPr>
          <w:p>
            <w:pPr>
              <w:pStyle w:val="TableText"/>
            </w:pPr>
            <w:r>
              <w:t>training_completed=true；training/validation lifecycle 均 ready；test evaluation state=ready</w:t>
            </w:r>
          </w:p>
        </w:tc>
      </w:tr>
      <w:tr>
        <w:trPr>
          <w:cantSplit/>
        </w:trPr>
        <w:tc>
          <w:tcPr>
            <w:tcW w:w="3100" w:type="dxa"/>
            <w:vAlign w:val="center"/>
          </w:tcPr>
          <w:p>
            <w:pPr>
              <w:pStyle w:val="TableText"/>
            </w:pPr>
            <w:r>
              <w:t>Lifecycle 狀態</w:t>
            </w:r>
          </w:p>
        </w:tc>
        <w:tc>
          <w:tcPr>
            <w:tcW w:w="6260" w:type="dxa"/>
            <w:vAlign w:val="center"/>
          </w:tcPr>
          <w:p>
            <w:pPr>
              <w:pStyle w:val="TableText"/>
            </w:pPr>
            <w:r>
              <w:t>training exit code 0；validation exit code 0；未逾時</w:t>
            </w:r>
          </w:p>
        </w:tc>
      </w:tr>
      <w:tr>
        <w:trPr>
          <w:cantSplit/>
        </w:trPr>
        <w:tc>
          <w:tcPr>
            <w:tcW w:w="3100" w:type="dxa"/>
            <w:vAlign w:val="center"/>
          </w:tcPr>
          <w:p>
            <w:pPr>
              <w:pStyle w:val="TableText"/>
            </w:pPr>
            <w:r>
              <w:t>epoch 與 global step</w:t>
            </w:r>
          </w:p>
        </w:tc>
        <w:tc>
          <w:tcPr>
            <w:tcW w:w="6260" w:type="dxa"/>
            <w:vAlign w:val="center"/>
          </w:tcPr>
          <w:p>
            <w:pPr>
              <w:pStyle w:val="TableText"/>
            </w:pPr>
            <w:r>
              <w:t>2 個 completed epochs；停止於 step 36,798</w:t>
            </w:r>
          </w:p>
        </w:tc>
      </w:tr>
      <w:tr>
        <w:trPr>
          <w:cantSplit/>
        </w:trPr>
        <w:tc>
          <w:tcPr>
            <w:tcW w:w="3100" w:type="dxa"/>
            <w:vAlign w:val="center"/>
          </w:tcPr>
          <w:p>
            <w:pPr>
              <w:pStyle w:val="TableText"/>
            </w:pPr>
            <w:r>
              <w:t>處理訓練樣本</w:t>
            </w:r>
          </w:p>
        </w:tc>
        <w:tc>
          <w:tcPr>
            <w:tcW w:w="6260" w:type="dxa"/>
            <w:vAlign w:val="center"/>
          </w:tcPr>
          <w:p>
            <w:pPr>
              <w:pStyle w:val="TableText"/>
            </w:pPr>
            <w:r>
              <w:t>9,420,288／23,550,585（40.00%）</w:t>
            </w:r>
          </w:p>
        </w:tc>
      </w:tr>
      <w:tr>
        <w:trPr>
          <w:cantSplit/>
        </w:trPr>
        <w:tc>
          <w:tcPr>
            <w:tcW w:w="3100" w:type="dxa"/>
            <w:vAlign w:val="center"/>
          </w:tcPr>
          <w:p>
            <w:pPr>
              <w:pStyle w:val="TableText"/>
            </w:pPr>
            <w:r>
              <w:t>validation 次數</w:t>
            </w:r>
          </w:p>
        </w:tc>
        <w:tc>
          <w:tcPr>
            <w:tcW w:w="6260" w:type="dxa"/>
            <w:vAlign w:val="center"/>
          </w:tcPr>
          <w:p>
            <w:pPr>
              <w:pStyle w:val="TableText"/>
            </w:pPr>
            <w:r>
              <w:t>10</w:t>
            </w:r>
          </w:p>
        </w:tc>
      </w:tr>
      <w:tr>
        <w:trPr>
          <w:cantSplit/>
        </w:trPr>
        <w:tc>
          <w:tcPr>
            <w:tcW w:w="3100" w:type="dxa"/>
            <w:vAlign w:val="center"/>
          </w:tcPr>
          <w:p>
            <w:pPr>
              <w:pStyle w:val="TableText"/>
            </w:pPr>
            <w:r>
              <w:t>停止原因</w:t>
            </w:r>
          </w:p>
        </w:tc>
        <w:tc>
          <w:tcPr>
            <w:tcW w:w="6260" w:type="dxa"/>
            <w:vAlign w:val="center"/>
          </w:tcPr>
          <w:p>
            <w:pPr>
              <w:pStyle w:val="TableText"/>
            </w:pPr>
            <w:r>
              <w:t>early_stopping；patience 6 次未改善後停止</w:t>
            </w:r>
          </w:p>
        </w:tc>
      </w:tr>
      <w:tr>
        <w:trPr>
          <w:cantSplit/>
        </w:trPr>
        <w:tc>
          <w:tcPr>
            <w:tcW w:w="3100" w:type="dxa"/>
            <w:vAlign w:val="center"/>
          </w:tcPr>
          <w:p>
            <w:pPr>
              <w:pStyle w:val="TableText"/>
            </w:pPr>
            <w:r>
              <w:t>最佳與末次 validation monitor</w:t>
            </w:r>
          </w:p>
        </w:tc>
        <w:tc>
          <w:tcPr>
            <w:tcW w:w="6260" w:type="dxa"/>
            <w:vAlign w:val="center"/>
          </w:tcPr>
          <w:p>
            <w:pPr>
              <w:pStyle w:val="TableText"/>
            </w:pPr>
            <w:r>
              <w:t>0.261746／0.266382</w:t>
            </w:r>
          </w:p>
        </w:tc>
      </w:tr>
      <w:tr>
        <w:trPr>
          <w:cantSplit/>
        </w:trPr>
        <w:tc>
          <w:tcPr>
            <w:tcW w:w="3100" w:type="dxa"/>
            <w:vAlign w:val="center"/>
          </w:tcPr>
          <w:p>
            <w:pPr>
              <w:pStyle w:val="TableText"/>
            </w:pPr>
            <w:r>
              <w:t>模型</w:t>
            </w:r>
          </w:p>
        </w:tc>
        <w:tc>
          <w:tcPr>
            <w:tcW w:w="6260" w:type="dxa"/>
            <w:vAlign w:val="center"/>
          </w:tcPr>
          <w:p>
            <w:pPr>
              <w:pStyle w:val="TableText"/>
            </w:pPr>
            <w:r>
              <w:t>Kronos-base + LoRA rank 64／alpha 128；解凍最後 0 個 Transformer blocks；ranking loss weight 0.05</w:t>
            </w:r>
          </w:p>
        </w:tc>
      </w:tr>
      <w:tr>
        <w:trPr>
          <w:cantSplit/>
        </w:trPr>
        <w:tc>
          <w:tcPr>
            <w:tcW w:w="3100" w:type="dxa"/>
            <w:vAlign w:val="center"/>
          </w:tcPr>
          <w:p>
            <w:pPr>
              <w:pStyle w:val="TableText"/>
            </w:pPr>
            <w:r>
              <w:t>訓練硬體與精度</w:t>
            </w:r>
          </w:p>
        </w:tc>
        <w:tc>
          <w:tcPr>
            <w:tcW w:w="6260" w:type="dxa"/>
            <w:vAlign w:val="center"/>
          </w:tcPr>
          <w:p>
            <w:pPr>
              <w:pStyle w:val="TableText"/>
            </w:pPr>
            <w:r>
              <w:t>NVIDIA GeForce RTX 5090；bfloat16</w:t>
            </w:r>
          </w:p>
        </w:tc>
      </w:tr>
      <w:tr>
        <w:trPr>
          <w:cantSplit/>
        </w:trPr>
        <w:tc>
          <w:tcPr>
            <w:tcW w:w="3100" w:type="dxa"/>
            <w:vAlign w:val="center"/>
          </w:tcPr>
          <w:p>
            <w:pPr>
              <w:pStyle w:val="TableText"/>
            </w:pPr>
            <w:r>
              <w:t>推論執行</w:t>
            </w:r>
          </w:p>
        </w:tc>
        <w:tc>
          <w:tcPr>
            <w:tcW w:w="6260" w:type="dxa"/>
            <w:vAlign w:val="center"/>
          </w:tcPr>
          <w:p>
            <w:pPr>
              <w:pStyle w:val="TableText"/>
            </w:pPr>
            <w:r>
              <w:t>534,327 samples；1067.1 samples/s；11 workers</w:t>
            </w:r>
          </w:p>
        </w:tc>
      </w:tr>
    </w:tbl>
    <w:p>
      <w:pPr>
        <w:pStyle w:val="21"/>
        <w:spacing w:before="160"/>
      </w:pPr>
      <w:r>
        <w:t>4.2 Checkpoint 排名</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排名</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 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checkpoint-014720</w:t>
            </w:r>
          </w:p>
        </w:tc>
        <w:tc>
          <w:tcPr>
            <w:tcW w:w="1800" w:type="dxa"/>
            <w:shd w:val="clear" w:fill="EDF5FC"/>
            <w:vAlign w:val="center"/>
          </w:tcPr>
          <w:p>
            <w:pPr>
              <w:pStyle w:val="TableNumber"/>
            </w:pPr>
            <w:r>
              <w:t>14,720</w:t>
            </w:r>
          </w:p>
        </w:tc>
        <w:tc>
          <w:tcPr>
            <w:tcW w:w="3560" w:type="dxa"/>
            <w:shd w:val="clear" w:fill="EDF5FC"/>
            <w:vAlign w:val="center"/>
          </w:tcPr>
          <w:p>
            <w:pPr>
              <w:pStyle w:val="TableNumber"/>
            </w:pPr>
            <w:r>
              <w:t>0.261746</w:t>
            </w:r>
          </w:p>
        </w:tc>
      </w:tr>
      <w:tr>
        <w:trPr>
          <w:cantSplit/>
        </w:trPr>
        <w:tc>
          <w:tcPr>
            <w:tcW w:w="900" w:type="dxa"/>
            <w:vAlign w:val="center"/>
          </w:tcPr>
          <w:p>
            <w:pPr>
              <w:pStyle w:val="TableNumber"/>
            </w:pPr>
            <w:r>
              <w:t>2</w:t>
            </w:r>
          </w:p>
        </w:tc>
        <w:tc>
          <w:tcPr>
            <w:tcW w:w="3100" w:type="dxa"/>
            <w:vAlign w:val="center"/>
          </w:tcPr>
          <w:p>
            <w:pPr>
              <w:pStyle w:val="TableText"/>
            </w:pPr>
            <w:r>
              <w:t>checkpoint-011040</w:t>
            </w:r>
          </w:p>
        </w:tc>
        <w:tc>
          <w:tcPr>
            <w:tcW w:w="1800" w:type="dxa"/>
            <w:vAlign w:val="center"/>
          </w:tcPr>
          <w:p>
            <w:pPr>
              <w:pStyle w:val="TableNumber"/>
            </w:pPr>
            <w:r>
              <w:t>11,040</w:t>
            </w:r>
          </w:p>
        </w:tc>
        <w:tc>
          <w:tcPr>
            <w:tcW w:w="3560" w:type="dxa"/>
            <w:vAlign w:val="center"/>
          </w:tcPr>
          <w:p>
            <w:pPr>
              <w:pStyle w:val="TableNumber"/>
            </w:pPr>
            <w:r>
              <w:t>0.261872</w:t>
            </w:r>
          </w:p>
        </w:tc>
      </w:tr>
      <w:tr>
        <w:trPr>
          <w:cantSplit/>
        </w:trPr>
        <w:tc>
          <w:tcPr>
            <w:tcW w:w="900" w:type="dxa"/>
            <w:vAlign w:val="center"/>
          </w:tcPr>
          <w:p>
            <w:pPr>
              <w:pStyle w:val="TableNumber"/>
            </w:pPr>
            <w:r>
              <w:t>3</w:t>
            </w:r>
          </w:p>
        </w:tc>
        <w:tc>
          <w:tcPr>
            <w:tcW w:w="3100" w:type="dxa"/>
            <w:vAlign w:val="center"/>
          </w:tcPr>
          <w:p>
            <w:pPr>
              <w:pStyle w:val="TableText"/>
            </w:pPr>
            <w:r>
              <w:t>checkpoint-007360</w:t>
            </w:r>
          </w:p>
        </w:tc>
        <w:tc>
          <w:tcPr>
            <w:tcW w:w="1800" w:type="dxa"/>
            <w:vAlign w:val="center"/>
          </w:tcPr>
          <w:p>
            <w:pPr>
              <w:pStyle w:val="TableNumber"/>
            </w:pPr>
            <w:r>
              <w:t>7,360</w:t>
            </w:r>
          </w:p>
        </w:tc>
        <w:tc>
          <w:tcPr>
            <w:tcW w:w="3560" w:type="dxa"/>
            <w:vAlign w:val="center"/>
          </w:tcPr>
          <w:p>
            <w:pPr>
              <w:pStyle w:val="TableNumber"/>
            </w:pPr>
            <w:r>
              <w:t>0.262424</w:t>
            </w:r>
          </w:p>
        </w:tc>
      </w:tr>
      <w:tr>
        <w:trPr>
          <w:cantSplit/>
        </w:trPr>
        <w:tc>
          <w:tcPr>
            <w:tcW w:w="900" w:type="dxa"/>
            <w:vAlign w:val="center"/>
          </w:tcPr>
          <w:p>
            <w:pPr>
              <w:pStyle w:val="TableNumber"/>
            </w:pPr>
            <w:r>
              <w:t>4</w:t>
            </w:r>
          </w:p>
        </w:tc>
        <w:tc>
          <w:tcPr>
            <w:tcW w:w="3100" w:type="dxa"/>
            <w:vAlign w:val="center"/>
          </w:tcPr>
          <w:p>
            <w:pPr>
              <w:pStyle w:val="TableText"/>
            </w:pPr>
            <w:r>
              <w:t>checkpoint-018399</w:t>
            </w:r>
          </w:p>
        </w:tc>
        <w:tc>
          <w:tcPr>
            <w:tcW w:w="1800" w:type="dxa"/>
            <w:vAlign w:val="center"/>
          </w:tcPr>
          <w:p>
            <w:pPr>
              <w:pStyle w:val="TableNumber"/>
            </w:pPr>
            <w:r>
              <w:t>18,399</w:t>
            </w:r>
          </w:p>
        </w:tc>
        <w:tc>
          <w:tcPr>
            <w:tcW w:w="3560" w:type="dxa"/>
            <w:vAlign w:val="center"/>
          </w:tcPr>
          <w:p>
            <w:pPr>
              <w:pStyle w:val="TableNumber"/>
            </w:pPr>
            <w:r>
              <w:t>0.263624</w:t>
            </w:r>
          </w:p>
        </w:tc>
      </w:tr>
      <w:tr>
        <w:trPr>
          <w:cantSplit/>
        </w:trPr>
        <w:tc>
          <w:tcPr>
            <w:tcW w:w="900" w:type="dxa"/>
            <w:vAlign w:val="center"/>
          </w:tcPr>
          <w:p>
            <w:pPr>
              <w:pStyle w:val="TableNumber"/>
            </w:pPr>
            <w:r>
              <w:t>5</w:t>
            </w:r>
          </w:p>
        </w:tc>
        <w:tc>
          <w:tcPr>
            <w:tcW w:w="3100" w:type="dxa"/>
            <w:vAlign w:val="center"/>
          </w:tcPr>
          <w:p>
            <w:pPr>
              <w:pStyle w:val="TableText"/>
            </w:pPr>
            <w:r>
              <w:t>checkpoint-003680</w:t>
            </w:r>
          </w:p>
        </w:tc>
        <w:tc>
          <w:tcPr>
            <w:tcW w:w="1800" w:type="dxa"/>
            <w:vAlign w:val="center"/>
          </w:tcPr>
          <w:p>
            <w:pPr>
              <w:pStyle w:val="TableNumber"/>
            </w:pPr>
            <w:r>
              <w:t>3,680</w:t>
            </w:r>
          </w:p>
        </w:tc>
        <w:tc>
          <w:tcPr>
            <w:tcW w:w="3560" w:type="dxa"/>
            <w:vAlign w:val="center"/>
          </w:tcPr>
          <w:p>
            <w:pPr>
              <w:pStyle w:val="TableNumber"/>
            </w:pPr>
            <w:r>
              <w:t>0.263736</w:t>
            </w:r>
          </w:p>
        </w:tc>
      </w:tr>
    </w:tbl>
    <w:p>
      <w:pPr>
        <w:pStyle w:val="a"/>
        <w:spacing w:before="160"/>
      </w:pPr>
      <w:r>
        <w:t xml:space="preserve">最佳 checkpoint-014720 出現在第 4 次 validation／checkpoint 評估，global step 14,720，訓練進度約 0.8000 epoch。Validation raw monitor 0.261746；test raw score 0.291608。表中 retained top 5 的名次不是時間順序。校準是在選定 checkpoint 之後擬合，不能用 test calibrated 結果回頭選 checkpoint。</w:t>
      </w:r>
    </w:p>
    <w:p>
      <w:pPr>
        <w:pStyle w:val="11"/>
      </w:pPr>
      <w:r>
        <w:t>5. 十三個模型的全 horizon 比較</w:t>
      </w:r>
    </w:p>
    <w:p>
      <w:pPr>
        <w:pStyle w:val="Decision"/>
        <w:keepNext/>
        <w:spacing w:after="80"/>
      </w:pPr>
      <w:r>
        <w:t>表 6｜前六名分布預測比較</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舊 Sharpe 診斷</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0.291608</w:t>
            </w:r>
          </w:p>
        </w:tc>
        <w:tc>
          <w:tcPr>
            <w:tcW w:w="1330" w:type="dxa"/>
            <w:shd w:val="clear" w:fill="EDF5FC"/>
            <w:vAlign w:val="center"/>
          </w:tcPr>
          <w:p>
            <w:pPr>
              <w:pStyle w:val="TableNumber"/>
            </w:pPr>
            <w:r>
              <w:t xml:space="preserve">77.80%</w:t>
            </w:r>
          </w:p>
        </w:tc>
        <w:tc>
          <w:tcPr>
            <w:tcW w:w="1330" w:type="dxa"/>
            <w:shd w:val="clear" w:fill="EDF5FC"/>
            <w:vAlign w:val="center"/>
          </w:tcPr>
          <w:p>
            <w:pPr>
              <w:pStyle w:val="TableNumber"/>
            </w:pPr>
            <w:r>
              <w:t xml:space="preserve">0.1080</w:t>
            </w:r>
          </w:p>
        </w:tc>
        <w:tc>
          <w:tcPr>
            <w:tcW w:w="1350" w:type="dxa"/>
            <w:shd w:val="clear" w:fill="EDF5FC"/>
            <w:vAlign w:val="center"/>
          </w:tcPr>
          <w:p>
            <w:pPr>
              <w:pStyle w:val="TableNumber"/>
            </w:pPr>
            <w:r>
              <w:t>3.122</w:t>
            </w:r>
          </w:p>
        </w:tc>
      </w:tr>
      <w:tr>
        <w:trPr>
          <w:cantSplit/>
        </w:trPr>
        <w:tc>
          <w:tcPr>
            <w:tcW w:w="650" w:type="dxa"/>
            <w:vAlign w:val="center"/>
          </w:tcPr>
          <w:p>
            <w:pPr>
              <w:pStyle w:val="TableNumber"/>
            </w:pPr>
            <w:r>
              <w:t>2</w:t>
            </w:r>
          </w:p>
        </w:tc>
        <w:tc>
          <w:tcPr>
            <w:tcW w:w="2800" w:type="dxa"/>
            <w:vAlign w:val="center"/>
          </w:tcPr>
          <w:p>
            <w:pPr>
              <w:pStyle w:val="TableText"/>
            </w:pPr>
            <w:r>
              <w:t>Compact PatchTST</w:t>
            </w:r>
          </w:p>
        </w:tc>
        <w:tc>
          <w:tcPr>
            <w:tcW w:w="1900" w:type="dxa"/>
            <w:vAlign w:val="center"/>
          </w:tcPr>
          <w:p>
            <w:pPr>
              <w:pStyle w:val="TableNumber"/>
            </w:pPr>
            <w:r>
              <w:t>0.293639</w:t>
            </w:r>
          </w:p>
        </w:tc>
        <w:tc>
          <w:tcPr>
            <w:tcW w:w="1330" w:type="dxa"/>
            <w:vAlign w:val="center"/>
          </w:tcPr>
          <w:p>
            <w:pPr>
              <w:pStyle w:val="TableNumber"/>
            </w:pPr>
            <w:r>
              <w:t xml:space="preserve">77.33%</w:t>
            </w:r>
          </w:p>
        </w:tc>
        <w:tc>
          <w:tcPr>
            <w:tcW w:w="1330" w:type="dxa"/>
            <w:vAlign w:val="center"/>
          </w:tcPr>
          <w:p>
            <w:pPr>
              <w:pStyle w:val="TableNumber"/>
            </w:pPr>
            <w:r>
              <w:t xml:space="preserve">0.0858</w:t>
            </w:r>
          </w:p>
        </w:tc>
        <w:tc>
          <w:tcPr>
            <w:tcW w:w="1350" w:type="dxa"/>
            <w:vAlign w:val="center"/>
          </w:tcPr>
          <w:p>
            <w:pPr>
              <w:pStyle w:val="TableNumber"/>
            </w:pPr>
            <w:r>
              <w:t>2.045</w:t>
            </w:r>
          </w:p>
        </w:tc>
      </w:tr>
      <w:tr>
        <w:trPr>
          <w:cantSplit/>
        </w:trPr>
        <w:tc>
          <w:tcPr>
            <w:tcW w:w="650" w:type="dxa"/>
            <w:vAlign w:val="center"/>
          </w:tcPr>
          <w:p>
            <w:pPr>
              <w:pStyle w:val="TableNumber"/>
            </w:pPr>
            <w:r>
              <w:t>3</w:t>
            </w:r>
          </w:p>
        </w:tc>
        <w:tc>
          <w:tcPr>
            <w:tcW w:w="2800" w:type="dxa"/>
            <w:vAlign w:val="center"/>
          </w:tcPr>
          <w:p>
            <w:pPr>
              <w:pStyle w:val="TableText"/>
            </w:pPr>
            <w:r>
              <w:t>成對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1.831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0.559</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w:t>
            </w:r>
          </w:p>
        </w:tc>
      </w:tr>
    </w:tbl>
    <w:p>
      <w:pPr>
        <w:pStyle w:val="a"/>
        <w:spacing w:before="160"/>
      </w:pPr>
      <w:r>
        <w:t xml:space="preserve">Raw normalized pinball 在 13/14 個 horizon 位居第 1（13 個完整輸出模型）。表 6 的 coverage 與 q50 correlation 改為全部 horizon 的平均，避免將 primary_5d 的參考值誤稱整體結果；舊 Sharpe 明確標為 5 日簡化診斷，僅保留來源值，不參與策略優劣判斷。</w:t>
      </w:r>
    </w:p>
    <w:p>
      <w:pPr>
        <w:pStyle w:val="11"/>
      </w:pPr>
      <w:r>
        <w:t>6. 一至十四日完整結果</w:t>
      </w:r>
    </w:p>
    <w:p>
      <w:pPr>
        <w:pStyle w:val="21"/>
      </w:pPr>
      <w:r>
        <w:t>6.1 誤差與不同 horizon 的可比性</w:t>
      </w:r>
    </w:p>
    <w:p>
      <w:pPr>
        <w:pStyle w:val="Decision"/>
        <w:keepNext/>
        <w:spacing w:after="80"/>
      </w:pPr>
      <w:r>
        <w:t>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排名</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0.02261</w:t>
            </w:r>
          </w:p>
        </w:tc>
        <w:tc>
          <w:tcPr>
            <w:tcW w:w="1550" w:type="dxa"/>
            <w:vAlign w:val="center"/>
          </w:tcPr>
          <w:p>
            <w:pPr>
              <w:pStyle w:val="TableNumber"/>
            </w:pPr>
            <w:r>
              <w:t>0.00652</w:t>
            </w:r>
          </w:p>
        </w:tc>
        <w:tc>
          <w:tcPr>
            <w:tcW w:w="1550" w:type="dxa"/>
            <w:vAlign w:val="center"/>
          </w:tcPr>
          <w:p>
            <w:pPr>
              <w:pStyle w:val="TableNumber"/>
            </w:pPr>
            <w:r>
              <w:t>0.28853</w:t>
            </w:r>
          </w:p>
        </w:tc>
        <w:tc>
          <w:tcPr>
            <w:tcW w:w="1050" w:type="dxa"/>
            <w:vAlign w:val="center"/>
          </w:tcPr>
          <w:p>
            <w:pPr>
              <w:pStyle w:val="TableNumber"/>
            </w:pPr>
            <w:r>
              <w:t>2/13</w:t>
            </w:r>
          </w:p>
        </w:tc>
        <w:tc>
          <w:tcPr>
            <w:tcW w:w="1550" w:type="dxa"/>
            <w:vAlign w:val="center"/>
          </w:tcPr>
          <w:p>
            <w:pPr>
              <w:pStyle w:val="TableNumber"/>
            </w:pPr>
            <w:r>
              <w:t>0.01977</w:t>
            </w:r>
          </w:p>
        </w:tc>
        <w:tc>
          <w:tcPr>
            <w:tcW w:w="1610" w:type="dxa"/>
            <w:vAlign w:val="center"/>
          </w:tcPr>
          <w:p>
            <w:pPr>
              <w:pStyle w:val="TableNumber"/>
            </w:pPr>
            <w:r>
              <w:t>0.8747</w:t>
            </w:r>
          </w:p>
        </w:tc>
      </w:tr>
      <w:tr>
        <w:trPr>
          <w:cantSplit/>
        </w:trPr>
        <w:tc>
          <w:tcPr>
            <w:tcW w:w="650" w:type="dxa"/>
            <w:vAlign w:val="center"/>
          </w:tcPr>
          <w:p>
            <w:pPr>
              <w:pStyle w:val="TableText"/>
            </w:pPr>
            <w:r>
              <w:t>2d</w:t>
            </w:r>
          </w:p>
        </w:tc>
        <w:tc>
          <w:tcPr>
            <w:tcW w:w="1400" w:type="dxa"/>
            <w:vAlign w:val="center"/>
          </w:tcPr>
          <w:p>
            <w:pPr>
              <w:pStyle w:val="TableNumber"/>
            </w:pPr>
            <w:r>
              <w:t>0.03416</w:t>
            </w:r>
          </w:p>
        </w:tc>
        <w:tc>
          <w:tcPr>
            <w:tcW w:w="1550" w:type="dxa"/>
            <w:vAlign w:val="center"/>
          </w:tcPr>
          <w:p>
            <w:pPr>
              <w:pStyle w:val="TableNumber"/>
            </w:pPr>
            <w:r>
              <w:t>0.00996</w:t>
            </w:r>
          </w:p>
        </w:tc>
        <w:tc>
          <w:tcPr>
            <w:tcW w:w="1550" w:type="dxa"/>
            <w:vAlign w:val="center"/>
          </w:tcPr>
          <w:p>
            <w:pPr>
              <w:pStyle w:val="TableNumber"/>
            </w:pPr>
            <w:r>
              <w:t>0.29141</w:t>
            </w:r>
          </w:p>
        </w:tc>
        <w:tc>
          <w:tcPr>
            <w:tcW w:w="1050" w:type="dxa"/>
            <w:vAlign w:val="center"/>
          </w:tcPr>
          <w:p>
            <w:pPr>
              <w:pStyle w:val="TableNumber"/>
            </w:pPr>
            <w:r>
              <w:t>1/13</w:t>
            </w:r>
          </w:p>
        </w:tc>
        <w:tc>
          <w:tcPr>
            <w:tcW w:w="1550" w:type="dxa"/>
            <w:vAlign w:val="center"/>
          </w:tcPr>
          <w:p>
            <w:pPr>
              <w:pStyle w:val="TableNumber"/>
            </w:pPr>
            <w:r>
              <w:t>0.03001</w:t>
            </w:r>
          </w:p>
        </w:tc>
        <w:tc>
          <w:tcPr>
            <w:tcW w:w="1610" w:type="dxa"/>
            <w:vAlign w:val="center"/>
          </w:tcPr>
          <w:p>
            <w:pPr>
              <w:pStyle w:val="TableNumber"/>
            </w:pPr>
            <w:r>
              <w:t>0.8785</w:t>
            </w:r>
          </w:p>
        </w:tc>
      </w:tr>
      <w:tr>
        <w:trPr>
          <w:cantSplit/>
        </w:trPr>
        <w:tc>
          <w:tcPr>
            <w:tcW w:w="650" w:type="dxa"/>
            <w:vAlign w:val="center"/>
          </w:tcPr>
          <w:p>
            <w:pPr>
              <w:pStyle w:val="TableText"/>
            </w:pPr>
            <w:r>
              <w:t>3d</w:t>
            </w:r>
          </w:p>
        </w:tc>
        <w:tc>
          <w:tcPr>
            <w:tcW w:w="1400" w:type="dxa"/>
            <w:vAlign w:val="center"/>
          </w:tcPr>
          <w:p>
            <w:pPr>
              <w:pStyle w:val="TableNumber"/>
            </w:pPr>
            <w:r>
              <w:t>0.04291</w:t>
            </w:r>
          </w:p>
        </w:tc>
        <w:tc>
          <w:tcPr>
            <w:tcW w:w="1550" w:type="dxa"/>
            <w:vAlign w:val="center"/>
          </w:tcPr>
          <w:p>
            <w:pPr>
              <w:pStyle w:val="TableNumber"/>
            </w:pPr>
            <w:r>
              <w:t>0.01258</w:t>
            </w:r>
          </w:p>
        </w:tc>
        <w:tc>
          <w:tcPr>
            <w:tcW w:w="1550" w:type="dxa"/>
            <w:vAlign w:val="center"/>
          </w:tcPr>
          <w:p>
            <w:pPr>
              <w:pStyle w:val="TableNumber"/>
            </w:pPr>
            <w:r>
              <w:t>0.29315</w:t>
            </w:r>
          </w:p>
        </w:tc>
        <w:tc>
          <w:tcPr>
            <w:tcW w:w="1050" w:type="dxa"/>
            <w:vAlign w:val="center"/>
          </w:tcPr>
          <w:p>
            <w:pPr>
              <w:pStyle w:val="TableNumber"/>
            </w:pPr>
            <w:r>
              <w:t>1/13</w:t>
            </w:r>
          </w:p>
        </w:tc>
        <w:tc>
          <w:tcPr>
            <w:tcW w:w="1550" w:type="dxa"/>
            <w:vAlign w:val="center"/>
          </w:tcPr>
          <w:p>
            <w:pPr>
              <w:pStyle w:val="TableNumber"/>
            </w:pPr>
            <w:r>
              <w:t>0.03787</w:t>
            </w:r>
          </w:p>
        </w:tc>
        <w:tc>
          <w:tcPr>
            <w:tcW w:w="1610" w:type="dxa"/>
            <w:vAlign w:val="center"/>
          </w:tcPr>
          <w:p>
            <w:pPr>
              <w:pStyle w:val="TableNumber"/>
            </w:pPr>
            <w:r>
              <w:t>0.8825</w:t>
            </w:r>
          </w:p>
        </w:tc>
      </w:tr>
      <w:tr>
        <w:trPr>
          <w:cantSplit/>
        </w:trPr>
        <w:tc>
          <w:tcPr>
            <w:tcW w:w="650" w:type="dxa"/>
            <w:vAlign w:val="center"/>
          </w:tcPr>
          <w:p>
            <w:pPr>
              <w:pStyle w:val="TableText"/>
            </w:pPr>
            <w:r>
              <w:t>4d</w:t>
            </w:r>
          </w:p>
        </w:tc>
        <w:tc>
          <w:tcPr>
            <w:tcW w:w="1400" w:type="dxa"/>
            <w:vAlign w:val="center"/>
          </w:tcPr>
          <w:p>
            <w:pPr>
              <w:pStyle w:val="TableNumber"/>
            </w:pPr>
            <w:r>
              <w:t>0.05070</w:t>
            </w:r>
          </w:p>
        </w:tc>
        <w:tc>
          <w:tcPr>
            <w:tcW w:w="1550" w:type="dxa"/>
            <w:vAlign w:val="center"/>
          </w:tcPr>
          <w:p>
            <w:pPr>
              <w:pStyle w:val="TableNumber"/>
            </w:pPr>
            <w:r>
              <w:t>0.01476</w:t>
            </w:r>
          </w:p>
        </w:tc>
        <w:tc>
          <w:tcPr>
            <w:tcW w:w="1550" w:type="dxa"/>
            <w:vAlign w:val="center"/>
          </w:tcPr>
          <w:p>
            <w:pPr>
              <w:pStyle w:val="TableNumber"/>
            </w:pPr>
            <w:r>
              <w:t>0.29110</w:t>
            </w:r>
          </w:p>
        </w:tc>
        <w:tc>
          <w:tcPr>
            <w:tcW w:w="1050" w:type="dxa"/>
            <w:vAlign w:val="center"/>
          </w:tcPr>
          <w:p>
            <w:pPr>
              <w:pStyle w:val="TableNumber"/>
            </w:pPr>
            <w:r>
              <w:t>1/13</w:t>
            </w:r>
          </w:p>
        </w:tc>
        <w:tc>
          <w:tcPr>
            <w:tcW w:w="1550" w:type="dxa"/>
            <w:vAlign w:val="center"/>
          </w:tcPr>
          <w:p>
            <w:pPr>
              <w:pStyle w:val="TableNumber"/>
            </w:pPr>
            <w:r>
              <w:t>0.04442</w:t>
            </w:r>
          </w:p>
        </w:tc>
        <w:tc>
          <w:tcPr>
            <w:tcW w:w="1610" w:type="dxa"/>
            <w:vAlign w:val="center"/>
          </w:tcPr>
          <w:p>
            <w:pPr>
              <w:pStyle w:val="TableNumber"/>
            </w:pPr>
            <w:r>
              <w:t>0.8761</w:t>
            </w:r>
          </w:p>
        </w:tc>
      </w:tr>
      <w:tr>
        <w:trPr>
          <w:cantSplit/>
        </w:trPr>
        <w:tc>
          <w:tcPr>
            <w:tcW w:w="650" w:type="dxa"/>
            <w:vAlign w:val="center"/>
          </w:tcPr>
          <w:p>
            <w:pPr>
              <w:pStyle w:val="TableText"/>
            </w:pPr>
            <w:r>
              <w:t>5d</w:t>
            </w:r>
          </w:p>
        </w:tc>
        <w:tc>
          <w:tcPr>
            <w:tcW w:w="1400" w:type="dxa"/>
            <w:vAlign w:val="center"/>
          </w:tcPr>
          <w:p>
            <w:pPr>
              <w:pStyle w:val="TableNumber"/>
            </w:pPr>
            <w:r>
              <w:t>0.05783</w:t>
            </w:r>
          </w:p>
        </w:tc>
        <w:tc>
          <w:tcPr>
            <w:tcW w:w="1550" w:type="dxa"/>
            <w:vAlign w:val="center"/>
          </w:tcPr>
          <w:p>
            <w:pPr>
              <w:pStyle w:val="TableNumber"/>
            </w:pPr>
            <w:r>
              <w:t>0.01673</w:t>
            </w:r>
          </w:p>
        </w:tc>
        <w:tc>
          <w:tcPr>
            <w:tcW w:w="1550" w:type="dxa"/>
            <w:vAlign w:val="center"/>
          </w:tcPr>
          <w:p>
            <w:pPr>
              <w:pStyle w:val="TableNumber"/>
            </w:pPr>
            <w:r>
              <w:t>0.28928</w:t>
            </w:r>
          </w:p>
        </w:tc>
        <w:tc>
          <w:tcPr>
            <w:tcW w:w="1050" w:type="dxa"/>
            <w:vAlign w:val="center"/>
          </w:tcPr>
          <w:p>
            <w:pPr>
              <w:pStyle w:val="TableNumber"/>
            </w:pPr>
            <w:r>
              <w:t>1/13</w:t>
            </w:r>
          </w:p>
        </w:tc>
        <w:tc>
          <w:tcPr>
            <w:tcW w:w="1550" w:type="dxa"/>
            <w:vAlign w:val="center"/>
          </w:tcPr>
          <w:p>
            <w:pPr>
              <w:pStyle w:val="TableNumber"/>
            </w:pPr>
            <w:r>
              <w:t>0.05031</w:t>
            </w:r>
          </w:p>
        </w:tc>
        <w:tc>
          <w:tcPr>
            <w:tcW w:w="1610" w:type="dxa"/>
            <w:vAlign w:val="center"/>
          </w:tcPr>
          <w:p>
            <w:pPr>
              <w:pStyle w:val="TableNumber"/>
            </w:pPr>
            <w:r>
              <w:t>0.8700</w:t>
            </w:r>
          </w:p>
        </w:tc>
      </w:tr>
      <w:tr>
        <w:trPr>
          <w:cantSplit/>
        </w:trPr>
        <w:tc>
          <w:tcPr>
            <w:tcW w:w="650" w:type="dxa"/>
            <w:vAlign w:val="center"/>
          </w:tcPr>
          <w:p>
            <w:pPr>
              <w:pStyle w:val="TableText"/>
            </w:pPr>
            <w:r>
              <w:t>6d</w:t>
            </w:r>
          </w:p>
        </w:tc>
        <w:tc>
          <w:tcPr>
            <w:tcW w:w="1400" w:type="dxa"/>
            <w:vAlign w:val="center"/>
          </w:tcPr>
          <w:p>
            <w:pPr>
              <w:pStyle w:val="TableNumber"/>
            </w:pPr>
            <w:r>
              <w:t>0.06364</w:t>
            </w:r>
          </w:p>
        </w:tc>
        <w:tc>
          <w:tcPr>
            <w:tcW w:w="1550" w:type="dxa"/>
            <w:vAlign w:val="center"/>
          </w:tcPr>
          <w:p>
            <w:pPr>
              <w:pStyle w:val="TableNumber"/>
            </w:pPr>
            <w:r>
              <w:t>0.01855</w:t>
            </w:r>
          </w:p>
        </w:tc>
        <w:tc>
          <w:tcPr>
            <w:tcW w:w="1550" w:type="dxa"/>
            <w:vAlign w:val="center"/>
          </w:tcPr>
          <w:p>
            <w:pPr>
              <w:pStyle w:val="TableNumber"/>
            </w:pPr>
            <w:r>
              <w:t>0.29154</w:t>
            </w:r>
          </w:p>
        </w:tc>
        <w:tc>
          <w:tcPr>
            <w:tcW w:w="1050" w:type="dxa"/>
            <w:vAlign w:val="center"/>
          </w:tcPr>
          <w:p>
            <w:pPr>
              <w:pStyle w:val="TableNumber"/>
            </w:pPr>
            <w:r>
              <w:t>1/13</w:t>
            </w:r>
          </w:p>
        </w:tc>
        <w:tc>
          <w:tcPr>
            <w:tcW w:w="1550" w:type="dxa"/>
            <w:vAlign w:val="center"/>
          </w:tcPr>
          <w:p>
            <w:pPr>
              <w:pStyle w:val="TableNumber"/>
            </w:pPr>
            <w:r>
              <w:t>0.05586</w:t>
            </w:r>
          </w:p>
        </w:tc>
        <w:tc>
          <w:tcPr>
            <w:tcW w:w="1610" w:type="dxa"/>
            <w:vAlign w:val="center"/>
          </w:tcPr>
          <w:p>
            <w:pPr>
              <w:pStyle w:val="TableNumber"/>
            </w:pPr>
            <w:r>
              <w:t>0.8778</w:t>
            </w:r>
          </w:p>
        </w:tc>
      </w:tr>
      <w:tr>
        <w:trPr>
          <w:cantSplit/>
        </w:trPr>
        <w:tc>
          <w:tcPr>
            <w:tcW w:w="650" w:type="dxa"/>
            <w:vAlign w:val="center"/>
          </w:tcPr>
          <w:p>
            <w:pPr>
              <w:pStyle w:val="TableText"/>
            </w:pPr>
            <w:r>
              <w:t>7d</w:t>
            </w:r>
          </w:p>
        </w:tc>
        <w:tc>
          <w:tcPr>
            <w:tcW w:w="1400" w:type="dxa"/>
            <w:vAlign w:val="center"/>
          </w:tcPr>
          <w:p>
            <w:pPr>
              <w:pStyle w:val="TableNumber"/>
            </w:pPr>
            <w:r>
              <w:t>0.06932</w:t>
            </w:r>
          </w:p>
        </w:tc>
        <w:tc>
          <w:tcPr>
            <w:tcW w:w="1550" w:type="dxa"/>
            <w:vAlign w:val="center"/>
          </w:tcPr>
          <w:p>
            <w:pPr>
              <w:pStyle w:val="TableNumber"/>
            </w:pPr>
            <w:r>
              <w:t>0.02024</w:t>
            </w:r>
          </w:p>
        </w:tc>
        <w:tc>
          <w:tcPr>
            <w:tcW w:w="1550" w:type="dxa"/>
            <w:vAlign w:val="center"/>
          </w:tcPr>
          <w:p>
            <w:pPr>
              <w:pStyle w:val="TableNumber"/>
            </w:pPr>
            <w:r>
              <w:t>0.29197</w:t>
            </w:r>
          </w:p>
        </w:tc>
        <w:tc>
          <w:tcPr>
            <w:tcW w:w="1050" w:type="dxa"/>
            <w:vAlign w:val="center"/>
          </w:tcPr>
          <w:p>
            <w:pPr>
              <w:pStyle w:val="TableNumber"/>
            </w:pPr>
            <w:r>
              <w:t>1/13</w:t>
            </w:r>
          </w:p>
        </w:tc>
        <w:tc>
          <w:tcPr>
            <w:tcW w:w="1550" w:type="dxa"/>
            <w:vAlign w:val="center"/>
          </w:tcPr>
          <w:p>
            <w:pPr>
              <w:pStyle w:val="TableNumber"/>
            </w:pPr>
            <w:r>
              <w:t>0.06103</w:t>
            </w:r>
          </w:p>
        </w:tc>
        <w:tc>
          <w:tcPr>
            <w:tcW w:w="1610" w:type="dxa"/>
            <w:vAlign w:val="center"/>
          </w:tcPr>
          <w:p>
            <w:pPr>
              <w:pStyle w:val="TableNumber"/>
            </w:pPr>
            <w:r>
              <w:t>0.8804</w:t>
            </w:r>
          </w:p>
        </w:tc>
      </w:tr>
      <w:tr>
        <w:trPr>
          <w:cantSplit/>
        </w:trPr>
        <w:tc>
          <w:tcPr>
            <w:tcW w:w="650" w:type="dxa"/>
            <w:vAlign w:val="center"/>
          </w:tcPr>
          <w:p>
            <w:pPr>
              <w:pStyle w:val="TableText"/>
            </w:pPr>
            <w:r>
              <w:t>8d</w:t>
            </w:r>
          </w:p>
        </w:tc>
        <w:tc>
          <w:tcPr>
            <w:tcW w:w="1400" w:type="dxa"/>
            <w:vAlign w:val="center"/>
          </w:tcPr>
          <w:p>
            <w:pPr>
              <w:pStyle w:val="TableNumber"/>
            </w:pPr>
            <w:r>
              <w:t>0.07444</w:t>
            </w:r>
          </w:p>
        </w:tc>
        <w:tc>
          <w:tcPr>
            <w:tcW w:w="1550" w:type="dxa"/>
            <w:vAlign w:val="center"/>
          </w:tcPr>
          <w:p>
            <w:pPr>
              <w:pStyle w:val="TableNumber"/>
            </w:pPr>
            <w:r>
              <w:t>0.02175</w:t>
            </w:r>
          </w:p>
        </w:tc>
        <w:tc>
          <w:tcPr>
            <w:tcW w:w="1550" w:type="dxa"/>
            <w:vAlign w:val="center"/>
          </w:tcPr>
          <w:p>
            <w:pPr>
              <w:pStyle w:val="TableNumber"/>
            </w:pPr>
            <w:r>
              <w:t>0.29213</w:t>
            </w:r>
          </w:p>
        </w:tc>
        <w:tc>
          <w:tcPr>
            <w:tcW w:w="1050" w:type="dxa"/>
            <w:vAlign w:val="center"/>
          </w:tcPr>
          <w:p>
            <w:pPr>
              <w:pStyle w:val="TableNumber"/>
            </w:pPr>
            <w:r>
              <w:t>1/13</w:t>
            </w:r>
          </w:p>
        </w:tc>
        <w:tc>
          <w:tcPr>
            <w:tcW w:w="1550" w:type="dxa"/>
            <w:vAlign w:val="center"/>
          </w:tcPr>
          <w:p>
            <w:pPr>
              <w:pStyle w:val="TableNumber"/>
            </w:pPr>
            <w:r>
              <w:t>0.06562</w:t>
            </w:r>
          </w:p>
        </w:tc>
        <w:tc>
          <w:tcPr>
            <w:tcW w:w="1610" w:type="dxa"/>
            <w:vAlign w:val="center"/>
          </w:tcPr>
          <w:p>
            <w:pPr>
              <w:pStyle w:val="TableNumber"/>
            </w:pPr>
            <w:r>
              <w:t>0.8815</w:t>
            </w:r>
          </w:p>
        </w:tc>
      </w:tr>
      <w:tr>
        <w:trPr>
          <w:cantSplit/>
        </w:trPr>
        <w:tc>
          <w:tcPr>
            <w:tcW w:w="650" w:type="dxa"/>
            <w:vAlign w:val="center"/>
          </w:tcPr>
          <w:p>
            <w:pPr>
              <w:pStyle w:val="TableText"/>
            </w:pPr>
            <w:r>
              <w:t>9d</w:t>
            </w:r>
          </w:p>
        </w:tc>
        <w:tc>
          <w:tcPr>
            <w:tcW w:w="1400" w:type="dxa"/>
            <w:vAlign w:val="center"/>
          </w:tcPr>
          <w:p>
            <w:pPr>
              <w:pStyle w:val="TableNumber"/>
            </w:pPr>
            <w:r>
              <w:t>0.07922</w:t>
            </w:r>
          </w:p>
        </w:tc>
        <w:tc>
          <w:tcPr>
            <w:tcW w:w="1550" w:type="dxa"/>
            <w:vAlign w:val="center"/>
          </w:tcPr>
          <w:p>
            <w:pPr>
              <w:pStyle w:val="TableNumber"/>
            </w:pPr>
            <w:r>
              <w:t>0.02321</w:t>
            </w:r>
          </w:p>
        </w:tc>
        <w:tc>
          <w:tcPr>
            <w:tcW w:w="1550" w:type="dxa"/>
            <w:vAlign w:val="center"/>
          </w:tcPr>
          <w:p>
            <w:pPr>
              <w:pStyle w:val="TableNumber"/>
            </w:pPr>
            <w:r>
              <w:t>0.29303</w:t>
            </w:r>
          </w:p>
        </w:tc>
        <w:tc>
          <w:tcPr>
            <w:tcW w:w="1050" w:type="dxa"/>
            <w:vAlign w:val="center"/>
          </w:tcPr>
          <w:p>
            <w:pPr>
              <w:pStyle w:val="TableNumber"/>
            </w:pPr>
            <w:r>
              <w:t>1/13</w:t>
            </w:r>
          </w:p>
        </w:tc>
        <w:tc>
          <w:tcPr>
            <w:tcW w:w="1550" w:type="dxa"/>
            <w:vAlign w:val="center"/>
          </w:tcPr>
          <w:p>
            <w:pPr>
              <w:pStyle w:val="TableNumber"/>
            </w:pPr>
            <w:r>
              <w:t>0.07007</w:t>
            </w:r>
          </w:p>
        </w:tc>
        <w:tc>
          <w:tcPr>
            <w:tcW w:w="1610" w:type="dxa"/>
            <w:vAlign w:val="center"/>
          </w:tcPr>
          <w:p>
            <w:pPr>
              <w:pStyle w:val="TableNumber"/>
            </w:pPr>
            <w:r>
              <w:t>0.8846</w:t>
            </w:r>
          </w:p>
        </w:tc>
      </w:tr>
      <w:tr>
        <w:trPr>
          <w:cantSplit/>
        </w:trPr>
        <w:tc>
          <w:tcPr>
            <w:tcW w:w="650" w:type="dxa"/>
            <w:vAlign w:val="center"/>
          </w:tcPr>
          <w:p>
            <w:pPr>
              <w:pStyle w:val="TableText"/>
            </w:pPr>
            <w:r>
              <w:t>10d</w:t>
            </w:r>
          </w:p>
        </w:tc>
        <w:tc>
          <w:tcPr>
            <w:tcW w:w="1400" w:type="dxa"/>
            <w:vAlign w:val="center"/>
          </w:tcPr>
          <w:p>
            <w:pPr>
              <w:pStyle w:val="TableNumber"/>
            </w:pPr>
            <w:r>
              <w:t>0.08419</w:t>
            </w:r>
          </w:p>
        </w:tc>
        <w:tc>
          <w:tcPr>
            <w:tcW w:w="1550" w:type="dxa"/>
            <w:vAlign w:val="center"/>
          </w:tcPr>
          <w:p>
            <w:pPr>
              <w:pStyle w:val="TableNumber"/>
            </w:pPr>
            <w:r>
              <w:t>0.02459</w:t>
            </w:r>
          </w:p>
        </w:tc>
        <w:tc>
          <w:tcPr>
            <w:tcW w:w="1550" w:type="dxa"/>
            <w:vAlign w:val="center"/>
          </w:tcPr>
          <w:p>
            <w:pPr>
              <w:pStyle w:val="TableNumber"/>
            </w:pPr>
            <w:r>
              <w:t>0.29208</w:t>
            </w:r>
          </w:p>
        </w:tc>
        <w:tc>
          <w:tcPr>
            <w:tcW w:w="1050" w:type="dxa"/>
            <w:vAlign w:val="center"/>
          </w:tcPr>
          <w:p>
            <w:pPr>
              <w:pStyle w:val="TableNumber"/>
            </w:pPr>
            <w:r>
              <w:t>1/13</w:t>
            </w:r>
          </w:p>
        </w:tc>
        <w:tc>
          <w:tcPr>
            <w:tcW w:w="1550" w:type="dxa"/>
            <w:vAlign w:val="center"/>
          </w:tcPr>
          <w:p>
            <w:pPr>
              <w:pStyle w:val="TableNumber"/>
            </w:pPr>
            <w:r>
              <w:t>0.07421</w:t>
            </w:r>
          </w:p>
        </w:tc>
        <w:tc>
          <w:tcPr>
            <w:tcW w:w="1610" w:type="dxa"/>
            <w:vAlign w:val="center"/>
          </w:tcPr>
          <w:p>
            <w:pPr>
              <w:pStyle w:val="TableNumber"/>
            </w:pPr>
            <w:r>
              <w:t>0.8815</w:t>
            </w:r>
          </w:p>
        </w:tc>
      </w:tr>
      <w:tr>
        <w:trPr>
          <w:cantSplit/>
        </w:trPr>
        <w:tc>
          <w:tcPr>
            <w:tcW w:w="650" w:type="dxa"/>
            <w:vAlign w:val="center"/>
          </w:tcPr>
          <w:p>
            <w:pPr>
              <w:pStyle w:val="TableText"/>
            </w:pPr>
            <w:r>
              <w:t>11d</w:t>
            </w:r>
          </w:p>
        </w:tc>
        <w:tc>
          <w:tcPr>
            <w:tcW w:w="1400" w:type="dxa"/>
            <w:vAlign w:val="center"/>
          </w:tcPr>
          <w:p>
            <w:pPr>
              <w:pStyle w:val="TableNumber"/>
            </w:pPr>
            <w:r>
              <w:t>0.08848</w:t>
            </w:r>
          </w:p>
        </w:tc>
        <w:tc>
          <w:tcPr>
            <w:tcW w:w="1550" w:type="dxa"/>
            <w:vAlign w:val="center"/>
          </w:tcPr>
          <w:p>
            <w:pPr>
              <w:pStyle w:val="TableNumber"/>
            </w:pPr>
            <w:r>
              <w:t>0.02594</w:t>
            </w:r>
          </w:p>
        </w:tc>
        <w:tc>
          <w:tcPr>
            <w:tcW w:w="1550" w:type="dxa"/>
            <w:vAlign w:val="center"/>
          </w:tcPr>
          <w:p>
            <w:pPr>
              <w:pStyle w:val="TableNumber"/>
            </w:pPr>
            <w:r>
              <w:t>0.29316</w:t>
            </w:r>
          </w:p>
        </w:tc>
        <w:tc>
          <w:tcPr>
            <w:tcW w:w="1050" w:type="dxa"/>
            <w:vAlign w:val="center"/>
          </w:tcPr>
          <w:p>
            <w:pPr>
              <w:pStyle w:val="TableNumber"/>
            </w:pPr>
            <w:r>
              <w:t>1/13</w:t>
            </w:r>
          </w:p>
        </w:tc>
        <w:tc>
          <w:tcPr>
            <w:tcW w:w="1550" w:type="dxa"/>
            <w:vAlign w:val="center"/>
          </w:tcPr>
          <w:p>
            <w:pPr>
              <w:pStyle w:val="TableNumber"/>
            </w:pPr>
            <w:r>
              <w:t>0.07829</w:t>
            </w:r>
          </w:p>
        </w:tc>
        <w:tc>
          <w:tcPr>
            <w:tcW w:w="1610" w:type="dxa"/>
            <w:vAlign w:val="center"/>
          </w:tcPr>
          <w:p>
            <w:pPr>
              <w:pStyle w:val="TableNumber"/>
            </w:pPr>
            <w:r>
              <w:t>0.8849</w:t>
            </w:r>
          </w:p>
        </w:tc>
      </w:tr>
      <w:tr>
        <w:trPr>
          <w:cantSplit/>
        </w:trPr>
        <w:tc>
          <w:tcPr>
            <w:tcW w:w="650" w:type="dxa"/>
            <w:vAlign w:val="center"/>
          </w:tcPr>
          <w:p>
            <w:pPr>
              <w:pStyle w:val="TableText"/>
            </w:pPr>
            <w:r>
              <w:t>12d</w:t>
            </w:r>
          </w:p>
        </w:tc>
        <w:tc>
          <w:tcPr>
            <w:tcW w:w="1400" w:type="dxa"/>
            <w:vAlign w:val="center"/>
          </w:tcPr>
          <w:p>
            <w:pPr>
              <w:pStyle w:val="TableNumber"/>
            </w:pPr>
            <w:r>
              <w:t>0.09337</w:t>
            </w:r>
          </w:p>
        </w:tc>
        <w:tc>
          <w:tcPr>
            <w:tcW w:w="1550" w:type="dxa"/>
            <w:vAlign w:val="center"/>
          </w:tcPr>
          <w:p>
            <w:pPr>
              <w:pStyle w:val="TableNumber"/>
            </w:pPr>
            <w:r>
              <w:t>0.02725</w:t>
            </w:r>
          </w:p>
        </w:tc>
        <w:tc>
          <w:tcPr>
            <w:tcW w:w="1550" w:type="dxa"/>
            <w:vAlign w:val="center"/>
          </w:tcPr>
          <w:p>
            <w:pPr>
              <w:pStyle w:val="TableNumber"/>
            </w:pPr>
            <w:r>
              <w:t>0.29183</w:t>
            </w:r>
          </w:p>
        </w:tc>
        <w:tc>
          <w:tcPr>
            <w:tcW w:w="1050" w:type="dxa"/>
            <w:vAlign w:val="center"/>
          </w:tcPr>
          <w:p>
            <w:pPr>
              <w:pStyle w:val="TableNumber"/>
            </w:pPr>
            <w:r>
              <w:t>1/13</w:t>
            </w:r>
          </w:p>
        </w:tc>
        <w:tc>
          <w:tcPr>
            <w:tcW w:w="1550" w:type="dxa"/>
            <w:vAlign w:val="center"/>
          </w:tcPr>
          <w:p>
            <w:pPr>
              <w:pStyle w:val="TableNumber"/>
            </w:pPr>
            <w:r>
              <w:t>0.08229</w:t>
            </w:r>
          </w:p>
        </w:tc>
        <w:tc>
          <w:tcPr>
            <w:tcW w:w="1610" w:type="dxa"/>
            <w:vAlign w:val="center"/>
          </w:tcPr>
          <w:p>
            <w:pPr>
              <w:pStyle w:val="TableNumber"/>
            </w:pPr>
            <w:r>
              <w:t>0.8813</w:t>
            </w:r>
          </w:p>
        </w:tc>
      </w:tr>
      <w:tr>
        <w:trPr>
          <w:cantSplit/>
        </w:trPr>
        <w:tc>
          <w:tcPr>
            <w:tcW w:w="650" w:type="dxa"/>
            <w:vAlign w:val="center"/>
          </w:tcPr>
          <w:p>
            <w:pPr>
              <w:pStyle w:val="TableText"/>
            </w:pPr>
            <w:r>
              <w:t>13d</w:t>
            </w:r>
          </w:p>
        </w:tc>
        <w:tc>
          <w:tcPr>
            <w:tcW w:w="1400" w:type="dxa"/>
            <w:vAlign w:val="center"/>
          </w:tcPr>
          <w:p>
            <w:pPr>
              <w:pStyle w:val="TableNumber"/>
            </w:pPr>
            <w:r>
              <w:t>0.09795</w:t>
            </w:r>
          </w:p>
        </w:tc>
        <w:tc>
          <w:tcPr>
            <w:tcW w:w="1550" w:type="dxa"/>
            <w:vAlign w:val="center"/>
          </w:tcPr>
          <w:p>
            <w:pPr>
              <w:pStyle w:val="TableNumber"/>
            </w:pPr>
            <w:r>
              <w:t>0.02849</w:t>
            </w:r>
          </w:p>
        </w:tc>
        <w:tc>
          <w:tcPr>
            <w:tcW w:w="1550" w:type="dxa"/>
            <w:vAlign w:val="center"/>
          </w:tcPr>
          <w:p>
            <w:pPr>
              <w:pStyle w:val="TableNumber"/>
            </w:pPr>
            <w:r>
              <w:t>0.29084</w:t>
            </w:r>
          </w:p>
        </w:tc>
        <w:tc>
          <w:tcPr>
            <w:tcW w:w="1050" w:type="dxa"/>
            <w:vAlign w:val="center"/>
          </w:tcPr>
          <w:p>
            <w:pPr>
              <w:pStyle w:val="TableNumber"/>
            </w:pPr>
            <w:r>
              <w:t>1/13</w:t>
            </w:r>
          </w:p>
        </w:tc>
        <w:tc>
          <w:tcPr>
            <w:tcW w:w="1550" w:type="dxa"/>
            <w:vAlign w:val="center"/>
          </w:tcPr>
          <w:p>
            <w:pPr>
              <w:pStyle w:val="TableNumber"/>
            </w:pPr>
            <w:r>
              <w:t>0.08604</w:t>
            </w:r>
          </w:p>
        </w:tc>
        <w:tc>
          <w:tcPr>
            <w:tcW w:w="1610" w:type="dxa"/>
            <w:vAlign w:val="center"/>
          </w:tcPr>
          <w:p>
            <w:pPr>
              <w:pStyle w:val="TableNumber"/>
            </w:pPr>
            <w:r>
              <w:t>0.8784</w:t>
            </w:r>
          </w:p>
        </w:tc>
      </w:tr>
      <w:tr>
        <w:trPr>
          <w:cantSplit/>
        </w:trPr>
        <w:tc>
          <w:tcPr>
            <w:tcW w:w="650" w:type="dxa"/>
            <w:vAlign w:val="center"/>
          </w:tcPr>
          <w:p>
            <w:pPr>
              <w:pStyle w:val="TableText"/>
            </w:pPr>
            <w:r>
              <w:t>14d</w:t>
            </w:r>
          </w:p>
        </w:tc>
        <w:tc>
          <w:tcPr>
            <w:tcW w:w="1400" w:type="dxa"/>
            <w:vAlign w:val="center"/>
          </w:tcPr>
          <w:p>
            <w:pPr>
              <w:pStyle w:val="TableNumber"/>
            </w:pPr>
            <w:r>
              <w:t>0.10162</w:t>
            </w:r>
          </w:p>
        </w:tc>
        <w:tc>
          <w:tcPr>
            <w:tcW w:w="1550" w:type="dxa"/>
            <w:vAlign w:val="center"/>
          </w:tcPr>
          <w:p>
            <w:pPr>
              <w:pStyle w:val="TableNumber"/>
            </w:pPr>
            <w:r>
              <w:t>0.02972</w:t>
            </w:r>
          </w:p>
        </w:tc>
        <w:tc>
          <w:tcPr>
            <w:tcW w:w="1550" w:type="dxa"/>
            <w:vAlign w:val="center"/>
          </w:tcPr>
          <w:p>
            <w:pPr>
              <w:pStyle w:val="TableNumber"/>
            </w:pPr>
            <w:r>
              <w:t>0.29249</w:t>
            </w:r>
          </w:p>
        </w:tc>
        <w:tc>
          <w:tcPr>
            <w:tcW w:w="1050" w:type="dxa"/>
            <w:vAlign w:val="center"/>
          </w:tcPr>
          <w:p>
            <w:pPr>
              <w:pStyle w:val="TableNumber"/>
            </w:pPr>
            <w:r>
              <w:t>1/13</w:t>
            </w:r>
          </w:p>
        </w:tc>
        <w:tc>
          <w:tcPr>
            <w:tcW w:w="1550" w:type="dxa"/>
            <w:vAlign w:val="center"/>
          </w:tcPr>
          <w:p>
            <w:pPr>
              <w:pStyle w:val="TableNumber"/>
            </w:pPr>
            <w:r>
              <w:t>0.08977</w:t>
            </w:r>
          </w:p>
        </w:tc>
        <w:tc>
          <w:tcPr>
            <w:tcW w:w="1610" w:type="dxa"/>
            <w:vAlign w:val="center"/>
          </w:tcPr>
          <w:p>
            <w:pPr>
              <w:pStyle w:val="TableNumber"/>
            </w:pPr>
            <w:r>
              <w:t>0.8835</w:t>
            </w:r>
          </w:p>
        </w:tc>
      </w:tr>
    </w:tbl>
    <w:p>
      <w:pPr>
        <w:pStyle w:val="a"/>
        <w:spacing w:before="160"/>
      </w:pPr>
      <w:r>
        <w:t>以 train-only robust scale 正規化後，normalized pinball 介於 0.28853 至 0.29316。數值反映相對於各 horizon 訓練尺度的分布誤差；不能據此推論長 horizon 的 raw return error 較小。</w:t>
      </w:r>
    </w:p>
    <w:p>
      <w:pPr>
        <w:pStyle w:val="21"/>
      </w:pPr>
      <w:r>
        <w:t>6.2 q50 與區間校準</w:t>
      </w:r>
    </w:p>
    <w:p>
      <w:pPr>
        <w:pStyle w:val="Decision"/>
        <w:keepNext/>
        <w:spacing w:after="80"/>
      </w:pPr>
      <w:r>
        <w:t xml:space="preserve">表 8｜Raw q50 與區間結果 校準後 q50 不變</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方向一致</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低於80% (pp)</w:t>
            </w:r>
          </w:p>
        </w:tc>
        <w:tc>
          <w:tcPr>
            <w:tcW w:w="1960" w:type="dxa"/>
            <w:shd w:val="clear" w:fill="DCE6F1"/>
            <w:vAlign w:val="center"/>
          </w:tcPr>
          <w:p>
            <w:pPr>
              <w:pStyle w:val="TableHeader"/>
            </w:pPr>
            <w:r>
              <w:t>區間寬度</w:t>
            </w:r>
          </w:p>
        </w:tc>
      </w:tr>
      <w:tr>
        <w:trPr>
          <w:cantSplit/>
        </w:trPr>
        <w:tc>
          <w:tcPr>
            <w:tcW w:w="700" w:type="dxa"/>
            <w:vAlign w:val="center"/>
          </w:tcPr>
          <w:p>
            <w:pPr>
              <w:pStyle w:val="TableText"/>
            </w:pPr>
            <w:r>
              <w:t>1d</w:t>
            </w:r>
          </w:p>
        </w:tc>
        <w:tc>
          <w:tcPr>
            <w:tcW w:w="1600" w:type="dxa"/>
            <w:vAlign w:val="center"/>
          </w:tcPr>
          <w:p>
            <w:pPr>
              <w:pStyle w:val="TableNumber"/>
            </w:pPr>
            <w:r>
              <w:t>0.0701</w:t>
            </w:r>
          </w:p>
        </w:tc>
        <w:tc>
          <w:tcPr>
            <w:tcW w:w="1650" w:type="dxa"/>
            <w:vAlign w:val="center"/>
          </w:tcPr>
          <w:p>
            <w:pPr>
              <w:pStyle w:val="TableNumber"/>
            </w:pPr>
            <w:r>
              <w:t>52.33%</w:t>
            </w:r>
          </w:p>
        </w:tc>
        <w:tc>
          <w:tcPr>
            <w:tcW w:w="1650" w:type="dxa"/>
            <w:vAlign w:val="center"/>
          </w:tcPr>
          <w:p>
            <w:pPr>
              <w:pStyle w:val="TableNumber"/>
            </w:pPr>
            <w:r>
              <w:t>79.06%</w:t>
            </w:r>
          </w:p>
        </w:tc>
        <w:tc>
          <w:tcPr>
            <w:tcW w:w="1800" w:type="dxa"/>
            <w:vAlign w:val="center"/>
          </w:tcPr>
          <w:p>
            <w:pPr>
              <w:pStyle w:val="TableNumber"/>
            </w:pPr>
            <w:r>
              <w:t>0.94</w:t>
            </w:r>
          </w:p>
        </w:tc>
        <w:tc>
          <w:tcPr>
            <w:tcW w:w="1960" w:type="dxa"/>
            <w:vAlign w:val="center"/>
          </w:tcPr>
          <w:p>
            <w:pPr>
              <w:pStyle w:val="TableNumber"/>
            </w:pPr>
            <w:r>
              <w:t>0.05986</w:t>
            </w:r>
          </w:p>
        </w:tc>
      </w:tr>
      <w:tr>
        <w:trPr>
          <w:cantSplit/>
        </w:trPr>
        <w:tc>
          <w:tcPr>
            <w:tcW w:w="700" w:type="dxa"/>
            <w:vAlign w:val="center"/>
          </w:tcPr>
          <w:p>
            <w:pPr>
              <w:pStyle w:val="TableText"/>
            </w:pPr>
            <w:r>
              <w:t>2d</w:t>
            </w:r>
          </w:p>
        </w:tc>
        <w:tc>
          <w:tcPr>
            <w:tcW w:w="1600" w:type="dxa"/>
            <w:vAlign w:val="center"/>
          </w:tcPr>
          <w:p>
            <w:pPr>
              <w:pStyle w:val="TableNumber"/>
            </w:pPr>
            <w:r>
              <w:t>0.0746</w:t>
            </w:r>
          </w:p>
        </w:tc>
        <w:tc>
          <w:tcPr>
            <w:tcW w:w="1650" w:type="dxa"/>
            <w:vAlign w:val="center"/>
          </w:tcPr>
          <w:p>
            <w:pPr>
              <w:pStyle w:val="TableNumber"/>
            </w:pPr>
            <w:r>
              <w:t>52.34%</w:t>
            </w:r>
          </w:p>
        </w:tc>
        <w:tc>
          <w:tcPr>
            <w:tcW w:w="1650" w:type="dxa"/>
            <w:vAlign w:val="center"/>
          </w:tcPr>
          <w:p>
            <w:pPr>
              <w:pStyle w:val="TableNumber"/>
            </w:pPr>
            <w:r>
              <w:t>78.33%</w:t>
            </w:r>
          </w:p>
        </w:tc>
        <w:tc>
          <w:tcPr>
            <w:tcW w:w="1800" w:type="dxa"/>
            <w:vAlign w:val="center"/>
          </w:tcPr>
          <w:p>
            <w:pPr>
              <w:pStyle w:val="TableNumber"/>
            </w:pPr>
            <w:r>
              <w:t>1.67</w:t>
            </w:r>
          </w:p>
        </w:tc>
        <w:tc>
          <w:tcPr>
            <w:tcW w:w="1960" w:type="dxa"/>
            <w:vAlign w:val="center"/>
          </w:tcPr>
          <w:p>
            <w:pPr>
              <w:pStyle w:val="TableNumber"/>
            </w:pPr>
            <w:r>
              <w:t>0.08868</w:t>
            </w:r>
          </w:p>
        </w:tc>
      </w:tr>
      <w:tr>
        <w:trPr>
          <w:cantSplit/>
        </w:trPr>
        <w:tc>
          <w:tcPr>
            <w:tcW w:w="700" w:type="dxa"/>
            <w:vAlign w:val="center"/>
          </w:tcPr>
          <w:p>
            <w:pPr>
              <w:pStyle w:val="TableText"/>
            </w:pPr>
            <w:r>
              <w:t>3d</w:t>
            </w:r>
          </w:p>
        </w:tc>
        <w:tc>
          <w:tcPr>
            <w:tcW w:w="1600" w:type="dxa"/>
            <w:vAlign w:val="center"/>
          </w:tcPr>
          <w:p>
            <w:pPr>
              <w:pStyle w:val="TableNumber"/>
            </w:pPr>
            <w:r>
              <w:t>0.0829</w:t>
            </w:r>
          </w:p>
        </w:tc>
        <w:tc>
          <w:tcPr>
            <w:tcW w:w="1650" w:type="dxa"/>
            <w:vAlign w:val="center"/>
          </w:tcPr>
          <w:p>
            <w:pPr>
              <w:pStyle w:val="TableNumber"/>
            </w:pPr>
            <w:r>
              <w:t>53.10%</w:t>
            </w:r>
          </w:p>
        </w:tc>
        <w:tc>
          <w:tcPr>
            <w:tcW w:w="1650" w:type="dxa"/>
            <w:vAlign w:val="center"/>
          </w:tcPr>
          <w:p>
            <w:pPr>
              <w:pStyle w:val="TableNumber"/>
            </w:pPr>
            <w:r>
              <w:t>78.61%</w:t>
            </w:r>
          </w:p>
        </w:tc>
        <w:tc>
          <w:tcPr>
            <w:tcW w:w="1800" w:type="dxa"/>
            <w:vAlign w:val="center"/>
          </w:tcPr>
          <w:p>
            <w:pPr>
              <w:pStyle w:val="TableNumber"/>
            </w:pPr>
            <w:r>
              <w:t>1.39</w:t>
            </w:r>
          </w:p>
        </w:tc>
        <w:tc>
          <w:tcPr>
            <w:tcW w:w="1960" w:type="dxa"/>
            <w:vAlign w:val="center"/>
          </w:tcPr>
          <w:p>
            <w:pPr>
              <w:pStyle w:val="TableNumber"/>
            </w:pPr>
            <w:r>
              <w:t>0.11286</w:t>
            </w:r>
          </w:p>
        </w:tc>
      </w:tr>
      <w:tr>
        <w:trPr>
          <w:cantSplit/>
        </w:trPr>
        <w:tc>
          <w:tcPr>
            <w:tcW w:w="700" w:type="dxa"/>
            <w:vAlign w:val="center"/>
          </w:tcPr>
          <w:p>
            <w:pPr>
              <w:pStyle w:val="TableText"/>
            </w:pPr>
            <w:r>
              <w:t>4d</w:t>
            </w:r>
          </w:p>
        </w:tc>
        <w:tc>
          <w:tcPr>
            <w:tcW w:w="1600" w:type="dxa"/>
            <w:vAlign w:val="center"/>
          </w:tcPr>
          <w:p>
            <w:pPr>
              <w:pStyle w:val="TableNumber"/>
            </w:pPr>
            <w:r>
              <w:t>0.0923</w:t>
            </w:r>
          </w:p>
        </w:tc>
        <w:tc>
          <w:tcPr>
            <w:tcW w:w="1650" w:type="dxa"/>
            <w:vAlign w:val="center"/>
          </w:tcPr>
          <w:p>
            <w:pPr>
              <w:pStyle w:val="TableNumber"/>
            </w:pPr>
            <w:r>
              <w:t>53.14%</w:t>
            </w:r>
          </w:p>
        </w:tc>
        <w:tc>
          <w:tcPr>
            <w:tcW w:w="1650" w:type="dxa"/>
            <w:vAlign w:val="center"/>
          </w:tcPr>
          <w:p>
            <w:pPr>
              <w:pStyle w:val="TableNumber"/>
            </w:pPr>
            <w:r>
              <w:t>78.63%</w:t>
            </w:r>
          </w:p>
        </w:tc>
        <w:tc>
          <w:tcPr>
            <w:tcW w:w="1800" w:type="dxa"/>
            <w:vAlign w:val="center"/>
          </w:tcPr>
          <w:p>
            <w:pPr>
              <w:pStyle w:val="TableNumber"/>
            </w:pPr>
            <w:r>
              <w:t>1.37</w:t>
            </w:r>
          </w:p>
        </w:tc>
        <w:tc>
          <w:tcPr>
            <w:tcW w:w="1960" w:type="dxa"/>
            <w:vAlign w:val="center"/>
          </w:tcPr>
          <w:p>
            <w:pPr>
              <w:pStyle w:val="TableNumber"/>
            </w:pPr>
            <w:r>
              <w:t>0.13273</w:t>
            </w:r>
          </w:p>
        </w:tc>
      </w:tr>
      <w:tr>
        <w:trPr>
          <w:cantSplit/>
        </w:trPr>
        <w:tc>
          <w:tcPr>
            <w:tcW w:w="700" w:type="dxa"/>
            <w:vAlign w:val="center"/>
          </w:tcPr>
          <w:p>
            <w:pPr>
              <w:pStyle w:val="TableText"/>
            </w:pPr>
            <w:r>
              <w:t>5d</w:t>
            </w:r>
          </w:p>
        </w:tc>
        <w:tc>
          <w:tcPr>
            <w:tcW w:w="1600" w:type="dxa"/>
            <w:vAlign w:val="center"/>
          </w:tcPr>
          <w:p>
            <w:pPr>
              <w:pStyle w:val="TableNumber"/>
            </w:pPr>
            <w:r>
              <w:t>0.0987</w:t>
            </w:r>
          </w:p>
        </w:tc>
        <w:tc>
          <w:tcPr>
            <w:tcW w:w="1650" w:type="dxa"/>
            <w:vAlign w:val="center"/>
          </w:tcPr>
          <w:p>
            <w:pPr>
              <w:pStyle w:val="TableNumber"/>
            </w:pPr>
            <w:r>
              <w:t>54.08%</w:t>
            </w:r>
          </w:p>
        </w:tc>
        <w:tc>
          <w:tcPr>
            <w:tcW w:w="1650" w:type="dxa"/>
            <w:vAlign w:val="center"/>
          </w:tcPr>
          <w:p>
            <w:pPr>
              <w:pStyle w:val="TableNumber"/>
            </w:pPr>
            <w:r>
              <w:t>78.18%</w:t>
            </w:r>
          </w:p>
        </w:tc>
        <w:tc>
          <w:tcPr>
            <w:tcW w:w="1800" w:type="dxa"/>
            <w:vAlign w:val="center"/>
          </w:tcPr>
          <w:p>
            <w:pPr>
              <w:pStyle w:val="TableNumber"/>
            </w:pPr>
            <w:r>
              <w:t>1.82</w:t>
            </w:r>
          </w:p>
        </w:tc>
        <w:tc>
          <w:tcPr>
            <w:tcW w:w="1960" w:type="dxa"/>
            <w:vAlign w:val="center"/>
          </w:tcPr>
          <w:p>
            <w:pPr>
              <w:pStyle w:val="TableNumber"/>
            </w:pPr>
            <w:r>
              <w:t>0.14979</w:t>
            </w:r>
          </w:p>
        </w:tc>
      </w:tr>
      <w:tr>
        <w:trPr>
          <w:cantSplit/>
        </w:trPr>
        <w:tc>
          <w:tcPr>
            <w:tcW w:w="700" w:type="dxa"/>
            <w:vAlign w:val="center"/>
          </w:tcPr>
          <w:p>
            <w:pPr>
              <w:pStyle w:val="TableText"/>
            </w:pPr>
            <w:r>
              <w:t>6d</w:t>
            </w:r>
          </w:p>
        </w:tc>
        <w:tc>
          <w:tcPr>
            <w:tcW w:w="1600" w:type="dxa"/>
            <w:vAlign w:val="center"/>
          </w:tcPr>
          <w:p>
            <w:pPr>
              <w:pStyle w:val="TableNumber"/>
            </w:pPr>
            <w:r>
              <w:t>0.1061</w:t>
            </w:r>
          </w:p>
        </w:tc>
        <w:tc>
          <w:tcPr>
            <w:tcW w:w="1650" w:type="dxa"/>
            <w:vAlign w:val="center"/>
          </w:tcPr>
          <w:p>
            <w:pPr>
              <w:pStyle w:val="TableNumber"/>
            </w:pPr>
            <w:r>
              <w:t>54.32%</w:t>
            </w:r>
          </w:p>
        </w:tc>
        <w:tc>
          <w:tcPr>
            <w:tcW w:w="1650" w:type="dxa"/>
            <w:vAlign w:val="center"/>
          </w:tcPr>
          <w:p>
            <w:pPr>
              <w:pStyle w:val="TableNumber"/>
            </w:pPr>
            <w:r>
              <w:t>78.08%</w:t>
            </w:r>
          </w:p>
        </w:tc>
        <w:tc>
          <w:tcPr>
            <w:tcW w:w="1800" w:type="dxa"/>
            <w:vAlign w:val="center"/>
          </w:tcPr>
          <w:p>
            <w:pPr>
              <w:pStyle w:val="TableNumber"/>
            </w:pPr>
            <w:r>
              <w:t>1.92</w:t>
            </w:r>
          </w:p>
        </w:tc>
        <w:tc>
          <w:tcPr>
            <w:tcW w:w="1960" w:type="dxa"/>
            <w:vAlign w:val="center"/>
          </w:tcPr>
          <w:p>
            <w:pPr>
              <w:pStyle w:val="TableNumber"/>
            </w:pPr>
            <w:r>
              <w:t>0.16622</w:t>
            </w:r>
          </w:p>
        </w:tc>
      </w:tr>
      <w:tr>
        <w:trPr>
          <w:cantSplit/>
        </w:trPr>
        <w:tc>
          <w:tcPr>
            <w:tcW w:w="700" w:type="dxa"/>
            <w:vAlign w:val="center"/>
          </w:tcPr>
          <w:p>
            <w:pPr>
              <w:pStyle w:val="TableText"/>
            </w:pPr>
            <w:r>
              <w:t>7d</w:t>
            </w:r>
          </w:p>
        </w:tc>
        <w:tc>
          <w:tcPr>
            <w:tcW w:w="1600" w:type="dxa"/>
            <w:vAlign w:val="center"/>
          </w:tcPr>
          <w:p>
            <w:pPr>
              <w:pStyle w:val="TableNumber"/>
            </w:pPr>
            <w:r>
              <w:t>0.1121</w:t>
            </w:r>
          </w:p>
        </w:tc>
        <w:tc>
          <w:tcPr>
            <w:tcW w:w="1650" w:type="dxa"/>
            <w:vAlign w:val="center"/>
          </w:tcPr>
          <w:p>
            <w:pPr>
              <w:pStyle w:val="TableNumber"/>
            </w:pPr>
            <w:r>
              <w:t>54.53%</w:t>
            </w:r>
          </w:p>
        </w:tc>
        <w:tc>
          <w:tcPr>
            <w:tcW w:w="1650" w:type="dxa"/>
            <w:vAlign w:val="center"/>
          </w:tcPr>
          <w:p>
            <w:pPr>
              <w:pStyle w:val="TableNumber"/>
            </w:pPr>
            <w:r>
              <w:t>77.30%</w:t>
            </w:r>
          </w:p>
        </w:tc>
        <w:tc>
          <w:tcPr>
            <w:tcW w:w="1800" w:type="dxa"/>
            <w:vAlign w:val="center"/>
          </w:tcPr>
          <w:p>
            <w:pPr>
              <w:pStyle w:val="TableNumber"/>
            </w:pPr>
            <w:r>
              <w:t>2.70</w:t>
            </w:r>
          </w:p>
        </w:tc>
        <w:tc>
          <w:tcPr>
            <w:tcW w:w="1960" w:type="dxa"/>
            <w:vAlign w:val="center"/>
          </w:tcPr>
          <w:p>
            <w:pPr>
              <w:pStyle w:val="TableNumber"/>
            </w:pPr>
            <w:r>
              <w:t>0.17875</w:t>
            </w:r>
          </w:p>
        </w:tc>
      </w:tr>
      <w:tr>
        <w:trPr>
          <w:cantSplit/>
        </w:trPr>
        <w:tc>
          <w:tcPr>
            <w:tcW w:w="700" w:type="dxa"/>
            <w:vAlign w:val="center"/>
          </w:tcPr>
          <w:p>
            <w:pPr>
              <w:pStyle w:val="TableText"/>
            </w:pPr>
            <w:r>
              <w:t>8d</w:t>
            </w:r>
          </w:p>
        </w:tc>
        <w:tc>
          <w:tcPr>
            <w:tcW w:w="1600" w:type="dxa"/>
            <w:vAlign w:val="center"/>
          </w:tcPr>
          <w:p>
            <w:pPr>
              <w:pStyle w:val="TableNumber"/>
            </w:pPr>
            <w:r>
              <w:t>0.1195</w:t>
            </w:r>
          </w:p>
        </w:tc>
        <w:tc>
          <w:tcPr>
            <w:tcW w:w="1650" w:type="dxa"/>
            <w:vAlign w:val="center"/>
          </w:tcPr>
          <w:p>
            <w:pPr>
              <w:pStyle w:val="TableNumber"/>
            </w:pPr>
            <w:r>
              <w:t>55.11%</w:t>
            </w:r>
          </w:p>
        </w:tc>
        <w:tc>
          <w:tcPr>
            <w:tcW w:w="1650" w:type="dxa"/>
            <w:vAlign w:val="center"/>
          </w:tcPr>
          <w:p>
            <w:pPr>
              <w:pStyle w:val="TableNumber"/>
            </w:pPr>
            <w:r>
              <w:t>77.78%</w:t>
            </w:r>
          </w:p>
        </w:tc>
        <w:tc>
          <w:tcPr>
            <w:tcW w:w="1800" w:type="dxa"/>
            <w:vAlign w:val="center"/>
          </w:tcPr>
          <w:p>
            <w:pPr>
              <w:pStyle w:val="TableNumber"/>
            </w:pPr>
            <w:r>
              <w:t>2.22</w:t>
            </w:r>
          </w:p>
        </w:tc>
        <w:tc>
          <w:tcPr>
            <w:tcW w:w="1960" w:type="dxa"/>
            <w:vAlign w:val="center"/>
          </w:tcPr>
          <w:p>
            <w:pPr>
              <w:pStyle w:val="TableNumber"/>
            </w:pPr>
            <w:r>
              <w:t>0.19519</w:t>
            </w:r>
          </w:p>
        </w:tc>
      </w:tr>
      <w:tr>
        <w:trPr>
          <w:cantSplit/>
        </w:trPr>
        <w:tc>
          <w:tcPr>
            <w:tcW w:w="700" w:type="dxa"/>
            <w:vAlign w:val="center"/>
          </w:tcPr>
          <w:p>
            <w:pPr>
              <w:pStyle w:val="TableText"/>
            </w:pPr>
            <w:r>
              <w:t>9d</w:t>
            </w:r>
          </w:p>
        </w:tc>
        <w:tc>
          <w:tcPr>
            <w:tcW w:w="1600" w:type="dxa"/>
            <w:vAlign w:val="center"/>
          </w:tcPr>
          <w:p>
            <w:pPr>
              <w:pStyle w:val="TableNumber"/>
            </w:pPr>
            <w:r>
              <w:t>0.1217</w:t>
            </w:r>
          </w:p>
        </w:tc>
        <w:tc>
          <w:tcPr>
            <w:tcW w:w="1650" w:type="dxa"/>
            <w:vAlign w:val="center"/>
          </w:tcPr>
          <w:p>
            <w:pPr>
              <w:pStyle w:val="TableNumber"/>
            </w:pPr>
            <w:r>
              <w:t>55.29%</w:t>
            </w:r>
          </w:p>
        </w:tc>
        <w:tc>
          <w:tcPr>
            <w:tcW w:w="1650" w:type="dxa"/>
            <w:vAlign w:val="center"/>
          </w:tcPr>
          <w:p>
            <w:pPr>
              <w:pStyle w:val="TableNumber"/>
            </w:pPr>
            <w:r>
              <w:t>77.13%</w:t>
            </w:r>
          </w:p>
        </w:tc>
        <w:tc>
          <w:tcPr>
            <w:tcW w:w="1800" w:type="dxa"/>
            <w:vAlign w:val="center"/>
          </w:tcPr>
          <w:p>
            <w:pPr>
              <w:pStyle w:val="TableNumber"/>
            </w:pPr>
            <w:r>
              <w:t>2.87</w:t>
            </w:r>
          </w:p>
        </w:tc>
        <w:tc>
          <w:tcPr>
            <w:tcW w:w="1960" w:type="dxa"/>
            <w:vAlign w:val="center"/>
          </w:tcPr>
          <w:p>
            <w:pPr>
              <w:pStyle w:val="TableNumber"/>
            </w:pPr>
            <w:r>
              <w:t>0.20588</w:t>
            </w:r>
          </w:p>
        </w:tc>
      </w:tr>
      <w:tr>
        <w:trPr>
          <w:cantSplit/>
        </w:trPr>
        <w:tc>
          <w:tcPr>
            <w:tcW w:w="700" w:type="dxa"/>
            <w:vAlign w:val="center"/>
          </w:tcPr>
          <w:p>
            <w:pPr>
              <w:pStyle w:val="TableText"/>
            </w:pPr>
            <w:r>
              <w:t>10d</w:t>
            </w:r>
          </w:p>
        </w:tc>
        <w:tc>
          <w:tcPr>
            <w:tcW w:w="1600" w:type="dxa"/>
            <w:vAlign w:val="center"/>
          </w:tcPr>
          <w:p>
            <w:pPr>
              <w:pStyle w:val="TableNumber"/>
            </w:pPr>
            <w:r>
              <w:t>0.1245</w:t>
            </w:r>
          </w:p>
        </w:tc>
        <w:tc>
          <w:tcPr>
            <w:tcW w:w="1650" w:type="dxa"/>
            <w:vAlign w:val="center"/>
          </w:tcPr>
          <w:p>
            <w:pPr>
              <w:pStyle w:val="TableNumber"/>
            </w:pPr>
            <w:r>
              <w:t>55.75%</w:t>
            </w:r>
          </w:p>
        </w:tc>
        <w:tc>
          <w:tcPr>
            <w:tcW w:w="1650" w:type="dxa"/>
            <w:vAlign w:val="center"/>
          </w:tcPr>
          <w:p>
            <w:pPr>
              <w:pStyle w:val="TableNumber"/>
            </w:pPr>
            <w:r>
              <w:t>77.75%</w:t>
            </w:r>
          </w:p>
        </w:tc>
        <w:tc>
          <w:tcPr>
            <w:tcW w:w="1800" w:type="dxa"/>
            <w:vAlign w:val="center"/>
          </w:tcPr>
          <w:p>
            <w:pPr>
              <w:pStyle w:val="TableNumber"/>
            </w:pPr>
            <w:r>
              <w:t>2.25</w:t>
            </w:r>
          </w:p>
        </w:tc>
        <w:tc>
          <w:tcPr>
            <w:tcW w:w="1960" w:type="dxa"/>
            <w:vAlign w:val="center"/>
          </w:tcPr>
          <w:p>
            <w:pPr>
              <w:pStyle w:val="TableNumber"/>
            </w:pPr>
            <w:r>
              <w:t>0.22151</w:t>
            </w:r>
          </w:p>
        </w:tc>
      </w:tr>
      <w:tr>
        <w:trPr>
          <w:cantSplit/>
        </w:trPr>
        <w:tc>
          <w:tcPr>
            <w:tcW w:w="700" w:type="dxa"/>
            <w:vAlign w:val="center"/>
          </w:tcPr>
          <w:p>
            <w:pPr>
              <w:pStyle w:val="TableText"/>
            </w:pPr>
            <w:r>
              <w:t>11d</w:t>
            </w:r>
          </w:p>
        </w:tc>
        <w:tc>
          <w:tcPr>
            <w:tcW w:w="1600" w:type="dxa"/>
            <w:vAlign w:val="center"/>
          </w:tcPr>
          <w:p>
            <w:pPr>
              <w:pStyle w:val="TableNumber"/>
            </w:pPr>
            <w:r>
              <w:t>0.1248</w:t>
            </w:r>
          </w:p>
        </w:tc>
        <w:tc>
          <w:tcPr>
            <w:tcW w:w="1650" w:type="dxa"/>
            <w:vAlign w:val="center"/>
          </w:tcPr>
          <w:p>
            <w:pPr>
              <w:pStyle w:val="TableNumber"/>
            </w:pPr>
            <w:r>
              <w:t>55.89%</w:t>
            </w:r>
          </w:p>
        </w:tc>
        <w:tc>
          <w:tcPr>
            <w:tcW w:w="1650" w:type="dxa"/>
            <w:vAlign w:val="center"/>
          </w:tcPr>
          <w:p>
            <w:pPr>
              <w:pStyle w:val="TableNumber"/>
            </w:pPr>
            <w:r>
              <w:t>77.09%</w:t>
            </w:r>
          </w:p>
        </w:tc>
        <w:tc>
          <w:tcPr>
            <w:tcW w:w="1800" w:type="dxa"/>
            <w:vAlign w:val="center"/>
          </w:tcPr>
          <w:p>
            <w:pPr>
              <w:pStyle w:val="TableNumber"/>
            </w:pPr>
            <w:r>
              <w:t>2.91</w:t>
            </w:r>
          </w:p>
        </w:tc>
        <w:tc>
          <w:tcPr>
            <w:tcW w:w="1960" w:type="dxa"/>
            <w:vAlign w:val="center"/>
          </w:tcPr>
          <w:p>
            <w:pPr>
              <w:pStyle w:val="TableNumber"/>
            </w:pPr>
            <w:r>
              <w:t>0.23056</w:t>
            </w:r>
          </w:p>
        </w:tc>
      </w:tr>
      <w:tr>
        <w:trPr>
          <w:cantSplit/>
        </w:trPr>
        <w:tc>
          <w:tcPr>
            <w:tcW w:w="700" w:type="dxa"/>
            <w:vAlign w:val="center"/>
          </w:tcPr>
          <w:p>
            <w:pPr>
              <w:pStyle w:val="TableText"/>
            </w:pPr>
            <w:r>
              <w:t>12d</w:t>
            </w:r>
          </w:p>
        </w:tc>
        <w:tc>
          <w:tcPr>
            <w:tcW w:w="1600" w:type="dxa"/>
            <w:vAlign w:val="center"/>
          </w:tcPr>
          <w:p>
            <w:pPr>
              <w:pStyle w:val="TableNumber"/>
            </w:pPr>
            <w:r>
              <w:t>0.1264</w:t>
            </w:r>
          </w:p>
        </w:tc>
        <w:tc>
          <w:tcPr>
            <w:tcW w:w="1650" w:type="dxa"/>
            <w:vAlign w:val="center"/>
          </w:tcPr>
          <w:p>
            <w:pPr>
              <w:pStyle w:val="TableNumber"/>
            </w:pPr>
            <w:r>
              <w:t>56.07%</w:t>
            </w:r>
          </w:p>
        </w:tc>
        <w:tc>
          <w:tcPr>
            <w:tcW w:w="1650" w:type="dxa"/>
            <w:vAlign w:val="center"/>
          </w:tcPr>
          <w:p>
            <w:pPr>
              <w:pStyle w:val="TableNumber"/>
            </w:pPr>
            <w:r>
              <w:t>77.17%</w:t>
            </w:r>
          </w:p>
        </w:tc>
        <w:tc>
          <w:tcPr>
            <w:tcW w:w="1800" w:type="dxa"/>
            <w:vAlign w:val="center"/>
          </w:tcPr>
          <w:p>
            <w:pPr>
              <w:pStyle w:val="TableNumber"/>
            </w:pPr>
            <w:r>
              <w:t>2.83</w:t>
            </w:r>
          </w:p>
        </w:tc>
        <w:tc>
          <w:tcPr>
            <w:tcW w:w="1960" w:type="dxa"/>
            <w:vAlign w:val="center"/>
          </w:tcPr>
          <w:p>
            <w:pPr>
              <w:pStyle w:val="TableNumber"/>
            </w:pPr>
            <w:r>
              <w:t>0.24409</w:t>
            </w:r>
          </w:p>
        </w:tc>
      </w:tr>
      <w:tr>
        <w:trPr>
          <w:cantSplit/>
        </w:trPr>
        <w:tc>
          <w:tcPr>
            <w:tcW w:w="700" w:type="dxa"/>
            <w:vAlign w:val="center"/>
          </w:tcPr>
          <w:p>
            <w:pPr>
              <w:pStyle w:val="TableText"/>
            </w:pPr>
            <w:r>
              <w:t>13d</w:t>
            </w:r>
          </w:p>
        </w:tc>
        <w:tc>
          <w:tcPr>
            <w:tcW w:w="1600" w:type="dxa"/>
            <w:vAlign w:val="center"/>
          </w:tcPr>
          <w:p>
            <w:pPr>
              <w:pStyle w:val="TableNumber"/>
            </w:pPr>
            <w:r>
              <w:t>0.1284</w:t>
            </w:r>
          </w:p>
        </w:tc>
        <w:tc>
          <w:tcPr>
            <w:tcW w:w="1650" w:type="dxa"/>
            <w:vAlign w:val="center"/>
          </w:tcPr>
          <w:p>
            <w:pPr>
              <w:pStyle w:val="TableNumber"/>
            </w:pPr>
            <w:r>
              <w:t>56.14%</w:t>
            </w:r>
          </w:p>
        </w:tc>
        <w:tc>
          <w:tcPr>
            <w:tcW w:w="1650" w:type="dxa"/>
            <w:vAlign w:val="center"/>
          </w:tcPr>
          <w:p>
            <w:pPr>
              <w:pStyle w:val="TableNumber"/>
            </w:pPr>
            <w:r>
              <w:t>77.00%</w:t>
            </w:r>
          </w:p>
        </w:tc>
        <w:tc>
          <w:tcPr>
            <w:tcW w:w="1800" w:type="dxa"/>
            <w:vAlign w:val="center"/>
          </w:tcPr>
          <w:p>
            <w:pPr>
              <w:pStyle w:val="TableNumber"/>
            </w:pPr>
            <w:r>
              <w:t>3.00</w:t>
            </w:r>
          </w:p>
        </w:tc>
        <w:tc>
          <w:tcPr>
            <w:tcW w:w="1960" w:type="dxa"/>
            <w:vAlign w:val="center"/>
          </w:tcPr>
          <w:p>
            <w:pPr>
              <w:pStyle w:val="TableNumber"/>
            </w:pPr>
            <w:r>
              <w:t>0.25533</w:t>
            </w:r>
          </w:p>
        </w:tc>
      </w:tr>
      <w:tr>
        <w:trPr>
          <w:cantSplit/>
        </w:trPr>
        <w:tc>
          <w:tcPr>
            <w:tcW w:w="700" w:type="dxa"/>
            <w:vAlign w:val="center"/>
          </w:tcPr>
          <w:p>
            <w:pPr>
              <w:pStyle w:val="TableText"/>
            </w:pPr>
            <w:r>
              <w:t>14d</w:t>
            </w:r>
          </w:p>
        </w:tc>
        <w:tc>
          <w:tcPr>
            <w:tcW w:w="1600" w:type="dxa"/>
            <w:vAlign w:val="center"/>
          </w:tcPr>
          <w:p>
            <w:pPr>
              <w:pStyle w:val="TableNumber"/>
            </w:pPr>
            <w:r>
              <w:t>0.1303</w:t>
            </w:r>
          </w:p>
        </w:tc>
        <w:tc>
          <w:tcPr>
            <w:tcW w:w="1650" w:type="dxa"/>
            <w:vAlign w:val="center"/>
          </w:tcPr>
          <w:p>
            <w:pPr>
              <w:pStyle w:val="TableNumber"/>
            </w:pPr>
            <w:r>
              <w:t>56.45%</w:t>
            </w:r>
          </w:p>
        </w:tc>
        <w:tc>
          <w:tcPr>
            <w:tcW w:w="1650" w:type="dxa"/>
            <w:vAlign w:val="center"/>
          </w:tcPr>
          <w:p>
            <w:pPr>
              <w:pStyle w:val="TableNumber"/>
            </w:pPr>
            <w:r>
              <w:t>77.11%</w:t>
            </w:r>
          </w:p>
        </w:tc>
        <w:tc>
          <w:tcPr>
            <w:tcW w:w="1800" w:type="dxa"/>
            <w:vAlign w:val="center"/>
          </w:tcPr>
          <w:p>
            <w:pPr>
              <w:pStyle w:val="TableNumber"/>
            </w:pPr>
            <w:r>
              <w:t>2.89</w:t>
            </w:r>
          </w:p>
        </w:tc>
        <w:tc>
          <w:tcPr>
            <w:tcW w:w="1960" w:type="dxa"/>
            <w:vAlign w:val="center"/>
          </w:tcPr>
          <w:p>
            <w:pPr>
              <w:pStyle w:val="TableNumber"/>
            </w:pPr>
            <w:r>
              <w:t>0.26708</w:t>
            </w:r>
          </w:p>
        </w:tc>
      </w:tr>
    </w:tbl>
    <w:p>
      <w:pPr>
        <w:pStyle w:val="a"/>
        <w:spacing w:before="160"/>
      </w:pPr>
      <w:r>
        <w:t xml:space="preserve">表 8 是 raw 結果。下列新增表完整並列 raw 與 calibrated，並加入固定分布 baseline；原始 q50 MAE、correlation 與方向一致率保留且校準後完全相同。不能把區間校準改善解讀成 q50 或方向預測改善。</w:t>
      </w:r>
    </w:p>
    <w:p>
      <w:pPr>
        <w:pStyle w:val="21"/>
      </w:pPr>
      <w:r>
        <w:t xml:space="preserve">6.2a 校準前後的完整分布比較</w:t>
      </w:r>
    </w:p>
    <w:p>
      <w:pPr>
        <w:pStyle w:val="Decision"/>
      </w:pPr>
      <w:r>
        <w:t xml:space="preserve">表 8a｜每格第一行 raw 第二行 calibrated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0.291608</w:t>
              <w:br/>
              <w:t xml:space="preserve">0.291244</w:t>
            </w:r>
          </w:p>
        </w:tc>
        <w:tc>
          <w:tcPr>
            <w:tcW w:w="2075" w:type="dxa"/>
            <w:shd w:fill="FFFFFF"/>
            <w:vAlign w:val="center"/>
          </w:tcPr>
          <w:p>
            <w:pPr>
              <w:pStyle w:val="TableNumber"/>
            </w:pPr>
            <w:r>
              <w:t xml:space="preserve">77.8015%</w:t>
              <w:br/>
              <w:t xml:space="preserve">79.4615%</w:t>
            </w:r>
          </w:p>
        </w:tc>
        <w:tc>
          <w:tcPr>
            <w:tcW w:w="2200" w:type="dxa"/>
            <w:shd w:fill="FFFFFF"/>
            <w:vAlign w:val="center"/>
          </w:tcPr>
          <w:p>
            <w:pPr>
              <w:pStyle w:val="TableNumber"/>
            </w:pPr>
            <w:r>
              <w:t xml:space="preserve">2.1985</w:t>
              <w:br/>
              <w:t xml:space="preserve">0.5385</w:t>
            </w:r>
          </w:p>
        </w:tc>
        <w:tc>
          <w:tcPr>
            <w:tcW w:w="2360" w:type="dxa"/>
            <w:shd w:fill="FFFFFF"/>
            <w:vAlign w:val="center"/>
          </w:tcPr>
          <w:p>
            <w:pPr>
              <w:pStyle w:val="TableNumber"/>
            </w:pPr>
            <w:r>
              <w:t xml:space="preserve">0.179182</w:t>
              <w:br/>
              <w:t xml:space="preserve">0.186957</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0.288534</w:t>
              <w:br/>
              <w:t xml:space="preserve">0.288285</w:t>
            </w:r>
          </w:p>
        </w:tc>
        <w:tc>
          <w:tcPr>
            <w:tcW w:w="2075" w:type="dxa"/>
            <w:shd w:fill="F7F9FC"/>
            <w:vAlign w:val="center"/>
          </w:tcPr>
          <w:p>
            <w:pPr>
              <w:pStyle w:val="TableNumber"/>
            </w:pPr>
            <w:r>
              <w:t xml:space="preserve">79.0641%</w:t>
              <w:br/>
              <w:t xml:space="preserve">79.9527%</w:t>
            </w:r>
          </w:p>
        </w:tc>
        <w:tc>
          <w:tcPr>
            <w:tcW w:w="2200" w:type="dxa"/>
            <w:shd w:fill="F7F9FC"/>
            <w:vAlign w:val="center"/>
          </w:tcPr>
          <w:p>
            <w:pPr>
              <w:pStyle w:val="TableNumber"/>
            </w:pPr>
            <w:r>
              <w:t xml:space="preserve">0.9359</w:t>
              <w:br/>
              <w:t xml:space="preserve">0.0473</w:t>
            </w:r>
          </w:p>
        </w:tc>
        <w:tc>
          <w:tcPr>
            <w:tcW w:w="2360" w:type="dxa"/>
            <w:shd w:fill="F7F9FC"/>
            <w:vAlign w:val="center"/>
          </w:tcPr>
          <w:p>
            <w:pPr>
              <w:pStyle w:val="TableNumber"/>
            </w:pPr>
            <w:r>
              <w:t xml:space="preserve">0.059864</w:t>
              <w:br/>
              <w:t xml:space="preserve">0.061292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0.291410</w:t>
              <w:br/>
              <w:t xml:space="preserve">0.291082</w:t>
            </w:r>
          </w:p>
        </w:tc>
        <w:tc>
          <w:tcPr>
            <w:tcW w:w="2075" w:type="dxa"/>
            <w:shd w:fill="FFFFFF"/>
            <w:vAlign w:val="center"/>
          </w:tcPr>
          <w:p>
            <w:pPr>
              <w:pStyle w:val="TableNumber"/>
            </w:pPr>
            <w:r>
              <w:t xml:space="preserve">78.3258%</w:t>
              <w:br/>
              <w:t xml:space="preserve">79.6168%</w:t>
            </w:r>
          </w:p>
        </w:tc>
        <w:tc>
          <w:tcPr>
            <w:tcW w:w="2200" w:type="dxa"/>
            <w:shd w:fill="FFFFFF"/>
            <w:vAlign w:val="center"/>
          </w:tcPr>
          <w:p>
            <w:pPr>
              <w:pStyle w:val="TableNumber"/>
            </w:pPr>
            <w:r>
              <w:t xml:space="preserve">1.6742</w:t>
              <w:br/>
              <w:t xml:space="preserve">0.3832</w:t>
            </w:r>
          </w:p>
        </w:tc>
        <w:tc>
          <w:tcPr>
            <w:tcW w:w="2360" w:type="dxa"/>
            <w:shd w:fill="FFFFFF"/>
            <w:vAlign w:val="center"/>
          </w:tcPr>
          <w:p>
            <w:pPr>
              <w:pStyle w:val="TableNumber"/>
            </w:pPr>
            <w:r>
              <w:t xml:space="preserve">0.088680</w:t>
              <w:br/>
              <w:t xml:space="preserve">0.091713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0.293146</w:t>
              <w:br/>
              <w:t xml:space="preserve">0.292829</w:t>
            </w:r>
          </w:p>
        </w:tc>
        <w:tc>
          <w:tcPr>
            <w:tcW w:w="2075" w:type="dxa"/>
            <w:shd w:fill="F7F9FC"/>
            <w:vAlign w:val="center"/>
          </w:tcPr>
          <w:p>
            <w:pPr>
              <w:pStyle w:val="TableNumber"/>
            </w:pPr>
            <w:r>
              <w:t xml:space="preserve">78.6064%</w:t>
              <w:br/>
              <w:t xml:space="preserve">79.3849%</w:t>
            </w:r>
          </w:p>
        </w:tc>
        <w:tc>
          <w:tcPr>
            <w:tcW w:w="2200" w:type="dxa"/>
            <w:shd w:fill="F7F9FC"/>
            <w:vAlign w:val="center"/>
          </w:tcPr>
          <w:p>
            <w:pPr>
              <w:pStyle w:val="TableNumber"/>
            </w:pPr>
            <w:r>
              <w:t xml:space="preserve">1.3936</w:t>
              <w:br/>
              <w:t xml:space="preserve">0.6151</w:t>
            </w:r>
          </w:p>
        </w:tc>
        <w:tc>
          <w:tcPr>
            <w:tcW w:w="2360" w:type="dxa"/>
            <w:shd w:fill="F7F9FC"/>
            <w:vAlign w:val="center"/>
          </w:tcPr>
          <w:p>
            <w:pPr>
              <w:pStyle w:val="TableNumber"/>
            </w:pPr>
            <w:r>
              <w:t xml:space="preserve">0.112858</w:t>
              <w:br/>
              <w:t xml:space="preserve">0.115027</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0.291099</w:t>
              <w:br/>
              <w:t xml:space="preserve">0.290873</w:t>
            </w:r>
          </w:p>
        </w:tc>
        <w:tc>
          <w:tcPr>
            <w:tcW w:w="2075" w:type="dxa"/>
            <w:shd w:fill="FFFFFF"/>
            <w:vAlign w:val="center"/>
          </w:tcPr>
          <w:p>
            <w:pPr>
              <w:pStyle w:val="TableNumber"/>
            </w:pPr>
            <w:r>
              <w:t xml:space="preserve">78.6303%</w:t>
              <w:br/>
              <w:t xml:space="preserve">79.3864%</w:t>
            </w:r>
          </w:p>
        </w:tc>
        <w:tc>
          <w:tcPr>
            <w:tcW w:w="2200" w:type="dxa"/>
            <w:shd w:fill="FFFFFF"/>
            <w:vAlign w:val="center"/>
          </w:tcPr>
          <w:p>
            <w:pPr>
              <w:pStyle w:val="TableNumber"/>
            </w:pPr>
            <w:r>
              <w:t xml:space="preserve">1.3697</w:t>
              <w:br/>
              <w:t xml:space="preserve">0.6136</w:t>
            </w:r>
          </w:p>
        </w:tc>
        <w:tc>
          <w:tcPr>
            <w:tcW w:w="2360" w:type="dxa"/>
            <w:shd w:fill="FFFFFF"/>
            <w:vAlign w:val="center"/>
          </w:tcPr>
          <w:p>
            <w:pPr>
              <w:pStyle w:val="TableNumber"/>
            </w:pPr>
            <w:r>
              <w:t xml:space="preserve">0.132730</w:t>
              <w:br/>
              <w:t xml:space="preserve">0.135246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0.289276</w:t>
              <w:br/>
              <w:t xml:space="preserve">0.288990</w:t>
            </w:r>
          </w:p>
        </w:tc>
        <w:tc>
          <w:tcPr>
            <w:tcW w:w="2075" w:type="dxa"/>
            <w:shd w:fill="F7F9FC"/>
            <w:vAlign w:val="center"/>
          </w:tcPr>
          <w:p>
            <w:pPr>
              <w:pStyle w:val="TableNumber"/>
            </w:pPr>
            <w:r>
              <w:t xml:space="preserve">78.1815%</w:t>
              <w:br/>
              <w:t xml:space="preserve">79.5966%</w:t>
            </w:r>
          </w:p>
        </w:tc>
        <w:tc>
          <w:tcPr>
            <w:tcW w:w="2200" w:type="dxa"/>
            <w:shd w:fill="F7F9FC"/>
            <w:vAlign w:val="center"/>
          </w:tcPr>
          <w:p>
            <w:pPr>
              <w:pStyle w:val="TableNumber"/>
            </w:pPr>
            <w:r>
              <w:t xml:space="preserve">1.8185</w:t>
              <w:br/>
              <w:t xml:space="preserve">0.4034</w:t>
            </w:r>
          </w:p>
        </w:tc>
        <w:tc>
          <w:tcPr>
            <w:tcW w:w="2360" w:type="dxa"/>
            <w:shd w:fill="F7F9FC"/>
            <w:vAlign w:val="center"/>
          </w:tcPr>
          <w:p>
            <w:pPr>
              <w:pStyle w:val="TableNumber"/>
            </w:pPr>
            <w:r>
              <w:t xml:space="preserve">0.149787</w:t>
              <w:br/>
              <w:t xml:space="preserve">0.155120</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0.291536</w:t>
              <w:br/>
              <w:t xml:space="preserve">0.291303</w:t>
            </w:r>
          </w:p>
        </w:tc>
        <w:tc>
          <w:tcPr>
            <w:tcW w:w="2075" w:type="dxa"/>
            <w:shd w:fill="FFFFFF"/>
            <w:vAlign w:val="center"/>
          </w:tcPr>
          <w:p>
            <w:pPr>
              <w:pStyle w:val="TableNumber"/>
            </w:pPr>
            <w:r>
              <w:t xml:space="preserve">78.0842%</w:t>
              <w:br/>
              <w:t xml:space="preserve">79.6391%</w:t>
            </w:r>
          </w:p>
        </w:tc>
        <w:tc>
          <w:tcPr>
            <w:tcW w:w="2200" w:type="dxa"/>
            <w:shd w:fill="FFFFFF"/>
            <w:vAlign w:val="center"/>
          </w:tcPr>
          <w:p>
            <w:pPr>
              <w:pStyle w:val="TableNumber"/>
            </w:pPr>
            <w:r>
              <w:t xml:space="preserve">1.9158</w:t>
              <w:br/>
              <w:t xml:space="preserve">0.3609</w:t>
            </w:r>
          </w:p>
        </w:tc>
        <w:tc>
          <w:tcPr>
            <w:tcW w:w="2360" w:type="dxa"/>
            <w:shd w:fill="FFFFFF"/>
            <w:vAlign w:val="center"/>
          </w:tcPr>
          <w:p>
            <w:pPr>
              <w:pStyle w:val="TableNumber"/>
            </w:pPr>
            <w:r>
              <w:t xml:space="preserve">0.166217</w:t>
              <w:br/>
              <w:t xml:space="preserve">0.172791</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0.291967</w:t>
              <w:br/>
              <w:t xml:space="preserve">0.291750</w:t>
            </w:r>
          </w:p>
        </w:tc>
        <w:tc>
          <w:tcPr>
            <w:tcW w:w="2075" w:type="dxa"/>
            <w:shd w:fill="F7F9FC"/>
            <w:vAlign w:val="center"/>
          </w:tcPr>
          <w:p>
            <w:pPr>
              <w:pStyle w:val="TableNumber"/>
            </w:pPr>
            <w:r>
              <w:t xml:space="preserve">77.3029%</w:t>
              <w:br/>
              <w:t xml:space="preserve">79.2809%</w:t>
            </w:r>
          </w:p>
        </w:tc>
        <w:tc>
          <w:tcPr>
            <w:tcW w:w="2200" w:type="dxa"/>
            <w:shd w:fill="F7F9FC"/>
            <w:vAlign w:val="center"/>
          </w:tcPr>
          <w:p>
            <w:pPr>
              <w:pStyle w:val="TableNumber"/>
            </w:pPr>
            <w:r>
              <w:t xml:space="preserve">2.6971</w:t>
              <w:br/>
              <w:t xml:space="preserve">0.7191</w:t>
            </w:r>
          </w:p>
        </w:tc>
        <w:tc>
          <w:tcPr>
            <w:tcW w:w="2360" w:type="dxa"/>
            <w:shd w:fill="F7F9FC"/>
            <w:vAlign w:val="center"/>
          </w:tcPr>
          <w:p>
            <w:pPr>
              <w:pStyle w:val="TableNumber"/>
            </w:pPr>
            <w:r>
              <w:t xml:space="preserve">0.178752</w:t>
              <w:br/>
              <w:t xml:space="preserve">0.187544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0.292131</w:t>
              <w:br/>
              <w:t xml:space="preserve">0.291848</w:t>
            </w:r>
          </w:p>
        </w:tc>
        <w:tc>
          <w:tcPr>
            <w:tcW w:w="2075" w:type="dxa"/>
            <w:shd w:fill="FFFFFF"/>
            <w:vAlign w:val="center"/>
          </w:tcPr>
          <w:p>
            <w:pPr>
              <w:pStyle w:val="TableNumber"/>
            </w:pPr>
            <w:r>
              <w:t xml:space="preserve">77.7835%</w:t>
              <w:br/>
              <w:t xml:space="preserve">79.6538%</w:t>
            </w:r>
          </w:p>
        </w:tc>
        <w:tc>
          <w:tcPr>
            <w:tcW w:w="2200" w:type="dxa"/>
            <w:shd w:fill="FFFFFF"/>
            <w:vAlign w:val="center"/>
          </w:tcPr>
          <w:p>
            <w:pPr>
              <w:pStyle w:val="TableNumber"/>
            </w:pPr>
            <w:r>
              <w:t xml:space="preserve">2.2165</w:t>
              <w:br/>
              <w:t xml:space="preserve">0.3462</w:t>
            </w:r>
          </w:p>
        </w:tc>
        <w:tc>
          <w:tcPr>
            <w:tcW w:w="2360" w:type="dxa"/>
            <w:shd w:fill="FFFFFF"/>
            <w:vAlign w:val="center"/>
          </w:tcPr>
          <w:p>
            <w:pPr>
              <w:pStyle w:val="TableNumber"/>
            </w:pPr>
            <w:r>
              <w:t xml:space="preserve">0.195191</w:t>
              <w:br/>
              <w:t xml:space="preserve">0.203946</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0.293026</w:t>
              <w:br/>
              <w:t xml:space="preserve">0.292768</w:t>
            </w:r>
          </w:p>
        </w:tc>
        <w:tc>
          <w:tcPr>
            <w:tcW w:w="2075" w:type="dxa"/>
            <w:shd w:fill="F7F9FC"/>
            <w:vAlign w:val="center"/>
          </w:tcPr>
          <w:p>
            <w:pPr>
              <w:pStyle w:val="TableNumber"/>
            </w:pPr>
            <w:r>
              <w:t xml:space="preserve">77.1271%</w:t>
              <w:br/>
              <w:t xml:space="preserve">79.5202%</w:t>
            </w:r>
          </w:p>
        </w:tc>
        <w:tc>
          <w:tcPr>
            <w:tcW w:w="2200" w:type="dxa"/>
            <w:shd w:fill="F7F9FC"/>
            <w:vAlign w:val="center"/>
          </w:tcPr>
          <w:p>
            <w:pPr>
              <w:pStyle w:val="TableNumber"/>
            </w:pPr>
            <w:r>
              <w:t xml:space="preserve">2.8729</w:t>
              <w:br/>
              <w:t xml:space="preserve">0.4798</w:t>
            </w:r>
          </w:p>
        </w:tc>
        <w:tc>
          <w:tcPr>
            <w:tcW w:w="2360" w:type="dxa"/>
            <w:shd w:fill="F7F9FC"/>
            <w:vAlign w:val="center"/>
          </w:tcPr>
          <w:p>
            <w:pPr>
              <w:pStyle w:val="TableNumber"/>
            </w:pPr>
            <w:r>
              <w:t xml:space="preserve">0.205876</w:t>
              <w:br/>
              <w:t xml:space="preserve">0.218253</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0.292081</w:t>
              <w:br/>
              <w:t xml:space="preserve">0.291726</w:t>
            </w:r>
          </w:p>
        </w:tc>
        <w:tc>
          <w:tcPr>
            <w:tcW w:w="2075" w:type="dxa"/>
            <w:shd w:fill="FFFFFF"/>
            <w:vAlign w:val="center"/>
          </w:tcPr>
          <w:p>
            <w:pPr>
              <w:pStyle w:val="TableNumber"/>
            </w:pPr>
            <w:r>
              <w:t xml:space="preserve">77.7485%</w:t>
              <w:br/>
              <w:t xml:space="preserve">79.4875%</w:t>
            </w:r>
          </w:p>
        </w:tc>
        <w:tc>
          <w:tcPr>
            <w:tcW w:w="2200" w:type="dxa"/>
            <w:shd w:fill="FFFFFF"/>
            <w:vAlign w:val="center"/>
          </w:tcPr>
          <w:p>
            <w:pPr>
              <w:pStyle w:val="TableNumber"/>
            </w:pPr>
            <w:r>
              <w:t xml:space="preserve">2.2515</w:t>
              <w:br/>
              <w:t xml:space="preserve">0.5125</w:t>
            </w:r>
          </w:p>
        </w:tc>
        <w:tc>
          <w:tcPr>
            <w:tcW w:w="2360" w:type="dxa"/>
            <w:shd w:fill="FFFFFF"/>
            <w:vAlign w:val="center"/>
          </w:tcPr>
          <w:p>
            <w:pPr>
              <w:pStyle w:val="TableNumber"/>
            </w:pPr>
            <w:r>
              <w:t xml:space="preserve">0.221512</w:t>
              <w:br/>
              <w:t xml:space="preserve">0.230919</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0.293155</w:t>
              <w:br/>
              <w:t xml:space="preserve">0.292656</w:t>
            </w:r>
          </w:p>
        </w:tc>
        <w:tc>
          <w:tcPr>
            <w:tcW w:w="2075" w:type="dxa"/>
            <w:shd w:fill="F7F9FC"/>
            <w:vAlign w:val="center"/>
          </w:tcPr>
          <w:p>
            <w:pPr>
              <w:pStyle w:val="TableNumber"/>
            </w:pPr>
            <w:r>
              <w:t xml:space="preserve">77.0908%</w:t>
              <w:br/>
              <w:t xml:space="preserve">79.3246%</w:t>
            </w:r>
          </w:p>
        </w:tc>
        <w:tc>
          <w:tcPr>
            <w:tcW w:w="2200" w:type="dxa"/>
            <w:shd w:fill="F7F9FC"/>
            <w:vAlign w:val="center"/>
          </w:tcPr>
          <w:p>
            <w:pPr>
              <w:pStyle w:val="TableNumber"/>
            </w:pPr>
            <w:r>
              <w:t xml:space="preserve">2.9092</w:t>
              <w:br/>
              <w:t xml:space="preserve">0.6754</w:t>
            </w:r>
          </w:p>
        </w:tc>
        <w:tc>
          <w:tcPr>
            <w:tcW w:w="2360" w:type="dxa"/>
            <w:shd w:fill="F7F9FC"/>
            <w:vAlign w:val="center"/>
          </w:tcPr>
          <w:p>
            <w:pPr>
              <w:pStyle w:val="TableNumber"/>
            </w:pPr>
            <w:r>
              <w:t xml:space="preserve">0.230563</w:t>
              <w:br/>
              <w:t xml:space="preserve">0.243087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0.291833</w:t>
              <w:br/>
              <w:t xml:space="preserve">0.291186</w:t>
            </w:r>
          </w:p>
        </w:tc>
        <w:tc>
          <w:tcPr>
            <w:tcW w:w="2075" w:type="dxa"/>
            <w:shd w:fill="FFFFFF"/>
            <w:vAlign w:val="center"/>
          </w:tcPr>
          <w:p>
            <w:pPr>
              <w:pStyle w:val="TableNumber"/>
            </w:pPr>
            <w:r>
              <w:t xml:space="preserve">77.1655%</w:t>
              <w:br/>
              <w:t xml:space="preserve">79.1422%</w:t>
            </w:r>
          </w:p>
        </w:tc>
        <w:tc>
          <w:tcPr>
            <w:tcW w:w="2200" w:type="dxa"/>
            <w:shd w:fill="FFFFFF"/>
            <w:vAlign w:val="center"/>
          </w:tcPr>
          <w:p>
            <w:pPr>
              <w:pStyle w:val="TableNumber"/>
            </w:pPr>
            <w:r>
              <w:t xml:space="preserve">2.8345</w:t>
              <w:br/>
              <w:t xml:space="preserve">0.8578</w:t>
            </w:r>
          </w:p>
        </w:tc>
        <w:tc>
          <w:tcPr>
            <w:tcW w:w="2360" w:type="dxa"/>
            <w:shd w:fill="FFFFFF"/>
            <w:vAlign w:val="center"/>
          </w:tcPr>
          <w:p>
            <w:pPr>
              <w:pStyle w:val="TableNumber"/>
            </w:pPr>
            <w:r>
              <w:t xml:space="preserve">0.244094</w:t>
              <w:br/>
              <w:t xml:space="preserve">0.254626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0.290836</w:t>
              <w:br/>
              <w:t xml:space="preserve">0.290288</w:t>
            </w:r>
          </w:p>
        </w:tc>
        <w:tc>
          <w:tcPr>
            <w:tcW w:w="2075" w:type="dxa"/>
            <w:shd w:fill="F7F9FC"/>
            <w:vAlign w:val="center"/>
          </w:tcPr>
          <w:p>
            <w:pPr>
              <w:pStyle w:val="TableNumber"/>
            </w:pPr>
            <w:r>
              <w:t xml:space="preserve">77.0013%</w:t>
              <w:br/>
              <w:t xml:space="preserve">79.2859%</w:t>
            </w:r>
          </w:p>
        </w:tc>
        <w:tc>
          <w:tcPr>
            <w:tcW w:w="2200" w:type="dxa"/>
            <w:shd w:fill="F7F9FC"/>
            <w:vAlign w:val="center"/>
          </w:tcPr>
          <w:p>
            <w:pPr>
              <w:pStyle w:val="TableNumber"/>
            </w:pPr>
            <w:r>
              <w:t xml:space="preserve">2.9987</w:t>
              <w:br/>
              <w:t xml:space="preserve">0.7141</w:t>
            </w:r>
          </w:p>
        </w:tc>
        <w:tc>
          <w:tcPr>
            <w:tcW w:w="2360" w:type="dxa"/>
            <w:shd w:fill="F7F9FC"/>
            <w:vAlign w:val="center"/>
          </w:tcPr>
          <w:p>
            <w:pPr>
              <w:pStyle w:val="TableNumber"/>
            </w:pPr>
            <w:r>
              <w:t xml:space="preserve">0.255335</w:t>
              <w:br/>
              <w:t xml:space="preserve">0.268667</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0.292488</w:t>
              <w:br/>
              <w:t xml:space="preserve">0.291826</w:t>
            </w:r>
          </w:p>
        </w:tc>
        <w:tc>
          <w:tcPr>
            <w:tcW w:w="2075" w:type="dxa"/>
            <w:shd w:fill="FFFFFF"/>
            <w:vAlign w:val="center"/>
          </w:tcPr>
          <w:p>
            <w:pPr>
              <w:pStyle w:val="TableNumber"/>
            </w:pPr>
            <w:r>
              <w:t xml:space="preserve">77.1095%</w:t>
              <w:br/>
              <w:t xml:space="preserve">79.1893%</w:t>
            </w:r>
          </w:p>
        </w:tc>
        <w:tc>
          <w:tcPr>
            <w:tcW w:w="2200" w:type="dxa"/>
            <w:shd w:fill="FFFFFF"/>
            <w:vAlign w:val="center"/>
          </w:tcPr>
          <w:p>
            <w:pPr>
              <w:pStyle w:val="TableNumber"/>
            </w:pPr>
            <w:r>
              <w:t xml:space="preserve">2.8905</w:t>
              <w:br/>
              <w:t xml:space="preserve">0.8107</w:t>
            </w:r>
          </w:p>
        </w:tc>
        <w:tc>
          <w:tcPr>
            <w:tcW w:w="2360" w:type="dxa"/>
            <w:shd w:fill="FFFFFF"/>
            <w:vAlign w:val="center"/>
          </w:tcPr>
          <w:p>
            <w:pPr>
              <w:pStyle w:val="TableNumber"/>
            </w:pPr>
            <w:r>
              <w:t xml:space="preserve">0.267083</w:t>
              <w:br/>
              <w:t xml:space="preserve">0.279172</w:t>
            </w:r>
          </w:p>
        </w:tc>
      </w:tr>
    </w:tbl>
    <w:p>
      <w:pPr>
        <w:pStyle w:val="a"/>
        <w:spacing w:before="160"/>
      </w:pPr>
      <w:r>
        <w:t xml:space="preserve">Coverage 是真實 alpha 落在 q10 至 q90 之間的比例。Coverage error 是各 horizon 的 |coverage−0.8|，以百分點呈現；整體為 14 個 horizon 誤差的平均，不是 |整體 coverage−0.8|。Width 是平均 q90−q10，單位為 alpha log return。JSON 沒有 aggregate interval_width，整體寬度由 14 個已存在的 per_horizon interval_width 等權平均計算，沒有推估缺失值。</w:t>
      </w:r>
    </w:p>
    <w:p>
      <w:pPr>
        <w:pStyle w:val="a"/>
      </w:pPr>
      <w:r>
        <w:t xml:space="preserve">校準方法為市場與 horizon 分組的上下尾非對稱乘數，固定 q50，調整 q50 到 q10／q90 的距離。Fit split=validation，528,315 windows、116 日期；test in_sample_fit=false。整體平均寬度由 0.179182 變為 0.186957。區間變寬可增加 coverage，但必須同時看 normalized pinball，不代表模型本身學會更多方向訊號。</w:t>
      </w:r>
    </w:p>
    <w:p>
      <w:pPr>
        <w:pStyle w:val="21"/>
      </w:pPr>
      <w:r>
        <w:t xml:space="preserve">6.2b 方向一致率與 training 固定分布</w:t>
      </w:r>
    </w:p>
    <w:p>
      <w:pPr>
        <w:pStyle w:val="Decision"/>
      </w:pPr>
      <w:r>
        <w:t xml:space="preserve">表 8b｜相對 benchmark 的方向 差距使用百分點</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主模型</w:t>
            </w:r>
          </w:p>
        </w:tc>
        <w:tc>
          <w:tcPr>
            <w:tcW w:w="3370" w:type="dxa"/>
            <w:shd w:fill="DCE6F1"/>
            <w:vAlign w:val="center"/>
          </w:tcPr>
          <w:p>
            <w:pPr>
              <w:pStyle w:val="TableHeader"/>
            </w:pPr>
            <w:r>
              <w:t xml:space="preserve">Training 固定分布</w:t>
            </w:r>
          </w:p>
        </w:tc>
        <w:tc>
          <w:tcPr>
            <w:tcW w:w="2670" w:type="dxa"/>
            <w:shd w:fill="DCE6F1"/>
            <w:vAlign w:val="center"/>
          </w:tcPr>
          <w:p>
            <w:pPr>
              <w:pStyle w:val="TableHeader"/>
            </w:pPr>
            <w:r>
              <w:t xml:space="preserve">差距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52.3350%</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-0.0483</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52.3440%</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-0.7097</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53.1044%</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-0.6238</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53.1386%</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-0.9627</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54.0779%</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-0.4986</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54.3227%</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-0.4935</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54.5277%</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-0.4978</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55.1140%</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-0.1321</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55.2894%</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-0.0981</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55.7507%</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+0.0732</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55.8875%</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-0.0028</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56.0692%</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-0.0243</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56.1405%</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-0.2212</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56.4510%</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-0.1503</w:t>
            </w:r>
          </w:p>
        </w:tc>
      </w:tr>
    </w:tbl>
    <w:p>
      <w:pPr>
        <w:pStyle w:val="a"/>
        <w:spacing w:before="160"/>
      </w:pPr>
      <w:r>
        <w:t xml:space="preserve">方向一致率是同一筆樣本預測 q50 與真實 alpha 的正負相同筆數，除以評估筆數。差距=(主模型比例−baseline 比例)×100。Training 標籤先擬合每個 horizon 的固定無條件 q10/q50/q90，之後不再變動；這可反映 alpha 分布本來的方向偏態。超過 50% 不足以證明額外預測能力。</w:t>
      </w:r>
    </w:p>
    <w:p>
      <w:pPr>
        <w:pStyle w:val="a"/>
      </w:pPr>
      <w:r>
        <w:t xml:space="preserve">always_buy 的 location 加上 train residual quantiles，會回到 training targets 的無條件分位數；zero_return 的 location=0，也得到同一組分位數。已核實兩者完整 metrics 完全相同。報告保留原始名稱供追溯，但只計為同一種固定分布對照；不是「永遠看多」與「永遠預測零」兩種不同方向策略，也沒有用 test 分布事後選最有利方向。</w:t>
      </w:r>
    </w:p>
    <w:p>
      <w:pPr>
        <w:pStyle w:val="21"/>
      </w:pPr>
      <w:r>
        <w:t xml:space="preserve">6.3 q50 排序與待修正的策略診斷</w:t>
      </w:r>
    </w:p>
    <w:p>
      <w:pPr>
        <w:pStyle w:val="Decision"/>
        <w:keepNext/>
        <w:spacing w:after="80"/>
      </w:pPr>
      <w:r>
        <w:t xml:space="preserve">表 9｜q50 跨市場排序與舊版策略診斷 不作可靠策略績效結論</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(排名)</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淨 log 報酬</w:t>
            </w:r>
          </w:p>
        </w:tc>
        <w:tc>
          <w:tcPr>
            <w:tcW w:w="1650" w:type="dxa"/>
            <w:shd w:val="clear" w:fill="DCE6F1"/>
            <w:vAlign w:val="center"/>
          </w:tcPr>
          <w:p>
            <w:pPr>
              <w:pStyle w:val="TableHeader"/>
            </w:pPr>
            <w:r>
              <w:t>Sharpe (排名)</w:t>
            </w:r>
          </w:p>
        </w:tc>
        <w:tc>
          <w:tcPr>
            <w:tcW w:w="1600" w:type="dxa"/>
            <w:shd w:val="clear" w:fill="DCE6F1"/>
            <w:vAlign w:val="center"/>
          </w:tcPr>
          <w:p>
            <w:pPr>
              <w:pStyle w:val="TableHeader"/>
            </w:pPr>
            <w:r>
              <w:t>MDD (排名)</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0.0844 (1/13)</w:t>
            </w:r>
          </w:p>
        </w:tc>
        <w:tc>
          <w:tcPr>
            <w:tcW w:w="1100" w:type="dxa"/>
            <w:vAlign w:val="center"/>
          </w:tcPr>
          <w:p>
            <w:pPr>
              <w:pStyle w:val="TableNumber"/>
            </w:pPr>
            <w:r>
              <w:t>0.507</w:t>
            </w:r>
          </w:p>
        </w:tc>
        <w:tc>
          <w:tcPr>
            <w:tcW w:w="1500" w:type="dxa"/>
            <w:vAlign w:val="center"/>
          </w:tcPr>
          <w:p>
            <w:pPr>
              <w:pStyle w:val="TableNumber"/>
            </w:pPr>
            <w:r>
              <w:t>0.47%</w:t>
            </w:r>
          </w:p>
        </w:tc>
        <w:tc>
          <w:tcPr>
            <w:tcW w:w="1650" w:type="dxa"/>
            <w:vAlign w:val="center"/>
          </w:tcPr>
          <w:p>
            <w:pPr>
              <w:pStyle w:val="TableNumber"/>
            </w:pPr>
            <w:r>
              <w:t>5.714 (2/13)</w:t>
            </w:r>
          </w:p>
        </w:tc>
        <w:tc>
          <w:tcPr>
            <w:tcW w:w="1600" w:type="dxa"/>
            <w:vAlign w:val="center"/>
          </w:tcPr>
          <w:p>
            <w:pPr>
              <w:pStyle w:val="TableNumber"/>
            </w:pPr>
            <w:r>
              <w:t>-8.20% (7/13)</w:t>
            </w:r>
          </w:p>
        </w:tc>
        <w:tc>
          <w:tcPr>
            <w:tcW w:w="960" w:type="dxa"/>
            <w:vAlign w:val="center"/>
          </w:tcPr>
          <w:p>
            <w:pPr>
              <w:pStyle w:val="TableNumber"/>
            </w:pPr>
            <w:r>
              <w:t>0.329</w:t>
            </w:r>
          </w:p>
        </w:tc>
      </w:tr>
      <w:tr>
        <w:trPr>
          <w:cantSplit/>
        </w:trPr>
        <w:tc>
          <w:tcPr>
            <w:tcW w:w="650" w:type="dxa"/>
            <w:vAlign w:val="center"/>
          </w:tcPr>
          <w:p>
            <w:pPr>
              <w:pStyle w:val="TableText"/>
            </w:pPr>
            <w:r>
              <w:t>2d</w:t>
            </w:r>
          </w:p>
        </w:tc>
        <w:tc>
          <w:tcPr>
            <w:tcW w:w="1900" w:type="dxa"/>
            <w:vAlign w:val="center"/>
          </w:tcPr>
          <w:p>
            <w:pPr>
              <w:pStyle w:val="TableNumber"/>
            </w:pPr>
            <w:r>
              <w:t>0.0894 (1/13)</w:t>
            </w:r>
          </w:p>
        </w:tc>
        <w:tc>
          <w:tcPr>
            <w:tcW w:w="1100" w:type="dxa"/>
            <w:vAlign w:val="center"/>
          </w:tcPr>
          <w:p>
            <w:pPr>
              <w:pStyle w:val="TableNumber"/>
            </w:pPr>
            <w:r>
              <w:t>0.596</w:t>
            </w:r>
          </w:p>
        </w:tc>
        <w:tc>
          <w:tcPr>
            <w:tcW w:w="1500" w:type="dxa"/>
            <w:vAlign w:val="center"/>
          </w:tcPr>
          <w:p>
            <w:pPr>
              <w:pStyle w:val="TableNumber"/>
            </w:pPr>
            <w:r>
              <w:t>0.73%</w:t>
            </w:r>
          </w:p>
        </w:tc>
        <w:tc>
          <w:tcPr>
            <w:tcW w:w="1650" w:type="dxa"/>
            <w:vAlign w:val="center"/>
          </w:tcPr>
          <w:p>
            <w:pPr>
              <w:pStyle w:val="TableNumber"/>
            </w:pPr>
            <w:r>
              <w:t>4.457 (1/13)</w:t>
            </w:r>
          </w:p>
        </w:tc>
        <w:tc>
          <w:tcPr>
            <w:tcW w:w="1600" w:type="dxa"/>
            <w:vAlign w:val="center"/>
          </w:tcPr>
          <w:p>
            <w:pPr>
              <w:pStyle w:val="TableNumber"/>
            </w:pPr>
            <w:r>
              <w:t>-9.16% (5/13)</w:t>
            </w:r>
          </w:p>
        </w:tc>
        <w:tc>
          <w:tcPr>
            <w:tcW w:w="960" w:type="dxa"/>
            <w:vAlign w:val="center"/>
          </w:tcPr>
          <w:p>
            <w:pPr>
              <w:pStyle w:val="TableNumber"/>
            </w:pPr>
            <w:r>
              <w:t>0.341</w:t>
            </w:r>
          </w:p>
        </w:tc>
      </w:tr>
      <w:tr>
        <w:trPr>
          <w:cantSplit/>
        </w:trPr>
        <w:tc>
          <w:tcPr>
            <w:tcW w:w="650" w:type="dxa"/>
            <w:vAlign w:val="center"/>
          </w:tcPr>
          <w:p>
            <w:pPr>
              <w:pStyle w:val="TableText"/>
            </w:pPr>
            <w:r>
              <w:t>3d</w:t>
            </w:r>
          </w:p>
        </w:tc>
        <w:tc>
          <w:tcPr>
            <w:tcW w:w="1900" w:type="dxa"/>
            <w:vAlign w:val="center"/>
          </w:tcPr>
          <w:p>
            <w:pPr>
              <w:pStyle w:val="TableNumber"/>
            </w:pPr>
            <w:r>
              <w:t>0.0953 (1/13)</w:t>
            </w:r>
          </w:p>
        </w:tc>
        <w:tc>
          <w:tcPr>
            <w:tcW w:w="1100" w:type="dxa"/>
            <w:vAlign w:val="center"/>
          </w:tcPr>
          <w:p>
            <w:pPr>
              <w:pStyle w:val="TableNumber"/>
            </w:pPr>
            <w:r>
              <w:t>0.630</w:t>
            </w:r>
          </w:p>
        </w:tc>
        <w:tc>
          <w:tcPr>
            <w:tcW w:w="1500" w:type="dxa"/>
            <w:vAlign w:val="center"/>
          </w:tcPr>
          <w:p>
            <w:pPr>
              <w:pStyle w:val="TableNumber"/>
            </w:pPr>
            <w:r>
              <w:t>0.97%</w:t>
            </w:r>
          </w:p>
        </w:tc>
        <w:tc>
          <w:tcPr>
            <w:tcW w:w="1650" w:type="dxa"/>
            <w:vAlign w:val="center"/>
          </w:tcPr>
          <w:p>
            <w:pPr>
              <w:pStyle w:val="TableNumber"/>
            </w:pPr>
            <w:r>
              <w:t>3.854 (1/13)</w:t>
            </w:r>
          </w:p>
        </w:tc>
        <w:tc>
          <w:tcPr>
            <w:tcW w:w="1600" w:type="dxa"/>
            <w:vAlign w:val="center"/>
          </w:tcPr>
          <w:p>
            <w:pPr>
              <w:pStyle w:val="TableNumber"/>
            </w:pPr>
            <w:r>
              <w:t>-12.95% (5/13)</w:t>
            </w:r>
          </w:p>
        </w:tc>
        <w:tc>
          <w:tcPr>
            <w:tcW w:w="960" w:type="dxa"/>
            <w:vAlign w:val="center"/>
          </w:tcPr>
          <w:p>
            <w:pPr>
              <w:pStyle w:val="TableNumber"/>
            </w:pPr>
            <w:r>
              <w:t>0.338</w:t>
            </w:r>
          </w:p>
        </w:tc>
      </w:tr>
      <w:tr>
        <w:trPr>
          <w:cantSplit/>
        </w:trPr>
        <w:tc>
          <w:tcPr>
            <w:tcW w:w="650" w:type="dxa"/>
            <w:vAlign w:val="center"/>
          </w:tcPr>
          <w:p>
            <w:pPr>
              <w:pStyle w:val="TableText"/>
            </w:pPr>
            <w:r>
              <w:t>4d</w:t>
            </w:r>
          </w:p>
        </w:tc>
        <w:tc>
          <w:tcPr>
            <w:tcW w:w="1900" w:type="dxa"/>
            <w:vAlign w:val="center"/>
          </w:tcPr>
          <w:p>
            <w:pPr>
              <w:pStyle w:val="TableNumber"/>
            </w:pPr>
            <w:r>
              <w:t>0.1014 (1/13)</w:t>
            </w:r>
          </w:p>
        </w:tc>
        <w:tc>
          <w:tcPr>
            <w:tcW w:w="1100" w:type="dxa"/>
            <w:vAlign w:val="center"/>
          </w:tcPr>
          <w:p>
            <w:pPr>
              <w:pStyle w:val="TableNumber"/>
            </w:pPr>
            <w:r>
              <w:t>0.648</w:t>
            </w:r>
          </w:p>
        </w:tc>
        <w:tc>
          <w:tcPr>
            <w:tcW w:w="1500" w:type="dxa"/>
            <w:vAlign w:val="center"/>
          </w:tcPr>
          <w:p>
            <w:pPr>
              <w:pStyle w:val="TableNumber"/>
            </w:pPr>
            <w:r>
              <w:t>1.20%</w:t>
            </w:r>
          </w:p>
        </w:tc>
        <w:tc>
          <w:tcPr>
            <w:tcW w:w="1650" w:type="dxa"/>
            <w:vAlign w:val="center"/>
          </w:tcPr>
          <w:p>
            <w:pPr>
              <w:pStyle w:val="TableNumber"/>
            </w:pPr>
            <w:r>
              <w:t>3.447 (1/13)</w:t>
            </w:r>
          </w:p>
        </w:tc>
        <w:tc>
          <w:tcPr>
            <w:tcW w:w="1600" w:type="dxa"/>
            <w:vAlign w:val="center"/>
          </w:tcPr>
          <w:p>
            <w:pPr>
              <w:pStyle w:val="TableNumber"/>
            </w:pPr>
            <w:r>
              <w:t>-16.52% (6/13)</w:t>
            </w:r>
          </w:p>
        </w:tc>
        <w:tc>
          <w:tcPr>
            <w:tcW w:w="960" w:type="dxa"/>
            <w:vAlign w:val="center"/>
          </w:tcPr>
          <w:p>
            <w:pPr>
              <w:pStyle w:val="TableNumber"/>
            </w:pPr>
            <w:r>
              <w:t>0.337</w:t>
            </w:r>
          </w:p>
        </w:tc>
      </w:tr>
      <w:tr>
        <w:trPr>
          <w:cantSplit/>
        </w:trPr>
        <w:tc>
          <w:tcPr>
            <w:tcW w:w="650" w:type="dxa"/>
            <w:vAlign w:val="center"/>
          </w:tcPr>
          <w:p>
            <w:pPr>
              <w:pStyle w:val="TableText"/>
            </w:pPr>
            <w:r>
              <w:t>5d</w:t>
            </w:r>
          </w:p>
        </w:tc>
        <w:tc>
          <w:tcPr>
            <w:tcW w:w="1900" w:type="dxa"/>
            <w:vAlign w:val="center"/>
          </w:tcPr>
          <w:p>
            <w:pPr>
              <w:pStyle w:val="TableNumber"/>
            </w:pPr>
            <w:r>
              <w:t>0.1070 (1/13)</w:t>
            </w:r>
          </w:p>
        </w:tc>
        <w:tc>
          <w:tcPr>
            <w:tcW w:w="1100" w:type="dxa"/>
            <w:vAlign w:val="center"/>
          </w:tcPr>
          <w:p>
            <w:pPr>
              <w:pStyle w:val="TableNumber"/>
            </w:pPr>
            <w:r>
              <w:t>0.694</w:t>
            </w:r>
          </w:p>
        </w:tc>
        <w:tc>
          <w:tcPr>
            <w:tcW w:w="1500" w:type="dxa"/>
            <w:vAlign w:val="center"/>
          </w:tcPr>
          <w:p>
            <w:pPr>
              <w:pStyle w:val="TableNumber"/>
            </w:pPr>
            <w:r>
              <w:t>1.39%</w:t>
            </w:r>
          </w:p>
        </w:tc>
        <w:tc>
          <w:tcPr>
            <w:tcW w:w="1650" w:type="dxa"/>
            <w:vAlign w:val="center"/>
          </w:tcPr>
          <w:p>
            <w:pPr>
              <w:pStyle w:val="TableNumber"/>
            </w:pPr>
            <w:r>
              <w:t>3.122 (1/13)</w:t>
            </w:r>
          </w:p>
        </w:tc>
        <w:tc>
          <w:tcPr>
            <w:tcW w:w="1600" w:type="dxa"/>
            <w:vAlign w:val="center"/>
          </w:tcPr>
          <w:p>
            <w:pPr>
              <w:pStyle w:val="TableNumber"/>
            </w:pPr>
            <w:r>
              <w:t>-17.87% (5/13)</w:t>
            </w:r>
          </w:p>
        </w:tc>
        <w:tc>
          <w:tcPr>
            <w:tcW w:w="960" w:type="dxa"/>
            <w:vAlign w:val="center"/>
          </w:tcPr>
          <w:p>
            <w:pPr>
              <w:pStyle w:val="TableNumber"/>
            </w:pPr>
            <w:r>
              <w:t>0.339</w:t>
            </w:r>
          </w:p>
        </w:tc>
      </w:tr>
      <w:tr>
        <w:trPr>
          <w:cantSplit/>
        </w:trPr>
        <w:tc>
          <w:tcPr>
            <w:tcW w:w="650" w:type="dxa"/>
            <w:vAlign w:val="center"/>
          </w:tcPr>
          <w:p>
            <w:pPr>
              <w:pStyle w:val="TableText"/>
            </w:pPr>
            <w:r>
              <w:t>6d</w:t>
            </w:r>
          </w:p>
        </w:tc>
        <w:tc>
          <w:tcPr>
            <w:tcW w:w="1900" w:type="dxa"/>
            <w:vAlign w:val="center"/>
          </w:tcPr>
          <w:p>
            <w:pPr>
              <w:pStyle w:val="TableNumber"/>
            </w:pPr>
            <w:r>
              <w:t>0.1110 (1/13)</w:t>
            </w:r>
          </w:p>
        </w:tc>
        <w:tc>
          <w:tcPr>
            <w:tcW w:w="1100" w:type="dxa"/>
            <w:vAlign w:val="center"/>
          </w:tcPr>
          <w:p>
            <w:pPr>
              <w:pStyle w:val="TableNumber"/>
            </w:pPr>
            <w:r>
              <w:t>0.718</w:t>
            </w:r>
          </w:p>
        </w:tc>
        <w:tc>
          <w:tcPr>
            <w:tcW w:w="1500" w:type="dxa"/>
            <w:vAlign w:val="center"/>
          </w:tcPr>
          <w:p>
            <w:pPr>
              <w:pStyle w:val="TableNumber"/>
            </w:pPr>
            <w:r>
              <w:t>1.61%</w:t>
            </w:r>
          </w:p>
        </w:tc>
        <w:tc>
          <w:tcPr>
            <w:tcW w:w="1650" w:type="dxa"/>
            <w:vAlign w:val="center"/>
          </w:tcPr>
          <w:p>
            <w:pPr>
              <w:pStyle w:val="TableNumber"/>
            </w:pPr>
            <w:r>
              <w:t>2.927 (1/13)</w:t>
            </w:r>
          </w:p>
        </w:tc>
        <w:tc>
          <w:tcPr>
            <w:tcW w:w="1600" w:type="dxa"/>
            <w:vAlign w:val="center"/>
          </w:tcPr>
          <w:p>
            <w:pPr>
              <w:pStyle w:val="TableNumber"/>
            </w:pPr>
            <w:r>
              <w:t>-22.36% (6/13)</w:t>
            </w:r>
          </w:p>
        </w:tc>
        <w:tc>
          <w:tcPr>
            <w:tcW w:w="960" w:type="dxa"/>
            <w:vAlign w:val="center"/>
          </w:tcPr>
          <w:p>
            <w:pPr>
              <w:pStyle w:val="TableNumber"/>
            </w:pPr>
            <w:r>
              <w:t>0.341</w:t>
            </w:r>
          </w:p>
        </w:tc>
      </w:tr>
      <w:tr>
        <w:trPr>
          <w:cantSplit/>
        </w:trPr>
        <w:tc>
          <w:tcPr>
            <w:tcW w:w="650" w:type="dxa"/>
            <w:vAlign w:val="center"/>
          </w:tcPr>
          <w:p>
            <w:pPr>
              <w:pStyle w:val="TableText"/>
            </w:pPr>
            <w:r>
              <w:t>7d</w:t>
            </w:r>
          </w:p>
        </w:tc>
        <w:tc>
          <w:tcPr>
            <w:tcW w:w="1900" w:type="dxa"/>
            <w:vAlign w:val="center"/>
          </w:tcPr>
          <w:p>
            <w:pPr>
              <w:pStyle w:val="TableNumber"/>
            </w:pPr>
            <w:r>
              <w:t>0.1132 (1/13)</w:t>
            </w:r>
          </w:p>
        </w:tc>
        <w:tc>
          <w:tcPr>
            <w:tcW w:w="1100" w:type="dxa"/>
            <w:vAlign w:val="center"/>
          </w:tcPr>
          <w:p>
            <w:pPr>
              <w:pStyle w:val="TableNumber"/>
            </w:pPr>
            <w:r>
              <w:t>0.744</w:t>
            </w:r>
          </w:p>
        </w:tc>
        <w:tc>
          <w:tcPr>
            <w:tcW w:w="1500" w:type="dxa"/>
            <w:vAlign w:val="center"/>
          </w:tcPr>
          <w:p>
            <w:pPr>
              <w:pStyle w:val="TableNumber"/>
            </w:pPr>
            <w:r>
              <w:t>1.80%</w:t>
            </w:r>
          </w:p>
        </w:tc>
        <w:tc>
          <w:tcPr>
            <w:tcW w:w="1650" w:type="dxa"/>
            <w:vAlign w:val="center"/>
          </w:tcPr>
          <w:p>
            <w:pPr>
              <w:pStyle w:val="TableNumber"/>
            </w:pPr>
            <w:r>
              <w:t>2.826 (1/13)</w:t>
            </w:r>
          </w:p>
        </w:tc>
        <w:tc>
          <w:tcPr>
            <w:tcW w:w="1600" w:type="dxa"/>
            <w:vAlign w:val="center"/>
          </w:tcPr>
          <w:p>
            <w:pPr>
              <w:pStyle w:val="TableNumber"/>
            </w:pPr>
            <w:r>
              <w:t>-24.64% (5/13)</w:t>
            </w:r>
          </w:p>
        </w:tc>
        <w:tc>
          <w:tcPr>
            <w:tcW w:w="960" w:type="dxa"/>
            <w:vAlign w:val="center"/>
          </w:tcPr>
          <w:p>
            <w:pPr>
              <w:pStyle w:val="TableNumber"/>
            </w:pPr>
            <w:r>
              <w:t>0.340</w:t>
            </w:r>
          </w:p>
        </w:tc>
      </w:tr>
      <w:tr>
        <w:trPr>
          <w:cantSplit/>
        </w:trPr>
        <w:tc>
          <w:tcPr>
            <w:tcW w:w="650" w:type="dxa"/>
            <w:vAlign w:val="center"/>
          </w:tcPr>
          <w:p>
            <w:pPr>
              <w:pStyle w:val="TableText"/>
            </w:pPr>
            <w:r>
              <w:t>8d</w:t>
            </w:r>
          </w:p>
        </w:tc>
        <w:tc>
          <w:tcPr>
            <w:tcW w:w="1900" w:type="dxa"/>
            <w:vAlign w:val="center"/>
          </w:tcPr>
          <w:p>
            <w:pPr>
              <w:pStyle w:val="TableNumber"/>
            </w:pPr>
            <w:r>
              <w:t>0.1172 (1/13)</w:t>
            </w:r>
          </w:p>
        </w:tc>
        <w:tc>
          <w:tcPr>
            <w:tcW w:w="1100" w:type="dxa"/>
            <w:vAlign w:val="center"/>
          </w:tcPr>
          <w:p>
            <w:pPr>
              <w:pStyle w:val="TableNumber"/>
            </w:pPr>
            <w:r>
              <w:t>0.784</w:t>
            </w:r>
          </w:p>
        </w:tc>
        <w:tc>
          <w:tcPr>
            <w:tcW w:w="1500" w:type="dxa"/>
            <w:vAlign w:val="center"/>
          </w:tcPr>
          <w:p>
            <w:pPr>
              <w:pStyle w:val="TableNumber"/>
            </w:pPr>
            <w:r>
              <w:t>2.09%</w:t>
            </w:r>
          </w:p>
        </w:tc>
        <w:tc>
          <w:tcPr>
            <w:tcW w:w="1650" w:type="dxa"/>
            <w:vAlign w:val="center"/>
          </w:tcPr>
          <w:p>
            <w:pPr>
              <w:pStyle w:val="TableNumber"/>
            </w:pPr>
            <w:r>
              <w:t>2.891 (1/13)</w:t>
            </w:r>
          </w:p>
        </w:tc>
        <w:tc>
          <w:tcPr>
            <w:tcW w:w="1600" w:type="dxa"/>
            <w:vAlign w:val="center"/>
          </w:tcPr>
          <w:p>
            <w:pPr>
              <w:pStyle w:val="TableNumber"/>
            </w:pPr>
            <w:r>
              <w:t>-27.17% (6/13)</w:t>
            </w:r>
          </w:p>
        </w:tc>
        <w:tc>
          <w:tcPr>
            <w:tcW w:w="960" w:type="dxa"/>
            <w:vAlign w:val="center"/>
          </w:tcPr>
          <w:p>
            <w:pPr>
              <w:pStyle w:val="TableNumber"/>
            </w:pPr>
            <w:r>
              <w:t>0.336</w:t>
            </w:r>
          </w:p>
        </w:tc>
      </w:tr>
      <w:tr>
        <w:trPr>
          <w:cantSplit/>
        </w:trPr>
        <w:tc>
          <w:tcPr>
            <w:tcW w:w="650" w:type="dxa"/>
            <w:vAlign w:val="center"/>
          </w:tcPr>
          <w:p>
            <w:pPr>
              <w:pStyle w:val="TableText"/>
            </w:pPr>
            <w:r>
              <w:t>9d</w:t>
            </w:r>
          </w:p>
        </w:tc>
        <w:tc>
          <w:tcPr>
            <w:tcW w:w="1900" w:type="dxa"/>
            <w:vAlign w:val="center"/>
          </w:tcPr>
          <w:p>
            <w:pPr>
              <w:pStyle w:val="TableNumber"/>
            </w:pPr>
            <w:r>
              <w:t>0.1188 (1/13)</w:t>
            </w:r>
          </w:p>
        </w:tc>
        <w:tc>
          <w:tcPr>
            <w:tcW w:w="1100" w:type="dxa"/>
            <w:vAlign w:val="center"/>
          </w:tcPr>
          <w:p>
            <w:pPr>
              <w:pStyle w:val="TableNumber"/>
            </w:pPr>
            <w:r>
              <w:t>0.802</w:t>
            </w:r>
          </w:p>
        </w:tc>
        <w:tc>
          <w:tcPr>
            <w:tcW w:w="1500" w:type="dxa"/>
            <w:vAlign w:val="center"/>
          </w:tcPr>
          <w:p>
            <w:pPr>
              <w:pStyle w:val="TableNumber"/>
            </w:pPr>
            <w:r>
              <w:t>2.31%</w:t>
            </w:r>
          </w:p>
        </w:tc>
        <w:tc>
          <w:tcPr>
            <w:tcW w:w="1650" w:type="dxa"/>
            <w:vAlign w:val="center"/>
          </w:tcPr>
          <w:p>
            <w:pPr>
              <w:pStyle w:val="TableNumber"/>
            </w:pPr>
            <w:r>
              <w:t>2.809 (1/13)</w:t>
            </w:r>
          </w:p>
        </w:tc>
        <w:tc>
          <w:tcPr>
            <w:tcW w:w="1600" w:type="dxa"/>
            <w:vAlign w:val="center"/>
          </w:tcPr>
          <w:p>
            <w:pPr>
              <w:pStyle w:val="TableNumber"/>
            </w:pPr>
            <w:r>
              <w:t>-29.53% (6/13)</w:t>
            </w:r>
          </w:p>
        </w:tc>
        <w:tc>
          <w:tcPr>
            <w:tcW w:w="960" w:type="dxa"/>
            <w:vAlign w:val="center"/>
          </w:tcPr>
          <w:p>
            <w:pPr>
              <w:pStyle w:val="TableNumber"/>
            </w:pPr>
            <w:r>
              <w:t>0.330</w:t>
            </w:r>
          </w:p>
        </w:tc>
      </w:tr>
      <w:tr>
        <w:trPr>
          <w:cantSplit/>
        </w:trPr>
        <w:tc>
          <w:tcPr>
            <w:tcW w:w="650" w:type="dxa"/>
            <w:vAlign w:val="center"/>
          </w:tcPr>
          <w:p>
            <w:pPr>
              <w:pStyle w:val="TableText"/>
            </w:pPr>
            <w:r>
              <w:t>10d</w:t>
            </w:r>
          </w:p>
        </w:tc>
        <w:tc>
          <w:tcPr>
            <w:tcW w:w="1900" w:type="dxa"/>
            <w:vAlign w:val="center"/>
          </w:tcPr>
          <w:p>
            <w:pPr>
              <w:pStyle w:val="TableNumber"/>
            </w:pPr>
            <w:r>
              <w:t>0.1226 (1/13)</w:t>
            </w:r>
          </w:p>
        </w:tc>
        <w:tc>
          <w:tcPr>
            <w:tcW w:w="1100" w:type="dxa"/>
            <w:vAlign w:val="center"/>
          </w:tcPr>
          <w:p>
            <w:pPr>
              <w:pStyle w:val="TableNumber"/>
            </w:pPr>
            <w:r>
              <w:t>0.849</w:t>
            </w:r>
          </w:p>
        </w:tc>
        <w:tc>
          <w:tcPr>
            <w:tcW w:w="1500" w:type="dxa"/>
            <w:vAlign w:val="center"/>
          </w:tcPr>
          <w:p>
            <w:pPr>
              <w:pStyle w:val="TableNumber"/>
            </w:pPr>
            <w:r>
              <w:t>2.56%</w:t>
            </w:r>
          </w:p>
        </w:tc>
        <w:tc>
          <w:tcPr>
            <w:tcW w:w="1650" w:type="dxa"/>
            <w:vAlign w:val="center"/>
          </w:tcPr>
          <w:p>
            <w:pPr>
              <w:pStyle w:val="TableNumber"/>
            </w:pPr>
            <w:r>
              <w:t>2.894 (1/13)</w:t>
            </w:r>
          </w:p>
        </w:tc>
        <w:tc>
          <w:tcPr>
            <w:tcW w:w="1600" w:type="dxa"/>
            <w:vAlign w:val="center"/>
          </w:tcPr>
          <w:p>
            <w:pPr>
              <w:pStyle w:val="TableNumber"/>
            </w:pPr>
            <w:r>
              <w:t>-28.15% (6/13)</w:t>
            </w:r>
          </w:p>
        </w:tc>
        <w:tc>
          <w:tcPr>
            <w:tcW w:w="960" w:type="dxa"/>
            <w:vAlign w:val="center"/>
          </w:tcPr>
          <w:p>
            <w:pPr>
              <w:pStyle w:val="TableNumber"/>
            </w:pPr>
            <w:r>
              <w:t>0.331</w:t>
            </w:r>
          </w:p>
        </w:tc>
      </w:tr>
      <w:tr>
        <w:trPr>
          <w:cantSplit/>
        </w:trPr>
        <w:tc>
          <w:tcPr>
            <w:tcW w:w="650" w:type="dxa"/>
            <w:vAlign w:val="center"/>
          </w:tcPr>
          <w:p>
            <w:pPr>
              <w:pStyle w:val="TableText"/>
            </w:pPr>
            <w:r>
              <w:t>11d</w:t>
            </w:r>
          </w:p>
        </w:tc>
        <w:tc>
          <w:tcPr>
            <w:tcW w:w="1900" w:type="dxa"/>
            <w:vAlign w:val="center"/>
          </w:tcPr>
          <w:p>
            <w:pPr>
              <w:pStyle w:val="TableNumber"/>
            </w:pPr>
            <w:r>
              <w:t>0.1231 (1/13)</w:t>
            </w:r>
          </w:p>
        </w:tc>
        <w:tc>
          <w:tcPr>
            <w:tcW w:w="1100" w:type="dxa"/>
            <w:vAlign w:val="center"/>
          </w:tcPr>
          <w:p>
            <w:pPr>
              <w:pStyle w:val="TableNumber"/>
            </w:pPr>
            <w:r>
              <w:t>0.882</w:t>
            </w:r>
          </w:p>
        </w:tc>
        <w:tc>
          <w:tcPr>
            <w:tcW w:w="1500" w:type="dxa"/>
            <w:vAlign w:val="center"/>
          </w:tcPr>
          <w:p>
            <w:pPr>
              <w:pStyle w:val="TableNumber"/>
            </w:pPr>
            <w:r>
              <w:t>2.73%</w:t>
            </w:r>
          </w:p>
        </w:tc>
        <w:tc>
          <w:tcPr>
            <w:tcW w:w="1650" w:type="dxa"/>
            <w:vAlign w:val="center"/>
          </w:tcPr>
          <w:p>
            <w:pPr>
              <w:pStyle w:val="TableNumber"/>
            </w:pPr>
            <w:r>
              <w:t>2.856 (1/13)</w:t>
            </w:r>
          </w:p>
        </w:tc>
        <w:tc>
          <w:tcPr>
            <w:tcW w:w="1600" w:type="dxa"/>
            <w:vAlign w:val="center"/>
          </w:tcPr>
          <w:p>
            <w:pPr>
              <w:pStyle w:val="TableNumber"/>
            </w:pPr>
            <w:r>
              <w:t>-28.67% (6/13)</w:t>
            </w:r>
          </w:p>
        </w:tc>
        <w:tc>
          <w:tcPr>
            <w:tcW w:w="960" w:type="dxa"/>
            <w:vAlign w:val="center"/>
          </w:tcPr>
          <w:p>
            <w:pPr>
              <w:pStyle w:val="TableNumber"/>
            </w:pPr>
            <w:r>
              <w:t>0.329</w:t>
            </w:r>
          </w:p>
        </w:tc>
      </w:tr>
      <w:tr>
        <w:trPr>
          <w:cantSplit/>
        </w:trPr>
        <w:tc>
          <w:tcPr>
            <w:tcW w:w="650" w:type="dxa"/>
            <w:vAlign w:val="center"/>
          </w:tcPr>
          <w:p>
            <w:pPr>
              <w:pStyle w:val="TableText"/>
            </w:pPr>
            <w:r>
              <w:t>12d</w:t>
            </w:r>
          </w:p>
        </w:tc>
        <w:tc>
          <w:tcPr>
            <w:tcW w:w="1900" w:type="dxa"/>
            <w:vAlign w:val="center"/>
          </w:tcPr>
          <w:p>
            <w:pPr>
              <w:pStyle w:val="TableNumber"/>
            </w:pPr>
            <w:r>
              <w:t>0.1254 (1/13)</w:t>
            </w:r>
          </w:p>
        </w:tc>
        <w:tc>
          <w:tcPr>
            <w:tcW w:w="1100" w:type="dxa"/>
            <w:vAlign w:val="center"/>
          </w:tcPr>
          <w:p>
            <w:pPr>
              <w:pStyle w:val="TableNumber"/>
            </w:pPr>
            <w:r>
              <w:t>0.895</w:t>
            </w:r>
          </w:p>
        </w:tc>
        <w:tc>
          <w:tcPr>
            <w:tcW w:w="1500" w:type="dxa"/>
            <w:vAlign w:val="center"/>
          </w:tcPr>
          <w:p>
            <w:pPr>
              <w:pStyle w:val="TableNumber"/>
            </w:pPr>
            <w:r>
              <w:t>2.96%</w:t>
            </w:r>
          </w:p>
        </w:tc>
        <w:tc>
          <w:tcPr>
            <w:tcW w:w="1650" w:type="dxa"/>
            <w:vAlign w:val="center"/>
          </w:tcPr>
          <w:p>
            <w:pPr>
              <w:pStyle w:val="TableNumber"/>
            </w:pPr>
            <w:r>
              <w:t>2.797 (1/13)</w:t>
            </w:r>
          </w:p>
        </w:tc>
        <w:tc>
          <w:tcPr>
            <w:tcW w:w="1600" w:type="dxa"/>
            <w:vAlign w:val="center"/>
          </w:tcPr>
          <w:p>
            <w:pPr>
              <w:pStyle w:val="TableNumber"/>
            </w:pPr>
            <w:r>
              <w:t>-27.25% (7/13)</w:t>
            </w:r>
          </w:p>
        </w:tc>
        <w:tc>
          <w:tcPr>
            <w:tcW w:w="960" w:type="dxa"/>
            <w:vAlign w:val="center"/>
          </w:tcPr>
          <w:p>
            <w:pPr>
              <w:pStyle w:val="TableNumber"/>
            </w:pPr>
            <w:r>
              <w:t>0.326</w:t>
            </w:r>
          </w:p>
        </w:tc>
      </w:tr>
      <w:tr>
        <w:trPr>
          <w:cantSplit/>
        </w:trPr>
        <w:tc>
          <w:tcPr>
            <w:tcW w:w="650" w:type="dxa"/>
            <w:vAlign w:val="center"/>
          </w:tcPr>
          <w:p>
            <w:pPr>
              <w:pStyle w:val="TableText"/>
            </w:pPr>
            <w:r>
              <w:t>13d</w:t>
            </w:r>
          </w:p>
        </w:tc>
        <w:tc>
          <w:tcPr>
            <w:tcW w:w="1900" w:type="dxa"/>
            <w:vAlign w:val="center"/>
          </w:tcPr>
          <w:p>
            <w:pPr>
              <w:pStyle w:val="TableNumber"/>
            </w:pPr>
            <w:r>
              <w:t>0.1264 (1/13)</w:t>
            </w:r>
          </w:p>
        </w:tc>
        <w:tc>
          <w:tcPr>
            <w:tcW w:w="1100" w:type="dxa"/>
            <w:vAlign w:val="center"/>
          </w:tcPr>
          <w:p>
            <w:pPr>
              <w:pStyle w:val="TableNumber"/>
            </w:pPr>
            <w:r>
              <w:t>0.902</w:t>
            </w:r>
          </w:p>
        </w:tc>
        <w:tc>
          <w:tcPr>
            <w:tcW w:w="1500" w:type="dxa"/>
            <w:vAlign w:val="center"/>
          </w:tcPr>
          <w:p>
            <w:pPr>
              <w:pStyle w:val="TableNumber"/>
            </w:pPr>
            <w:r>
              <w:t>3.10%</w:t>
            </w:r>
          </w:p>
        </w:tc>
        <w:tc>
          <w:tcPr>
            <w:tcW w:w="1650" w:type="dxa"/>
            <w:vAlign w:val="center"/>
          </w:tcPr>
          <w:p>
            <w:pPr>
              <w:pStyle w:val="TableNumber"/>
            </w:pPr>
            <w:r>
              <w:t>2.717 (1/13)</w:t>
            </w:r>
          </w:p>
        </w:tc>
        <w:tc>
          <w:tcPr>
            <w:tcW w:w="1600" w:type="dxa"/>
            <w:vAlign w:val="center"/>
          </w:tcPr>
          <w:p>
            <w:pPr>
              <w:pStyle w:val="TableNumber"/>
            </w:pPr>
            <w:r>
              <w:t>-24.90% (5/13)</w:t>
            </w:r>
          </w:p>
        </w:tc>
        <w:tc>
          <w:tcPr>
            <w:tcW w:w="960" w:type="dxa"/>
            <w:vAlign w:val="center"/>
          </w:tcPr>
          <w:p>
            <w:pPr>
              <w:pStyle w:val="TableNumber"/>
            </w:pPr>
            <w:r>
              <w:t>0.326</w:t>
            </w:r>
          </w:p>
        </w:tc>
      </w:tr>
      <w:tr>
        <w:trPr>
          <w:cantSplit/>
        </w:trPr>
        <w:tc>
          <w:tcPr>
            <w:tcW w:w="650" w:type="dxa"/>
            <w:vAlign w:val="center"/>
          </w:tcPr>
          <w:p>
            <w:pPr>
              <w:pStyle w:val="TableText"/>
            </w:pPr>
            <w:r>
              <w:t>14d</w:t>
            </w:r>
          </w:p>
        </w:tc>
        <w:tc>
          <w:tcPr>
            <w:tcW w:w="1900" w:type="dxa"/>
            <w:vAlign w:val="center"/>
          </w:tcPr>
          <w:p>
            <w:pPr>
              <w:pStyle w:val="TableNumber"/>
            </w:pPr>
            <w:r>
              <w:t>0.1231 (1/13)</w:t>
            </w:r>
          </w:p>
        </w:tc>
        <w:tc>
          <w:tcPr>
            <w:tcW w:w="1100" w:type="dxa"/>
            <w:vAlign w:val="center"/>
          </w:tcPr>
          <w:p>
            <w:pPr>
              <w:pStyle w:val="TableNumber"/>
            </w:pPr>
            <w:r>
              <w:t>0.869</w:t>
            </w:r>
          </w:p>
        </w:tc>
        <w:tc>
          <w:tcPr>
            <w:tcW w:w="1500" w:type="dxa"/>
            <w:vAlign w:val="center"/>
          </w:tcPr>
          <w:p>
            <w:pPr>
              <w:pStyle w:val="TableNumber"/>
            </w:pPr>
            <w:r>
              <w:t>3.18%</w:t>
            </w:r>
          </w:p>
        </w:tc>
        <w:tc>
          <w:tcPr>
            <w:tcW w:w="1650" w:type="dxa"/>
            <w:vAlign w:val="center"/>
          </w:tcPr>
          <w:p>
            <w:pPr>
              <w:pStyle w:val="TableNumber"/>
            </w:pPr>
            <w:r>
              <w:t>2.536 (3/13)</w:t>
            </w:r>
          </w:p>
        </w:tc>
        <w:tc>
          <w:tcPr>
            <w:tcW w:w="1600" w:type="dxa"/>
            <w:vAlign w:val="center"/>
          </w:tcPr>
          <w:p>
            <w:pPr>
              <w:pStyle w:val="TableNumber"/>
            </w:pPr>
            <w:r>
              <w:t>-28.00% (5/13)</w:t>
            </w:r>
          </w:p>
        </w:tc>
        <w:tc>
          <w:tcPr>
            <w:tcW w:w="960" w:type="dxa"/>
            <w:vAlign w:val="center"/>
          </w:tcPr>
          <w:p>
            <w:pPr>
              <w:pStyle w:val="TableNumber"/>
            </w:pPr>
            <w:r>
              <w:t>0.323</w:t>
            </w:r>
          </w:p>
        </w:tc>
      </w:tr>
    </w:tbl>
    <w:p>
      <w:pPr>
        <w:pStyle w:val="a"/>
        <w:spacing w:before="160"/>
      </w:pPr>
      <w:r>
        <w:t xml:space="preserve">表 9 的 q50 RankIC 與 ICIR 是同日股票排序診斷，不受資金尺度錯誤影響。淨 log 報酬、Sharpe、最大回撤與其原排名只保留追溯資訊。舊版簡化診斷；資金／成本尺度未對齊，不作可靠策略績效結論。不能據此宣稱可部署、穩定獲利，或用來支持模型策略優劣。</w:t>
      </w:r>
    </w:p>
    <w:p>
      <w:pPr>
        <w:pStyle w:val="Note"/>
      </w:pPr>
      <w:r>
        <w:t xml:space="preserve">目前多頭持倉合計 +0.5、空頭 −0.5，turnover 與成本使用這個尺度；gross return 卻為 mean(long)−mean(short)，少了同尺度的 0.5。成本固定 10 bps×turnover，Sharpe 仍以 sqrt(252/h) 年化。不得直接把 Sharpe 或最大回撤除以二；需統一持倉、報酬與成本後重算完整序列。之後還要處理多日持有重疊、alpha/log return 與實際投資組合損益、借券、容量、滑價、衝擊與稅費。此限制同樣適用獨立 ranking head 的舊經濟診斷，不影響 pinball、coverage、q50 correlation、方向一致率或 RankIC。</w:t>
      </w:r>
    </w:p>
    <w:p>
      <w:pPr>
        <w:pStyle w:val="21"/>
      </w:pPr>
      <w:r>
        <w:t xml:space="preserve">6.3a 獨立 ranking head 的市場別選股能力</w:t>
      </w:r>
    </w:p>
    <w:p>
      <w:pPr>
        <w:pStyle w:val="Decision"/>
      </w:pPr>
      <w:r>
        <w:t xml:space="preserve">表 9a｜每格第一行 RankIC 第二行 ICIR 日期為有效評估日</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日期</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0.028380</w:t>
              <w:br/>
              <w:t xml:space="preserve">0.180268</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0.063081</w:t>
              <w:br/>
              <w:t xml:space="preserve">0.406292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0.048181</w:t>
              <w:br/>
              <w:t xml:space="preserve">0.391327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0.038058</w:t>
              <w:br/>
              <w:t xml:space="preserve">0.258883</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0.056281</w:t>
              <w:br/>
              <w:t xml:space="preserve">0.370141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0.050473</w:t>
              <w:br/>
              <w:t xml:space="preserve">0.403867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0.049954</w:t>
              <w:br/>
              <w:t xml:space="preserve">0.320013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0.054683</w:t>
              <w:br/>
              <w:t xml:space="preserve">0.392092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0.056166</w:t>
              <w:br/>
              <w:t xml:space="preserve">0.476654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0.058399</w:t>
              <w:br/>
              <w:t xml:space="preserve">0.368551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0.056547</w:t>
              <w:br/>
              <w:t xml:space="preserve">0.395598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0.056800</w:t>
              <w:br/>
              <w:t xml:space="preserve">0.478442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0.063629</w:t>
              <w:br/>
              <w:t xml:space="preserve">0.414693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0.057741</w:t>
              <w:br/>
              <w:t xml:space="preserve">0.394941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0.058586</w:t>
              <w:br/>
              <w:t xml:space="preserve">0.468354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0.071732</w:t>
              <w:br/>
              <w:t xml:space="preserve">0.472187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0.061441</w:t>
              <w:br/>
              <w:t xml:space="preserve">0.445886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0.060742</w:t>
              <w:br/>
              <w:t xml:space="preserve">0.492956</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0.075625</w:t>
              <w:br/>
              <w:t xml:space="preserve">0.498623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0.066456</w:t>
              <w:br/>
              <w:t xml:space="preserve">0.506131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0.061591</w:t>
              <w:br/>
              <w:t xml:space="preserve">0.515931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0.081783</w:t>
              <w:br/>
              <w:t xml:space="preserve">0.548055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0.060488</w:t>
              <w:br/>
              <w:t xml:space="preserve">0.438697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0.058162</w:t>
              <w:br/>
              <w:t xml:space="preserve">0.473368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0.078918</w:t>
              <w:br/>
              <w:t xml:space="preserve">0.561854</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0.058736</w:t>
              <w:br/>
              <w:t xml:space="preserve">0.447391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0.066284</w:t>
              <w:br/>
              <w:t xml:space="preserve">0.559838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0.083984</w:t>
              <w:br/>
              <w:t xml:space="preserve">0.608511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0.059934</w:t>
              <w:br/>
              <w:t xml:space="preserve">0.471604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0.068714</w:t>
              <w:br/>
              <w:t xml:space="preserve">0.593962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0.089255</w:t>
              <w:br/>
              <w:t xml:space="preserve">0.653695</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0.059399</w:t>
              <w:br/>
              <w:t xml:space="preserve">0.475129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0.069263</w:t>
              <w:br/>
              <w:t xml:space="preserve">0.614215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0.088399</w:t>
              <w:br/>
              <w:t xml:space="preserve">0.650175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0.050831</w:t>
              <w:br/>
              <w:t xml:space="preserve">0.386885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0.061033</w:t>
              <w:br/>
              <w:t xml:space="preserve">0.533210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0.083872</w:t>
              <w:br/>
              <w:t xml:space="preserve">0.630507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0.056974</w:t>
              <w:br/>
              <w:t xml:space="preserve">0.447215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0.069650</w:t>
              <w:br/>
              <w:t xml:space="preserve">0.630680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0.087506</w:t>
              <w:br/>
              <w:t xml:space="preserve">0.636215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0.050892</w:t>
              <w:br/>
              <w:t xml:space="preserve">0.387964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0.060462</w:t>
              <w:br/>
              <w:t xml:space="preserve">0.534829</w:t>
            </w:r>
          </w:p>
        </w:tc>
        <w:tc>
          <w:tcPr>
            <w:tcW w:w="890" w:type="dxa"/>
            <w:shd w:fill="F7F9FC"/>
            <w:vAlign w:val="center"/>
          </w:tcPr>
          <w:p>
            <w:pPr>
              <w:pStyle w:val="TableNumber"/>
            </w:pPr>
            <w:r>
              <w:t xml:space="preserve">103</w:t>
            </w:r>
          </w:p>
        </w:tc>
      </w:tr>
    </w:tbl>
    <w:p>
      <w:pPr>
        <w:pStyle w:val="a"/>
        <w:spacing w:before="160"/>
      </w:pPr>
      <w:r>
        <w:t xml:space="preserve">q50 correlation 問的是預測 alpha 數值與實際 alpha 是否一起變動；q50 RankIC 是同日以 q50 排股票後，是否與實際 alpha 排名相近；獨立 head RankIC 則改用專門訓練的 ranking score。每日期先做 Spearman 排名相關，rank_ic_mean 為有效日期的平均，ICIR 為平均除以日期間樣本標準差，未年化。正值表示預測排前的股票平均也較常在實際 alpha 排前，不是獲利幅度。</w:t>
      </w:r>
    </w:p>
    <w:p>
      <w:pPr>
        <w:pStyle w:val="a"/>
      </w:pPr>
      <w:r>
        <w:t xml:space="preserve">獨立 score 沒有報酬率單位，不能當預期報酬、不能以正負判斷股價或 alpha 方向。q50 cross_sectional_by_horizon 目前跨市場混合，而 independent_ranking 是市場別；兩者不能直接比較。尚缺同市場、同有效日期集合的 q50 對照，故不宣稱獨立 head 勝出。US 有 110 日期、TWSE/TPEX 各 103，與完整 test 的 112 日期不同；少於 3 檔、非有限值或排序分數無變化的日期不進入此指標。</w:t>
      </w:r>
    </w:p>
    <w:p>
      <w:pPr>
        <w:pStyle w:val="11"/>
      </w:pPr>
      <w:r>
        <w:t>7. 一至十四日衍生訊號分布</w:t>
      </w:r>
    </w:p>
    <w:p>
      <w:pPr>
        <w:pStyle w:val="Decision"/>
        <w:keepNext/>
        <w:spacing w:after="80"/>
      </w:pPr>
      <w:r>
        <w:t>表 10｜threshold 等於 0 的後處理標籤</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強空／強多（筆）</w:t>
            </w:r>
          </w:p>
        </w:tc>
      </w:tr>
      <w:tr>
        <w:trPr>
          <w:cantSplit/>
        </w:trPr>
        <w:tc>
          <w:tcPr>
            <w:tcW w:w="900" w:type="dxa"/>
            <w:vAlign w:val="center"/>
          </w:tcPr>
          <w:p>
            <w:pPr>
              <w:pStyle w:val="TableText"/>
            </w:pPr>
            <w:r>
              <w:t>1d</w:t>
            </w:r>
          </w:p>
        </w:tc>
        <w:tc>
          <w:tcPr>
            <w:tcW w:w="1800" w:type="dxa"/>
            <w:vAlign w:val="center"/>
          </w:tcPr>
          <w:p>
            <w:pPr>
              <w:pStyle w:val="TableNumber"/>
            </w:pPr>
            <w:r>
              <w:t>80.53%</w:t>
            </w:r>
          </w:p>
        </w:tc>
        <w:tc>
          <w:tcPr>
            <w:tcW w:w="1800" w:type="dxa"/>
            <w:vAlign w:val="center"/>
          </w:tcPr>
          <w:p>
            <w:pPr>
              <w:pStyle w:val="TableNumber"/>
            </w:pPr>
            <w:r>
              <w:t>0.00%</w:t>
            </w:r>
          </w:p>
        </w:tc>
        <w:tc>
          <w:tcPr>
            <w:tcW w:w="1800" w:type="dxa"/>
            <w:vAlign w:val="center"/>
          </w:tcPr>
          <w:p>
            <w:pPr>
              <w:pStyle w:val="TableNumber"/>
            </w:pPr>
            <w:r>
              <w:t>19.47%</w:t>
            </w:r>
          </w:p>
        </w:tc>
        <w:tc>
          <w:tcPr>
            <w:tcW w:w="3060" w:type="dxa"/>
            <w:vAlign w:val="center"/>
          </w:tcPr>
          <w:p>
            <w:pPr>
              <w:pStyle w:val="TableNumber"/>
            </w:pPr>
            <w:r>
              <w:t>0／0</w:t>
            </w:r>
          </w:p>
        </w:tc>
      </w:tr>
      <w:tr>
        <w:trPr>
          <w:cantSplit/>
        </w:trPr>
        <w:tc>
          <w:tcPr>
            <w:tcW w:w="900" w:type="dxa"/>
            <w:vAlign w:val="center"/>
          </w:tcPr>
          <w:p>
            <w:pPr>
              <w:pStyle w:val="TableText"/>
            </w:pPr>
            <w:r>
              <w:t>2d</w:t>
            </w:r>
          </w:p>
        </w:tc>
        <w:tc>
          <w:tcPr>
            <w:tcW w:w="1800" w:type="dxa"/>
            <w:vAlign w:val="center"/>
          </w:tcPr>
          <w:p>
            <w:pPr>
              <w:pStyle w:val="TableNumber"/>
            </w:pPr>
            <w:r>
              <w:t>74.62%</w:t>
            </w:r>
          </w:p>
        </w:tc>
        <w:tc>
          <w:tcPr>
            <w:tcW w:w="1800" w:type="dxa"/>
            <w:vAlign w:val="center"/>
          </w:tcPr>
          <w:p>
            <w:pPr>
              <w:pStyle w:val="TableNumber"/>
            </w:pPr>
            <w:r>
              <w:t>0.00%</w:t>
            </w:r>
          </w:p>
        </w:tc>
        <w:tc>
          <w:tcPr>
            <w:tcW w:w="1800" w:type="dxa"/>
            <w:vAlign w:val="center"/>
          </w:tcPr>
          <w:p>
            <w:pPr>
              <w:pStyle w:val="TableNumber"/>
            </w:pPr>
            <w:r>
              <w:t>25.38%</w:t>
            </w:r>
          </w:p>
        </w:tc>
        <w:tc>
          <w:tcPr>
            <w:tcW w:w="3060" w:type="dxa"/>
            <w:vAlign w:val="center"/>
          </w:tcPr>
          <w:p>
            <w:pPr>
              <w:pStyle w:val="TableNumber"/>
            </w:pPr>
            <w:r>
              <w:t>0／0</w:t>
            </w:r>
          </w:p>
        </w:tc>
      </w:tr>
      <w:tr>
        <w:trPr>
          <w:cantSplit/>
        </w:trPr>
        <w:tc>
          <w:tcPr>
            <w:tcW w:w="900" w:type="dxa"/>
            <w:vAlign w:val="center"/>
          </w:tcPr>
          <w:p>
            <w:pPr>
              <w:pStyle w:val="TableText"/>
            </w:pPr>
            <w:r>
              <w:t>3d</w:t>
            </w:r>
          </w:p>
        </w:tc>
        <w:tc>
          <w:tcPr>
            <w:tcW w:w="1800" w:type="dxa"/>
            <w:vAlign w:val="center"/>
          </w:tcPr>
          <w:p>
            <w:pPr>
              <w:pStyle w:val="TableNumber"/>
            </w:pPr>
            <w:r>
              <w:t>82.25%</w:t>
            </w:r>
          </w:p>
        </w:tc>
        <w:tc>
          <w:tcPr>
            <w:tcW w:w="1800" w:type="dxa"/>
            <w:vAlign w:val="center"/>
          </w:tcPr>
          <w:p>
            <w:pPr>
              <w:pStyle w:val="TableNumber"/>
            </w:pPr>
            <w:r>
              <w:t>0.00%</w:t>
            </w:r>
          </w:p>
        </w:tc>
        <w:tc>
          <w:tcPr>
            <w:tcW w:w="1800" w:type="dxa"/>
            <w:vAlign w:val="center"/>
          </w:tcPr>
          <w:p>
            <w:pPr>
              <w:pStyle w:val="TableNumber"/>
            </w:pPr>
            <w:r>
              <w:t>17.75%</w:t>
            </w:r>
          </w:p>
        </w:tc>
        <w:tc>
          <w:tcPr>
            <w:tcW w:w="3060" w:type="dxa"/>
            <w:vAlign w:val="center"/>
          </w:tcPr>
          <w:p>
            <w:pPr>
              <w:pStyle w:val="TableNumber"/>
            </w:pPr>
            <w:r>
              <w:t>0／0</w:t>
            </w:r>
          </w:p>
        </w:tc>
      </w:tr>
      <w:tr>
        <w:trPr>
          <w:cantSplit/>
        </w:trPr>
        <w:tc>
          <w:tcPr>
            <w:tcW w:w="900" w:type="dxa"/>
            <w:vAlign w:val="center"/>
          </w:tcPr>
          <w:p>
            <w:pPr>
              <w:pStyle w:val="TableText"/>
            </w:pPr>
            <w:r>
              <w:t>4d</w:t>
            </w:r>
          </w:p>
        </w:tc>
        <w:tc>
          <w:tcPr>
            <w:tcW w:w="1800" w:type="dxa"/>
            <w:vAlign w:val="center"/>
          </w:tcPr>
          <w:p>
            <w:pPr>
              <w:pStyle w:val="TableNumber"/>
            </w:pPr>
            <w:r>
              <w:t>80.71%</w:t>
            </w:r>
          </w:p>
        </w:tc>
        <w:tc>
          <w:tcPr>
            <w:tcW w:w="1800" w:type="dxa"/>
            <w:vAlign w:val="center"/>
          </w:tcPr>
          <w:p>
            <w:pPr>
              <w:pStyle w:val="TableNumber"/>
            </w:pPr>
            <w:r>
              <w:t>0.00%</w:t>
            </w:r>
          </w:p>
        </w:tc>
        <w:tc>
          <w:tcPr>
            <w:tcW w:w="1800" w:type="dxa"/>
            <w:vAlign w:val="center"/>
          </w:tcPr>
          <w:p>
            <w:pPr>
              <w:pStyle w:val="TableNumber"/>
            </w:pPr>
            <w:r>
              <w:t>19.29%</w:t>
            </w:r>
          </w:p>
        </w:tc>
        <w:tc>
          <w:tcPr>
            <w:tcW w:w="3060" w:type="dxa"/>
            <w:vAlign w:val="center"/>
          </w:tcPr>
          <w:p>
            <w:pPr>
              <w:pStyle w:val="TableNumber"/>
            </w:pPr>
            <w:r>
              <w:t>0／0</w:t>
            </w:r>
          </w:p>
        </w:tc>
      </w:tr>
      <w:tr>
        <w:trPr>
          <w:cantSplit/>
        </w:trPr>
        <w:tc>
          <w:tcPr>
            <w:tcW w:w="900" w:type="dxa"/>
            <w:vAlign w:val="center"/>
          </w:tcPr>
          <w:p>
            <w:pPr>
              <w:pStyle w:val="TableText"/>
            </w:pPr>
            <w:r>
              <w:t>5d</w:t>
            </w:r>
          </w:p>
        </w:tc>
        <w:tc>
          <w:tcPr>
            <w:tcW w:w="1800" w:type="dxa"/>
            <w:vAlign w:val="center"/>
          </w:tcPr>
          <w:p>
            <w:pPr>
              <w:pStyle w:val="TableNumber"/>
            </w:pPr>
            <w:r>
              <w:t>81.29%</w:t>
            </w:r>
          </w:p>
        </w:tc>
        <w:tc>
          <w:tcPr>
            <w:tcW w:w="1800" w:type="dxa"/>
            <w:vAlign w:val="center"/>
          </w:tcPr>
          <w:p>
            <w:pPr>
              <w:pStyle w:val="TableNumber"/>
            </w:pPr>
            <w:r>
              <w:t>0.00%</w:t>
            </w:r>
          </w:p>
        </w:tc>
        <w:tc>
          <w:tcPr>
            <w:tcW w:w="1800" w:type="dxa"/>
            <w:vAlign w:val="center"/>
          </w:tcPr>
          <w:p>
            <w:pPr>
              <w:pStyle w:val="TableNumber"/>
            </w:pPr>
            <w:r>
              <w:t>18.71%</w:t>
            </w:r>
          </w:p>
        </w:tc>
        <w:tc>
          <w:tcPr>
            <w:tcW w:w="3060" w:type="dxa"/>
            <w:vAlign w:val="center"/>
          </w:tcPr>
          <w:p>
            <w:pPr>
              <w:pStyle w:val="TableNumber"/>
            </w:pPr>
            <w:r>
              <w:t>0／4</w:t>
            </w:r>
          </w:p>
        </w:tc>
      </w:tr>
      <w:tr>
        <w:trPr>
          <w:cantSplit/>
        </w:trPr>
        <w:tc>
          <w:tcPr>
            <w:tcW w:w="900" w:type="dxa"/>
            <w:vAlign w:val="center"/>
          </w:tcPr>
          <w:p>
            <w:pPr>
              <w:pStyle w:val="TableText"/>
            </w:pPr>
            <w:r>
              <w:t>6d</w:t>
            </w:r>
          </w:p>
        </w:tc>
        <w:tc>
          <w:tcPr>
            <w:tcW w:w="1800" w:type="dxa"/>
            <w:vAlign w:val="center"/>
          </w:tcPr>
          <w:p>
            <w:pPr>
              <w:pStyle w:val="TableNumber"/>
            </w:pPr>
            <w:r>
              <w:t>79.79%</w:t>
            </w:r>
          </w:p>
        </w:tc>
        <w:tc>
          <w:tcPr>
            <w:tcW w:w="1800" w:type="dxa"/>
            <w:vAlign w:val="center"/>
          </w:tcPr>
          <w:p>
            <w:pPr>
              <w:pStyle w:val="TableNumber"/>
            </w:pPr>
            <w:r>
              <w:t>0.00%</w:t>
            </w:r>
          </w:p>
        </w:tc>
        <w:tc>
          <w:tcPr>
            <w:tcW w:w="1800" w:type="dxa"/>
            <w:vAlign w:val="center"/>
          </w:tcPr>
          <w:p>
            <w:pPr>
              <w:pStyle w:val="TableNumber"/>
            </w:pPr>
            <w:r>
              <w:t>20.21%</w:t>
            </w:r>
          </w:p>
        </w:tc>
        <w:tc>
          <w:tcPr>
            <w:tcW w:w="3060" w:type="dxa"/>
            <w:vAlign w:val="center"/>
          </w:tcPr>
          <w:p>
            <w:pPr>
              <w:pStyle w:val="TableNumber"/>
            </w:pPr>
            <w:r>
              <w:t>3／6</w:t>
            </w:r>
          </w:p>
        </w:tc>
      </w:tr>
      <w:tr>
        <w:trPr>
          <w:cantSplit/>
        </w:trPr>
        <w:tc>
          <w:tcPr>
            <w:tcW w:w="900" w:type="dxa"/>
            <w:vAlign w:val="center"/>
          </w:tcPr>
          <w:p>
            <w:pPr>
              <w:pStyle w:val="TableText"/>
            </w:pPr>
            <w:r>
              <w:t>7d</w:t>
            </w:r>
          </w:p>
        </w:tc>
        <w:tc>
          <w:tcPr>
            <w:tcW w:w="1800" w:type="dxa"/>
            <w:vAlign w:val="center"/>
          </w:tcPr>
          <w:p>
            <w:pPr>
              <w:pStyle w:val="TableNumber"/>
            </w:pPr>
            <w:r>
              <w:t>76.86%</w:t>
            </w:r>
          </w:p>
        </w:tc>
        <w:tc>
          <w:tcPr>
            <w:tcW w:w="1800" w:type="dxa"/>
            <w:vAlign w:val="center"/>
          </w:tcPr>
          <w:p>
            <w:pPr>
              <w:pStyle w:val="TableNumber"/>
            </w:pPr>
            <w:r>
              <w:t>0.00%</w:t>
            </w:r>
          </w:p>
        </w:tc>
        <w:tc>
          <w:tcPr>
            <w:tcW w:w="1800" w:type="dxa"/>
            <w:vAlign w:val="center"/>
          </w:tcPr>
          <w:p>
            <w:pPr>
              <w:pStyle w:val="TableNumber"/>
            </w:pPr>
            <w:r>
              <w:t>23.14%</w:t>
            </w:r>
          </w:p>
        </w:tc>
        <w:tc>
          <w:tcPr>
            <w:tcW w:w="3060" w:type="dxa"/>
            <w:vAlign w:val="center"/>
          </w:tcPr>
          <w:p>
            <w:pPr>
              <w:pStyle w:val="TableNumber"/>
            </w:pPr>
            <w:r>
              <w:t>13／15</w:t>
            </w:r>
          </w:p>
        </w:tc>
      </w:tr>
      <w:tr>
        <w:trPr>
          <w:cantSplit/>
        </w:trPr>
        <w:tc>
          <w:tcPr>
            <w:tcW w:w="900" w:type="dxa"/>
            <w:vAlign w:val="center"/>
          </w:tcPr>
          <w:p>
            <w:pPr>
              <w:pStyle w:val="TableText"/>
            </w:pPr>
            <w:r>
              <w:t>8d</w:t>
            </w:r>
          </w:p>
        </w:tc>
        <w:tc>
          <w:tcPr>
            <w:tcW w:w="1800" w:type="dxa"/>
            <w:vAlign w:val="center"/>
          </w:tcPr>
          <w:p>
            <w:pPr>
              <w:pStyle w:val="TableNumber"/>
            </w:pPr>
            <w:r>
              <w:t>79.51%</w:t>
            </w:r>
          </w:p>
        </w:tc>
        <w:tc>
          <w:tcPr>
            <w:tcW w:w="1800" w:type="dxa"/>
            <w:vAlign w:val="center"/>
          </w:tcPr>
          <w:p>
            <w:pPr>
              <w:pStyle w:val="TableNumber"/>
            </w:pPr>
            <w:r>
              <w:t>0.00%</w:t>
            </w:r>
          </w:p>
        </w:tc>
        <w:tc>
          <w:tcPr>
            <w:tcW w:w="1800" w:type="dxa"/>
            <w:vAlign w:val="center"/>
          </w:tcPr>
          <w:p>
            <w:pPr>
              <w:pStyle w:val="TableNumber"/>
            </w:pPr>
            <w:r>
              <w:t>20.49%</w:t>
            </w:r>
          </w:p>
        </w:tc>
        <w:tc>
          <w:tcPr>
            <w:tcW w:w="3060" w:type="dxa"/>
            <w:vAlign w:val="center"/>
          </w:tcPr>
          <w:p>
            <w:pPr>
              <w:pStyle w:val="TableNumber"/>
            </w:pPr>
            <w:r>
              <w:t>22／8</w:t>
            </w:r>
          </w:p>
        </w:tc>
      </w:tr>
      <w:tr>
        <w:trPr>
          <w:cantSplit/>
        </w:trPr>
        <w:tc>
          <w:tcPr>
            <w:tcW w:w="900" w:type="dxa"/>
            <w:vAlign w:val="center"/>
          </w:tcPr>
          <w:p>
            <w:pPr>
              <w:pStyle w:val="TableText"/>
            </w:pPr>
            <w:r>
              <w:t>9d</w:t>
            </w:r>
          </w:p>
        </w:tc>
        <w:tc>
          <w:tcPr>
            <w:tcW w:w="1800" w:type="dxa"/>
            <w:vAlign w:val="center"/>
          </w:tcPr>
          <w:p>
            <w:pPr>
              <w:pStyle w:val="TableNumber"/>
            </w:pPr>
            <w:r>
              <w:t>80.81%</w:t>
            </w:r>
          </w:p>
        </w:tc>
        <w:tc>
          <w:tcPr>
            <w:tcW w:w="1800" w:type="dxa"/>
            <w:vAlign w:val="center"/>
          </w:tcPr>
          <w:p>
            <w:pPr>
              <w:pStyle w:val="TableNumber"/>
            </w:pPr>
            <w:r>
              <w:t>0.00%</w:t>
            </w:r>
          </w:p>
        </w:tc>
        <w:tc>
          <w:tcPr>
            <w:tcW w:w="1800" w:type="dxa"/>
            <w:vAlign w:val="center"/>
          </w:tcPr>
          <w:p>
            <w:pPr>
              <w:pStyle w:val="TableNumber"/>
            </w:pPr>
            <w:r>
              <w:t>19.19%</w:t>
            </w:r>
          </w:p>
        </w:tc>
        <w:tc>
          <w:tcPr>
            <w:tcW w:w="3060" w:type="dxa"/>
            <w:vAlign w:val="center"/>
          </w:tcPr>
          <w:p>
            <w:pPr>
              <w:pStyle w:val="TableNumber"/>
            </w:pPr>
            <w:r>
              <w:t>28／11</w:t>
            </w:r>
          </w:p>
        </w:tc>
      </w:tr>
      <w:tr>
        <w:trPr>
          <w:cantSplit/>
        </w:trPr>
        <w:tc>
          <w:tcPr>
            <w:tcW w:w="900" w:type="dxa"/>
            <w:vAlign w:val="center"/>
          </w:tcPr>
          <w:p>
            <w:pPr>
              <w:pStyle w:val="TableText"/>
            </w:pPr>
            <w:r>
              <w:t>10d</w:t>
            </w:r>
          </w:p>
        </w:tc>
        <w:tc>
          <w:tcPr>
            <w:tcW w:w="1800" w:type="dxa"/>
            <w:vAlign w:val="center"/>
          </w:tcPr>
          <w:p>
            <w:pPr>
              <w:pStyle w:val="TableNumber"/>
            </w:pPr>
            <w:r>
              <w:t>82.44%</w:t>
            </w:r>
          </w:p>
        </w:tc>
        <w:tc>
          <w:tcPr>
            <w:tcW w:w="1800" w:type="dxa"/>
            <w:vAlign w:val="center"/>
          </w:tcPr>
          <w:p>
            <w:pPr>
              <w:pStyle w:val="TableNumber"/>
            </w:pPr>
            <w:r>
              <w:t>0.00%</w:t>
            </w:r>
          </w:p>
        </w:tc>
        <w:tc>
          <w:tcPr>
            <w:tcW w:w="1800" w:type="dxa"/>
            <w:vAlign w:val="center"/>
          </w:tcPr>
          <w:p>
            <w:pPr>
              <w:pStyle w:val="TableNumber"/>
            </w:pPr>
            <w:r>
              <w:t>17.56%</w:t>
            </w:r>
          </w:p>
        </w:tc>
        <w:tc>
          <w:tcPr>
            <w:tcW w:w="3060" w:type="dxa"/>
            <w:vAlign w:val="center"/>
          </w:tcPr>
          <w:p>
            <w:pPr>
              <w:pStyle w:val="TableNumber"/>
            </w:pPr>
            <w:r>
              <w:t>51／12</w:t>
            </w:r>
          </w:p>
        </w:tc>
      </w:tr>
      <w:tr>
        <w:trPr>
          <w:cantSplit/>
        </w:trPr>
        <w:tc>
          <w:tcPr>
            <w:tcW w:w="900" w:type="dxa"/>
            <w:vAlign w:val="center"/>
          </w:tcPr>
          <w:p>
            <w:pPr>
              <w:pStyle w:val="TableText"/>
            </w:pPr>
            <w:r>
              <w:t>11d</w:t>
            </w:r>
          </w:p>
        </w:tc>
        <w:tc>
          <w:tcPr>
            <w:tcW w:w="1800" w:type="dxa"/>
            <w:vAlign w:val="center"/>
          </w:tcPr>
          <w:p>
            <w:pPr>
              <w:pStyle w:val="TableNumber"/>
            </w:pPr>
            <w:r>
              <w:t>80.49%</w:t>
            </w:r>
          </w:p>
        </w:tc>
        <w:tc>
          <w:tcPr>
            <w:tcW w:w="1800" w:type="dxa"/>
            <w:vAlign w:val="center"/>
          </w:tcPr>
          <w:p>
            <w:pPr>
              <w:pStyle w:val="TableNumber"/>
            </w:pPr>
            <w:r>
              <w:t>0.00%</w:t>
            </w:r>
          </w:p>
        </w:tc>
        <w:tc>
          <w:tcPr>
            <w:tcW w:w="1800" w:type="dxa"/>
            <w:vAlign w:val="center"/>
          </w:tcPr>
          <w:p>
            <w:pPr>
              <w:pStyle w:val="TableNumber"/>
            </w:pPr>
            <w:r>
              <w:t>19.51%</w:t>
            </w:r>
          </w:p>
        </w:tc>
        <w:tc>
          <w:tcPr>
            <w:tcW w:w="3060" w:type="dxa"/>
            <w:vAlign w:val="center"/>
          </w:tcPr>
          <w:p>
            <w:pPr>
              <w:pStyle w:val="TableNumber"/>
            </w:pPr>
            <w:r>
              <w:t>61／31</w:t>
            </w:r>
          </w:p>
        </w:tc>
      </w:tr>
      <w:tr>
        <w:trPr>
          <w:cantSplit/>
        </w:trPr>
        <w:tc>
          <w:tcPr>
            <w:tcW w:w="900" w:type="dxa"/>
            <w:vAlign w:val="center"/>
          </w:tcPr>
          <w:p>
            <w:pPr>
              <w:pStyle w:val="TableText"/>
            </w:pPr>
            <w:r>
              <w:t>12d</w:t>
            </w:r>
          </w:p>
        </w:tc>
        <w:tc>
          <w:tcPr>
            <w:tcW w:w="1800" w:type="dxa"/>
            <w:vAlign w:val="center"/>
          </w:tcPr>
          <w:p>
            <w:pPr>
              <w:pStyle w:val="TableNumber"/>
            </w:pPr>
            <w:r>
              <w:t>80.23%</w:t>
            </w:r>
          </w:p>
        </w:tc>
        <w:tc>
          <w:tcPr>
            <w:tcW w:w="1800" w:type="dxa"/>
            <w:vAlign w:val="center"/>
          </w:tcPr>
          <w:p>
            <w:pPr>
              <w:pStyle w:val="TableNumber"/>
            </w:pPr>
            <w:r>
              <w:t>0.00%</w:t>
            </w:r>
          </w:p>
        </w:tc>
        <w:tc>
          <w:tcPr>
            <w:tcW w:w="1800" w:type="dxa"/>
            <w:vAlign w:val="center"/>
          </w:tcPr>
          <w:p>
            <w:pPr>
              <w:pStyle w:val="TableNumber"/>
            </w:pPr>
            <w:r>
              <w:t>19.77%</w:t>
            </w:r>
          </w:p>
        </w:tc>
        <w:tc>
          <w:tcPr>
            <w:tcW w:w="3060" w:type="dxa"/>
            <w:vAlign w:val="center"/>
          </w:tcPr>
          <w:p>
            <w:pPr>
              <w:pStyle w:val="TableNumber"/>
            </w:pPr>
            <w:r>
              <w:t>57／21</w:t>
            </w:r>
          </w:p>
        </w:tc>
      </w:tr>
      <w:tr>
        <w:trPr>
          <w:cantSplit/>
        </w:trPr>
        <w:tc>
          <w:tcPr>
            <w:tcW w:w="900" w:type="dxa"/>
            <w:vAlign w:val="center"/>
          </w:tcPr>
          <w:p>
            <w:pPr>
              <w:pStyle w:val="TableText"/>
            </w:pPr>
            <w:r>
              <w:t>13d</w:t>
            </w:r>
          </w:p>
        </w:tc>
        <w:tc>
          <w:tcPr>
            <w:tcW w:w="1800" w:type="dxa"/>
            <w:vAlign w:val="center"/>
          </w:tcPr>
          <w:p>
            <w:pPr>
              <w:pStyle w:val="TableNumber"/>
            </w:pPr>
            <w:r>
              <w:t>80.06%</w:t>
            </w:r>
          </w:p>
        </w:tc>
        <w:tc>
          <w:tcPr>
            <w:tcW w:w="1800" w:type="dxa"/>
            <w:vAlign w:val="center"/>
          </w:tcPr>
          <w:p>
            <w:pPr>
              <w:pStyle w:val="TableNumber"/>
            </w:pPr>
            <w:r>
              <w:t>0.00%</w:t>
            </w:r>
          </w:p>
        </w:tc>
        <w:tc>
          <w:tcPr>
            <w:tcW w:w="1800" w:type="dxa"/>
            <w:vAlign w:val="center"/>
          </w:tcPr>
          <w:p>
            <w:pPr>
              <w:pStyle w:val="TableNumber"/>
            </w:pPr>
            <w:r>
              <w:t>19.94%</w:t>
            </w:r>
          </w:p>
        </w:tc>
        <w:tc>
          <w:tcPr>
            <w:tcW w:w="3060" w:type="dxa"/>
            <w:vAlign w:val="center"/>
          </w:tcPr>
          <w:p>
            <w:pPr>
              <w:pStyle w:val="TableNumber"/>
            </w:pPr>
            <w:r>
              <w:t>68／24</w:t>
            </w:r>
          </w:p>
        </w:tc>
      </w:tr>
      <w:tr>
        <w:trPr>
          <w:cantSplit/>
        </w:trPr>
        <w:tc>
          <w:tcPr>
            <w:tcW w:w="900" w:type="dxa"/>
            <w:vAlign w:val="center"/>
          </w:tcPr>
          <w:p>
            <w:pPr>
              <w:pStyle w:val="TableText"/>
            </w:pPr>
            <w:r>
              <w:t>14d</w:t>
            </w:r>
          </w:p>
        </w:tc>
        <w:tc>
          <w:tcPr>
            <w:tcW w:w="1800" w:type="dxa"/>
            <w:vAlign w:val="center"/>
          </w:tcPr>
          <w:p>
            <w:pPr>
              <w:pStyle w:val="TableNumber"/>
            </w:pPr>
            <w:r>
              <w:t>82.30%</w:t>
            </w:r>
          </w:p>
        </w:tc>
        <w:tc>
          <w:tcPr>
            <w:tcW w:w="1800" w:type="dxa"/>
            <w:vAlign w:val="center"/>
          </w:tcPr>
          <w:p>
            <w:pPr>
              <w:pStyle w:val="TableNumber"/>
            </w:pPr>
            <w:r>
              <w:t>0.00%</w:t>
            </w:r>
          </w:p>
        </w:tc>
        <w:tc>
          <w:tcPr>
            <w:tcW w:w="1800" w:type="dxa"/>
            <w:vAlign w:val="center"/>
          </w:tcPr>
          <w:p>
            <w:pPr>
              <w:pStyle w:val="TableNumber"/>
            </w:pPr>
            <w:r>
              <w:t>17.70%</w:t>
            </w:r>
          </w:p>
        </w:tc>
        <w:tc>
          <w:tcPr>
            <w:tcW w:w="3060" w:type="dxa"/>
            <w:vAlign w:val="center"/>
          </w:tcPr>
          <w:p>
            <w:pPr>
              <w:pStyle w:val="TableNumber"/>
            </w:pPr>
            <w:r>
              <w:t>95／25</w:t>
            </w:r>
          </w:p>
        </w:tc>
      </w:tr>
    </w:tbl>
    <w:p>
      <w:pPr>
        <w:pStyle w:val="a"/>
        <w:spacing w:before="160"/>
      </w:pPr>
      <w:r>
        <w:t>Bearish 標籤佔比為 74.62% 至 82.44%；neutral 佔比為 0.00% 至 0.00%。全部 14 個 horizon 的 strong_bearish／strong_bullish 標籤合計為 398／157。這些是 q10、q50、q90 與零門檻比較後的規則標籤，不是上漲或下跌機率。</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50" w:type="dxa"/>
            <w:shd w:val="clear" w:fill="DCE6F1"/>
            <w:vAlign w:val="center"/>
          </w:tcPr>
          <w:p>
            <w:pPr>
              <w:pStyle w:val="TableHeader"/>
            </w:pPr>
            <w:r>
              <w:t>平均方向</w:t>
            </w:r>
          </w:p>
        </w:tc>
        <w:tc>
          <w:tcPr>
            <w:tcW w:w="1010" w:type="dxa"/>
            <w:shd w:val="clear" w:fill="DCE6F1"/>
            <w:vAlign w:val="center"/>
          </w:tcPr>
          <w:p>
            <w:pPr>
              <w:pStyle w:val="TableHeader"/>
            </w:pPr>
            <w:r>
              <w:t>平均 Coverage</w:t>
            </w:r>
          </w:p>
        </w:tc>
      </w:tr>
      <w:tr>
        <w:trPr>
          <w:cantSplit/>
        </w:trPr>
        <w:tc>
          <w:tcPr>
            <w:tcW w:w="1500" w:type="dxa"/>
            <w:vAlign w:val="center"/>
          </w:tcPr>
          <w:p>
            <w:pPr>
              <w:pStyle w:val="TableText"/>
            </w:pPr>
            <w:r>
              <w:t>EODHD / US</w:t>
            </w:r>
          </w:p>
        </w:tc>
        <w:tc>
          <w:tcPr>
            <w:tcW w:w="1100" w:type="dxa"/>
            <w:vAlign w:val="center"/>
          </w:tcPr>
          <w:p>
            <w:pPr>
              <w:pStyle w:val="TableNumber"/>
            </w:pPr>
            <w:r>
              <w:t>439,729</w:t>
            </w:r>
          </w:p>
        </w:tc>
        <w:tc>
          <w:tcPr>
            <w:tcW w:w="1300" w:type="dxa"/>
            <w:vAlign w:val="center"/>
          </w:tcPr>
          <w:p>
            <w:pPr>
              <w:pStyle w:val="TableNumber"/>
            </w:pPr>
            <w:r>
              <w:t>0.291245</w:t>
            </w:r>
          </w:p>
        </w:tc>
        <w:tc>
          <w:tcPr>
            <w:tcW w:w="1400" w:type="dxa"/>
            <w:vAlign w:val="center"/>
          </w:tcPr>
          <w:p>
            <w:pPr>
              <w:pStyle w:val="TableNumber"/>
            </w:pPr>
            <w:r>
              <w:t>0.1022</w:t>
            </w:r>
          </w:p>
        </w:tc>
        <w:tc>
          <w:tcPr>
            <w:tcW w:w="1800" w:type="dxa"/>
            <w:vAlign w:val="center"/>
          </w:tcPr>
          <w:p>
            <w:pPr>
              <w:pStyle w:val="TableNumber"/>
            </w:pPr>
            <w:r>
              <w:t>0.0408 至 0.1324</w:t>
            </w:r>
          </w:p>
        </w:tc>
        <w:tc>
          <w:tcPr>
            <w:tcW w:w="1250" w:type="dxa"/>
            <w:vAlign w:val="center"/>
          </w:tcPr>
          <w:p>
            <w:pPr>
              <w:pStyle w:val="TableNumber"/>
            </w:pPr>
            <w:r>
              <w:t>52.10%</w:t>
            </w:r>
          </w:p>
        </w:tc>
        <w:tc>
          <w:tcPr>
            <w:tcW w:w="1010" w:type="dxa"/>
            <w:vAlign w:val="center"/>
          </w:tcPr>
          <w:p>
            <w:pPr>
              <w:pStyle w:val="TableNumber"/>
            </w:pPr>
            <w:r>
              <w:t>79.41%</w:t>
            </w:r>
          </w:p>
        </w:tc>
      </w:tr>
      <w:tr>
        <w:trPr>
          <w:cantSplit/>
        </w:trPr>
        <w:tc>
          <w:tcPr>
            <w:tcW w:w="1500" w:type="dxa"/>
            <w:vAlign w:val="center"/>
          </w:tcPr>
          <w:p>
            <w:pPr>
              <w:pStyle w:val="TableText"/>
            </w:pPr>
            <w:r>
              <w:t>TPEx</w:t>
            </w:r>
          </w:p>
        </w:tc>
        <w:tc>
          <w:tcPr>
            <w:tcW w:w="1100" w:type="dxa"/>
            <w:vAlign w:val="center"/>
          </w:tcPr>
          <w:p>
            <w:pPr>
              <w:pStyle w:val="TableNumber"/>
            </w:pPr>
            <w:r>
              <w:t>31,285</w:t>
            </w:r>
          </w:p>
        </w:tc>
        <w:tc>
          <w:tcPr>
            <w:tcW w:w="1300" w:type="dxa"/>
            <w:vAlign w:val="center"/>
          </w:tcPr>
          <w:p>
            <w:pPr>
              <w:pStyle w:val="TableNumber"/>
            </w:pPr>
            <w:r>
              <w:t>0.316772</w:t>
            </w:r>
          </w:p>
        </w:tc>
        <w:tc>
          <w:tcPr>
            <w:tcW w:w="1400" w:type="dxa"/>
            <w:vAlign w:val="center"/>
          </w:tcPr>
          <w:p>
            <w:pPr>
              <w:pStyle w:val="TableNumber"/>
            </w:pPr>
            <w:r>
              <w:t>0.0474</w:t>
            </w:r>
          </w:p>
        </w:tc>
        <w:tc>
          <w:tcPr>
            <w:tcW w:w="1800" w:type="dxa"/>
            <w:vAlign w:val="center"/>
          </w:tcPr>
          <w:p>
            <w:pPr>
              <w:pStyle w:val="TableNumber"/>
            </w:pPr>
            <w:r>
              <w:t>0.0391 至 0.0534</w:t>
            </w:r>
          </w:p>
        </w:tc>
        <w:tc>
          <w:tcPr>
            <w:tcW w:w="1250" w:type="dxa"/>
            <w:vAlign w:val="center"/>
          </w:tcPr>
          <w:p>
            <w:pPr>
              <w:pStyle w:val="TableNumber"/>
            </w:pPr>
            <w:r>
              <w:t>66.48%</w:t>
            </w:r>
          </w:p>
        </w:tc>
        <w:tc>
          <w:tcPr>
            <w:tcW w:w="1010" w:type="dxa"/>
            <w:vAlign w:val="center"/>
          </w:tcPr>
          <w:p>
            <w:pPr>
              <w:pStyle w:val="TableNumber"/>
            </w:pPr>
            <w:r>
              <w:t>70.73%</w:t>
            </w:r>
          </w:p>
        </w:tc>
      </w:tr>
      <w:tr>
        <w:trPr>
          <w:cantSplit/>
        </w:trPr>
        <w:tc>
          <w:tcPr>
            <w:tcW w:w="1500" w:type="dxa"/>
            <w:vAlign w:val="center"/>
          </w:tcPr>
          <w:p>
            <w:pPr>
              <w:pStyle w:val="TableText"/>
            </w:pPr>
            <w:r>
              <w:t>TWSE</w:t>
            </w:r>
          </w:p>
        </w:tc>
        <w:tc>
          <w:tcPr>
            <w:tcW w:w="1100" w:type="dxa"/>
            <w:vAlign w:val="center"/>
          </w:tcPr>
          <w:p>
            <w:pPr>
              <w:pStyle w:val="TableNumber"/>
            </w:pPr>
            <w:r>
              <w:t>63,313</w:t>
            </w:r>
          </w:p>
        </w:tc>
        <w:tc>
          <w:tcPr>
            <w:tcW w:w="1300" w:type="dxa"/>
            <w:vAlign w:val="center"/>
          </w:tcPr>
          <w:p>
            <w:pPr>
              <w:pStyle w:val="TableNumber"/>
            </w:pPr>
            <w:r>
              <w:t>0.281697</w:t>
            </w:r>
          </w:p>
        </w:tc>
        <w:tc>
          <w:tcPr>
            <w:tcW w:w="1400" w:type="dxa"/>
            <w:vAlign w:val="center"/>
          </w:tcPr>
          <w:p>
            <w:pPr>
              <w:pStyle w:val="TableNumber"/>
            </w:pPr>
            <w:r>
              <w:t>0.0298</w:t>
            </w:r>
          </w:p>
        </w:tc>
        <w:tc>
          <w:tcPr>
            <w:tcW w:w="1800" w:type="dxa"/>
            <w:vAlign w:val="center"/>
          </w:tcPr>
          <w:p>
            <w:pPr>
              <w:pStyle w:val="TableNumber"/>
            </w:pPr>
            <w:r>
              <w:t>-0.0000 至 0.0509</w:t>
            </w:r>
          </w:p>
        </w:tc>
        <w:tc>
          <w:tcPr>
            <w:tcW w:w="1250" w:type="dxa"/>
            <w:vAlign w:val="center"/>
          </w:tcPr>
          <w:p>
            <w:pPr>
              <w:pStyle w:val="TableNumber"/>
            </w:pPr>
            <w:r>
              <w:t>66.19%</w:t>
            </w:r>
          </w:p>
        </w:tc>
        <w:tc>
          <w:tcPr>
            <w:tcW w:w="1010" w:type="dxa"/>
            <w:vAlign w:val="center"/>
          </w:tcPr>
          <w:p>
            <w:pPr>
              <w:pStyle w:val="TableNumber"/>
            </w:pPr>
            <w:r>
              <w:t>70.11%</w:t>
            </w:r>
          </w:p>
        </w:tc>
      </w:tr>
    </w:tbl>
    <w:p>
      <w:pPr>
        <w:pStyle w:val="a"/>
        <w:spacing w:before="160"/>
      </w:pPr>
      <w:r>
        <w:t>Provider 切片的樣本數、交易所與標的組成不同。各 provider 平均 coverage 約為 70.11% 至 79.41%；平均 q50 correlation、方向一致率及 score 的差異只能作穩定性診斷，不能單獨證明某市場較容易預測。</w:t>
      </w:r>
    </w:p>
    <w:p>
      <w:pPr>
        <w:pStyle w:val="21"/>
      </w:pPr>
      <w:r>
        <w:t xml:space="preserve">8.1a 市場別 raw 與 calibrated 完整比較</w:t>
      </w:r>
    </w:p>
    <w:p>
      <w:pPr>
        <w:pStyle w:val="a"/>
      </w:pPr>
      <w:r>
        <w:t xml:space="preserve">市場別資料直接來自 subgroups.market 與 calibrated.by_market；不把 provider 名稱自動視為市場。整體平均按股票樣本數形成，US 佔 82.30%，因此需一起檢查台灣市場的 coverage。各表每格第一行 raw、第二行 calibrated；整體列為該市場跨 14 個 horizon 平均。</w:t>
      </w:r>
    </w:p>
    <w:p>
      <w:pPr>
        <w:pStyle w:val="Decision"/>
      </w:pPr>
      <w:r>
        <w:t xml:space="preserve">表 10a｜US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0.291245</w:t>
              <w:br/>
              <w:t xml:space="preserve">0.291265</w:t>
            </w:r>
          </w:p>
        </w:tc>
        <w:tc>
          <w:tcPr>
            <w:tcW w:w="2075" w:type="dxa"/>
            <w:shd w:fill="FFFFFF"/>
            <w:vAlign w:val="center"/>
          </w:tcPr>
          <w:p>
            <w:pPr>
              <w:pStyle w:val="TableNumber"/>
            </w:pPr>
            <w:r>
              <w:t xml:space="preserve">79.4127%</w:t>
              <w:br/>
              <w:t xml:space="preserve">80.6468%</w:t>
            </w:r>
          </w:p>
        </w:tc>
        <w:tc>
          <w:tcPr>
            <w:tcW w:w="2200" w:type="dxa"/>
            <w:shd w:fill="FFFFFF"/>
            <w:vAlign w:val="center"/>
          </w:tcPr>
          <w:p>
            <w:pPr>
              <w:pStyle w:val="TableNumber"/>
            </w:pPr>
            <w:r>
              <w:t xml:space="preserve">0.6756</w:t>
              <w:br/>
              <w:t xml:space="preserve">0.6468</w:t>
            </w:r>
          </w:p>
        </w:tc>
        <w:tc>
          <w:tcPr>
            <w:tcW w:w="2360" w:type="dxa"/>
            <w:shd w:fill="FFFFFF"/>
            <w:vAlign w:val="center"/>
          </w:tcPr>
          <w:p>
            <w:pPr>
              <w:pStyle w:val="TableNumber"/>
            </w:pPr>
            <w:r>
              <w:t xml:space="preserve">0.183494</w:t>
              <w:br/>
              <w:t xml:space="preserve">0.190184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0.285550</w:t>
              <w:br/>
              <w:t xml:space="preserve">0.285409</w:t>
            </w:r>
          </w:p>
        </w:tc>
        <w:tc>
          <w:tcPr>
            <w:tcW w:w="2075" w:type="dxa"/>
            <w:shd w:fill="F7F9FC"/>
            <w:vAlign w:val="center"/>
          </w:tcPr>
          <w:p>
            <w:pPr>
              <w:pStyle w:val="TableNumber"/>
            </w:pPr>
            <w:r>
              <w:t xml:space="preserve">80.5392%</w:t>
              <w:br/>
              <w:t xml:space="preserve">81.2582%</w:t>
            </w:r>
          </w:p>
        </w:tc>
        <w:tc>
          <w:tcPr>
            <w:tcW w:w="2200" w:type="dxa"/>
            <w:shd w:fill="F7F9FC"/>
            <w:vAlign w:val="center"/>
          </w:tcPr>
          <w:p>
            <w:pPr>
              <w:pStyle w:val="TableNumber"/>
            </w:pPr>
            <w:r>
              <w:t xml:space="preserve">0.5392</w:t>
              <w:br/>
              <w:t xml:space="preserve">1.2582</w:t>
            </w:r>
          </w:p>
        </w:tc>
        <w:tc>
          <w:tcPr>
            <w:tcW w:w="2360" w:type="dxa"/>
            <w:shd w:fill="F7F9FC"/>
            <w:vAlign w:val="center"/>
          </w:tcPr>
          <w:p>
            <w:pPr>
              <w:pStyle w:val="TableNumber"/>
            </w:pPr>
            <w:r>
              <w:t xml:space="preserve">0.060618</w:t>
              <w:br/>
              <w:t xml:space="preserve">0.061781</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0.290265</w:t>
              <w:br/>
              <w:t xml:space="preserve">0.290231</w:t>
            </w:r>
          </w:p>
        </w:tc>
        <w:tc>
          <w:tcPr>
            <w:tcW w:w="2075" w:type="dxa"/>
            <w:shd w:fill="FFFFFF"/>
            <w:vAlign w:val="center"/>
          </w:tcPr>
          <w:p>
            <w:pPr>
              <w:pStyle w:val="TableNumber"/>
            </w:pPr>
            <w:r>
              <w:t xml:space="preserve">79.7764%</w:t>
              <w:br/>
              <w:t xml:space="preserve">80.7195%</w:t>
            </w:r>
          </w:p>
        </w:tc>
        <w:tc>
          <w:tcPr>
            <w:tcW w:w="2200" w:type="dxa"/>
            <w:shd w:fill="FFFFFF"/>
            <w:vAlign w:val="center"/>
          </w:tcPr>
          <w:p>
            <w:pPr>
              <w:pStyle w:val="TableNumber"/>
            </w:pPr>
            <w:r>
              <w:t xml:space="preserve">0.2236</w:t>
              <w:br/>
              <w:t xml:space="preserve">0.7195</w:t>
            </w:r>
          </w:p>
        </w:tc>
        <w:tc>
          <w:tcPr>
            <w:tcW w:w="2360" w:type="dxa"/>
            <w:shd w:fill="FFFFFF"/>
            <w:vAlign w:val="center"/>
          </w:tcPr>
          <w:p>
            <w:pPr>
              <w:pStyle w:val="TableNumber"/>
            </w:pPr>
            <w:r>
              <w:t xml:space="preserve">0.090205</w:t>
              <w:br/>
              <w:t xml:space="preserve">0.092549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0.292630</w:t>
              <w:br/>
              <w:t xml:space="preserve">0.292556</w:t>
            </w:r>
          </w:p>
        </w:tc>
        <w:tc>
          <w:tcPr>
            <w:tcW w:w="2075" w:type="dxa"/>
            <w:shd w:fill="F7F9FC"/>
            <w:vAlign w:val="center"/>
          </w:tcPr>
          <w:p>
            <w:pPr>
              <w:pStyle w:val="TableNumber"/>
            </w:pPr>
            <w:r>
              <w:t xml:space="preserve">80.0368%</w:t>
              <w:br/>
              <w:t xml:space="preserve">80.3929%</w:t>
            </w:r>
          </w:p>
        </w:tc>
        <w:tc>
          <w:tcPr>
            <w:tcW w:w="2200" w:type="dxa"/>
            <w:shd w:fill="F7F9FC"/>
            <w:vAlign w:val="center"/>
          </w:tcPr>
          <w:p>
            <w:pPr>
              <w:pStyle w:val="TableNumber"/>
            </w:pPr>
            <w:r>
              <w:t xml:space="preserve">0.0368</w:t>
              <w:br/>
              <w:t xml:space="preserve">0.3929</w:t>
            </w:r>
          </w:p>
        </w:tc>
        <w:tc>
          <w:tcPr>
            <w:tcW w:w="2360" w:type="dxa"/>
            <w:shd w:fill="F7F9FC"/>
            <w:vAlign w:val="center"/>
          </w:tcPr>
          <w:p>
            <w:pPr>
              <w:pStyle w:val="TableNumber"/>
            </w:pPr>
            <w:r>
              <w:t xml:space="preserve">0.115186</w:t>
              <w:br/>
              <w:t xml:space="preserve">0.116251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0.290854</w:t>
              <w:br/>
              <w:t xml:space="preserve">0.290881</w:t>
            </w:r>
          </w:p>
        </w:tc>
        <w:tc>
          <w:tcPr>
            <w:tcW w:w="2075" w:type="dxa"/>
            <w:shd w:fill="FFFFFF"/>
            <w:vAlign w:val="center"/>
          </w:tcPr>
          <w:p>
            <w:pPr>
              <w:pStyle w:val="TableNumber"/>
            </w:pPr>
            <w:r>
              <w:t xml:space="preserve">80.0423%</w:t>
              <w:br/>
              <w:t xml:space="preserve">80.4061%</w:t>
            </w:r>
          </w:p>
        </w:tc>
        <w:tc>
          <w:tcPr>
            <w:tcW w:w="2200" w:type="dxa"/>
            <w:shd w:fill="FFFFFF"/>
            <w:vAlign w:val="center"/>
          </w:tcPr>
          <w:p>
            <w:pPr>
              <w:pStyle w:val="TableNumber"/>
            </w:pPr>
            <w:r>
              <w:t xml:space="preserve">0.0423</w:t>
              <w:br/>
              <w:t xml:space="preserve">0.4061</w:t>
            </w:r>
          </w:p>
        </w:tc>
        <w:tc>
          <w:tcPr>
            <w:tcW w:w="2360" w:type="dxa"/>
            <w:shd w:fill="FFFFFF"/>
            <w:vAlign w:val="center"/>
          </w:tcPr>
          <w:p>
            <w:pPr>
              <w:pStyle w:val="TableNumber"/>
            </w:pPr>
            <w:r>
              <w:t xml:space="preserve">0.135561</w:t>
              <w:br/>
              <w:t xml:space="preserve">0.136887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0.289359</w:t>
              <w:br/>
              <w:t xml:space="preserve">0.289384</w:t>
            </w:r>
          </w:p>
        </w:tc>
        <w:tc>
          <w:tcPr>
            <w:tcW w:w="2075" w:type="dxa"/>
            <w:shd w:fill="F7F9FC"/>
            <w:vAlign w:val="center"/>
          </w:tcPr>
          <w:p>
            <w:pPr>
              <w:pStyle w:val="TableNumber"/>
            </w:pPr>
            <w:r>
              <w:t xml:space="preserve">79.6429%</w:t>
              <w:br/>
              <w:t xml:space="preserve">80.6767%</w:t>
            </w:r>
          </w:p>
        </w:tc>
        <w:tc>
          <w:tcPr>
            <w:tcW w:w="2200" w:type="dxa"/>
            <w:shd w:fill="F7F9FC"/>
            <w:vAlign w:val="center"/>
          </w:tcPr>
          <w:p>
            <w:pPr>
              <w:pStyle w:val="TableNumber"/>
            </w:pPr>
            <w:r>
              <w:t xml:space="preserve">0.3571</w:t>
              <w:br/>
              <w:t xml:space="preserve">0.6767</w:t>
            </w:r>
          </w:p>
        </w:tc>
        <w:tc>
          <w:tcPr>
            <w:tcW w:w="2360" w:type="dxa"/>
            <w:shd w:fill="F7F9FC"/>
            <w:vAlign w:val="center"/>
          </w:tcPr>
          <w:p>
            <w:pPr>
              <w:pStyle w:val="TableNumber"/>
            </w:pPr>
            <w:r>
              <w:t xml:space="preserve">0.153284</w:t>
              <w:br/>
              <w:t xml:space="preserve">0.157505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0.291847</w:t>
              <w:br/>
              <w:t xml:space="preserve">0.291959</w:t>
            </w:r>
          </w:p>
        </w:tc>
        <w:tc>
          <w:tcPr>
            <w:tcW w:w="2075" w:type="dxa"/>
            <w:shd w:fill="FFFFFF"/>
            <w:vAlign w:val="center"/>
          </w:tcPr>
          <w:p>
            <w:pPr>
              <w:pStyle w:val="TableNumber"/>
            </w:pPr>
            <w:r>
              <w:t xml:space="preserve">79.5831%</w:t>
              <w:br/>
              <w:t xml:space="preserve">80.7111%</w:t>
            </w:r>
          </w:p>
        </w:tc>
        <w:tc>
          <w:tcPr>
            <w:tcW w:w="2200" w:type="dxa"/>
            <w:shd w:fill="FFFFFF"/>
            <w:vAlign w:val="center"/>
          </w:tcPr>
          <w:p>
            <w:pPr>
              <w:pStyle w:val="TableNumber"/>
            </w:pPr>
            <w:r>
              <w:t xml:space="preserve">0.4169</w:t>
              <w:br/>
              <w:t xml:space="preserve">0.7111</w:t>
            </w:r>
          </w:p>
        </w:tc>
        <w:tc>
          <w:tcPr>
            <w:tcW w:w="2360" w:type="dxa"/>
            <w:shd w:fill="FFFFFF"/>
            <w:vAlign w:val="center"/>
          </w:tcPr>
          <w:p>
            <w:pPr>
              <w:pStyle w:val="TableNumber"/>
            </w:pPr>
            <w:r>
              <w:t xml:space="preserve">0.170050</w:t>
              <w:br/>
              <w:t xml:space="preserve">0.175474</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0.292374</w:t>
              <w:br/>
              <w:t xml:space="preserve">0.292545</w:t>
            </w:r>
          </w:p>
        </w:tc>
        <w:tc>
          <w:tcPr>
            <w:tcW w:w="2075" w:type="dxa"/>
            <w:shd w:fill="F7F9FC"/>
            <w:vAlign w:val="center"/>
          </w:tcPr>
          <w:p>
            <w:pPr>
              <w:pStyle w:val="TableNumber"/>
            </w:pPr>
            <w:r>
              <w:t xml:space="preserve">78.8029%</w:t>
              <w:br/>
              <w:t xml:space="preserve">80.4291%</w:t>
            </w:r>
          </w:p>
        </w:tc>
        <w:tc>
          <w:tcPr>
            <w:tcW w:w="2200" w:type="dxa"/>
            <w:shd w:fill="F7F9FC"/>
            <w:vAlign w:val="center"/>
          </w:tcPr>
          <w:p>
            <w:pPr>
              <w:pStyle w:val="TableNumber"/>
            </w:pPr>
            <w:r>
              <w:t xml:space="preserve">1.1971</w:t>
              <w:br/>
              <w:t xml:space="preserve">0.4291</w:t>
            </w:r>
          </w:p>
        </w:tc>
        <w:tc>
          <w:tcPr>
            <w:tcW w:w="2360" w:type="dxa"/>
            <w:shd w:fill="F7F9FC"/>
            <w:vAlign w:val="center"/>
          </w:tcPr>
          <w:p>
            <w:pPr>
              <w:pStyle w:val="TableNumber"/>
            </w:pPr>
            <w:r>
              <w:t xml:space="preserve">0.182765</w:t>
              <w:br/>
              <w:t xml:space="preserve">0.190767</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0.292565</w:t>
              <w:br/>
              <w:t xml:space="preserve">0.292704</w:t>
            </w:r>
          </w:p>
        </w:tc>
        <w:tc>
          <w:tcPr>
            <w:tcW w:w="2075" w:type="dxa"/>
            <w:shd w:fill="FFFFFF"/>
            <w:vAlign w:val="center"/>
          </w:tcPr>
          <w:p>
            <w:pPr>
              <w:pStyle w:val="TableNumber"/>
            </w:pPr>
            <w:r>
              <w:t xml:space="preserve">79.4451%</w:t>
              <w:br/>
              <w:t xml:space="preserve">80.8127%</w:t>
            </w:r>
          </w:p>
        </w:tc>
        <w:tc>
          <w:tcPr>
            <w:tcW w:w="2200" w:type="dxa"/>
            <w:shd w:fill="FFFFFF"/>
            <w:vAlign w:val="center"/>
          </w:tcPr>
          <w:p>
            <w:pPr>
              <w:pStyle w:val="TableNumber"/>
            </w:pPr>
            <w:r>
              <w:t xml:space="preserve">0.5549</w:t>
              <w:br/>
              <w:t xml:space="preserve">0.8127</w:t>
            </w:r>
          </w:p>
        </w:tc>
        <w:tc>
          <w:tcPr>
            <w:tcW w:w="2360" w:type="dxa"/>
            <w:shd w:fill="FFFFFF"/>
            <w:vAlign w:val="center"/>
          </w:tcPr>
          <w:p>
            <w:pPr>
              <w:pStyle w:val="TableNumber"/>
            </w:pPr>
            <w:r>
              <w:t xml:space="preserve">0.200024</w:t>
              <w:br/>
              <w:t xml:space="preserve">0.207548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0.293235</w:t>
              <w:br/>
              <w:t xml:space="preserve">0.293470</w:t>
            </w:r>
          </w:p>
        </w:tc>
        <w:tc>
          <w:tcPr>
            <w:tcW w:w="2075" w:type="dxa"/>
            <w:shd w:fill="F7F9FC"/>
            <w:vAlign w:val="center"/>
          </w:tcPr>
          <w:p>
            <w:pPr>
              <w:pStyle w:val="TableNumber"/>
            </w:pPr>
            <w:r>
              <w:t xml:space="preserve">78.7801%</w:t>
              <w:br/>
              <w:t xml:space="preserve">80.7632%</w:t>
            </w:r>
          </w:p>
        </w:tc>
        <w:tc>
          <w:tcPr>
            <w:tcW w:w="2200" w:type="dxa"/>
            <w:shd w:fill="F7F9FC"/>
            <w:vAlign w:val="center"/>
          </w:tcPr>
          <w:p>
            <w:pPr>
              <w:pStyle w:val="TableNumber"/>
            </w:pPr>
            <w:r>
              <w:t xml:space="preserve">1.2199</w:t>
              <w:br/>
              <w:t xml:space="preserve">0.7632</w:t>
            </w:r>
          </w:p>
        </w:tc>
        <w:tc>
          <w:tcPr>
            <w:tcW w:w="2360" w:type="dxa"/>
            <w:shd w:fill="F7F9FC"/>
            <w:vAlign w:val="center"/>
          </w:tcPr>
          <w:p>
            <w:pPr>
              <w:pStyle w:val="TableNumber"/>
            </w:pPr>
            <w:r>
              <w:t xml:space="preserve">0.210851</w:t>
              <w:br/>
              <w:t xml:space="preserve">0.222468</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0.292262</w:t>
              <w:br/>
              <w:t xml:space="preserve">0.292301</w:t>
            </w:r>
          </w:p>
        </w:tc>
        <w:tc>
          <w:tcPr>
            <w:tcW w:w="2075" w:type="dxa"/>
            <w:shd w:fill="FFFFFF"/>
            <w:vAlign w:val="center"/>
          </w:tcPr>
          <w:p>
            <w:pPr>
              <w:pStyle w:val="TableNumber"/>
            </w:pPr>
            <w:r>
              <w:t xml:space="preserve">79.3741%</w:t>
              <w:br/>
              <w:t xml:space="preserve">80.7020%</w:t>
            </w:r>
          </w:p>
        </w:tc>
        <w:tc>
          <w:tcPr>
            <w:tcW w:w="2200" w:type="dxa"/>
            <w:shd w:fill="FFFFFF"/>
            <w:vAlign w:val="center"/>
          </w:tcPr>
          <w:p>
            <w:pPr>
              <w:pStyle w:val="TableNumber"/>
            </w:pPr>
            <w:r>
              <w:t xml:space="preserve">0.6259</w:t>
              <w:br/>
              <w:t xml:space="preserve">0.7020</w:t>
            </w:r>
          </w:p>
        </w:tc>
        <w:tc>
          <w:tcPr>
            <w:tcW w:w="2360" w:type="dxa"/>
            <w:shd w:fill="FFFFFF"/>
            <w:vAlign w:val="center"/>
          </w:tcPr>
          <w:p>
            <w:pPr>
              <w:pStyle w:val="TableNumber"/>
            </w:pPr>
            <w:r>
              <w:t xml:space="preserve">0.227006</w:t>
              <w:br/>
              <w:t xml:space="preserve">0.235126</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0.293013</w:t>
              <w:br/>
              <w:t xml:space="preserve">0.293021</w:t>
            </w:r>
          </w:p>
        </w:tc>
        <w:tc>
          <w:tcPr>
            <w:tcW w:w="2075" w:type="dxa"/>
            <w:shd w:fill="F7F9FC"/>
            <w:vAlign w:val="center"/>
          </w:tcPr>
          <w:p>
            <w:pPr>
              <w:pStyle w:val="TableNumber"/>
            </w:pPr>
            <w:r>
              <w:t xml:space="preserve">78.8270%</w:t>
              <w:br/>
              <w:t xml:space="preserve">80.5705%</w:t>
            </w:r>
          </w:p>
        </w:tc>
        <w:tc>
          <w:tcPr>
            <w:tcW w:w="2200" w:type="dxa"/>
            <w:shd w:fill="F7F9FC"/>
            <w:vAlign w:val="center"/>
          </w:tcPr>
          <w:p>
            <w:pPr>
              <w:pStyle w:val="TableNumber"/>
            </w:pPr>
            <w:r>
              <w:t xml:space="preserve">1.1730</w:t>
              <w:br/>
              <w:t xml:space="preserve">0.5705</w:t>
            </w:r>
          </w:p>
        </w:tc>
        <w:tc>
          <w:tcPr>
            <w:tcW w:w="2360" w:type="dxa"/>
            <w:shd w:fill="F7F9FC"/>
            <w:vAlign w:val="center"/>
          </w:tcPr>
          <w:p>
            <w:pPr>
              <w:pStyle w:val="TableNumber"/>
            </w:pPr>
            <w:r>
              <w:t xml:space="preserve">0.236408</w:t>
              <w:br/>
              <w:t xml:space="preserve">0.247709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0.291497</w:t>
              <w:br/>
              <w:t xml:space="preserve">0.291370</w:t>
            </w:r>
          </w:p>
        </w:tc>
        <w:tc>
          <w:tcPr>
            <w:tcW w:w="2075" w:type="dxa"/>
            <w:shd w:fill="FFFFFF"/>
            <w:vAlign w:val="center"/>
          </w:tcPr>
          <w:p>
            <w:pPr>
              <w:pStyle w:val="TableNumber"/>
            </w:pPr>
            <w:r>
              <w:t xml:space="preserve">79.0389%</w:t>
              <w:br/>
              <w:t xml:space="preserve">80.4161%</w:t>
            </w:r>
          </w:p>
        </w:tc>
        <w:tc>
          <w:tcPr>
            <w:tcW w:w="2200" w:type="dxa"/>
            <w:shd w:fill="FFFFFF"/>
            <w:vAlign w:val="center"/>
          </w:tcPr>
          <w:p>
            <w:pPr>
              <w:pStyle w:val="TableNumber"/>
            </w:pPr>
            <w:r>
              <w:t xml:space="preserve">0.9611</w:t>
              <w:br/>
              <w:t xml:space="preserve">0.4161</w:t>
            </w:r>
          </w:p>
        </w:tc>
        <w:tc>
          <w:tcPr>
            <w:tcW w:w="2360" w:type="dxa"/>
            <w:shd w:fill="FFFFFF"/>
            <w:vAlign w:val="center"/>
          </w:tcPr>
          <w:p>
            <w:pPr>
              <w:pStyle w:val="TableNumber"/>
            </w:pPr>
            <w:r>
              <w:t xml:space="preserve">0.250738</w:t>
              <w:br/>
              <w:t xml:space="preserve">0.259425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0.290314</w:t>
              <w:br/>
              <w:t xml:space="preserve">0.290340</w:t>
            </w:r>
          </w:p>
        </w:tc>
        <w:tc>
          <w:tcPr>
            <w:tcW w:w="2075" w:type="dxa"/>
            <w:shd w:fill="F7F9FC"/>
            <w:vAlign w:val="center"/>
          </w:tcPr>
          <w:p>
            <w:pPr>
              <w:pStyle w:val="TableNumber"/>
            </w:pPr>
            <w:r>
              <w:t xml:space="preserve">78.8893%</w:t>
              <w:br/>
              <w:t xml:space="preserve">80.6326%</w:t>
            </w:r>
          </w:p>
        </w:tc>
        <w:tc>
          <w:tcPr>
            <w:tcW w:w="2200" w:type="dxa"/>
            <w:shd w:fill="F7F9FC"/>
            <w:vAlign w:val="center"/>
          </w:tcPr>
          <w:p>
            <w:pPr>
              <w:pStyle w:val="TableNumber"/>
            </w:pPr>
            <w:r>
              <w:t xml:space="preserve">1.1107</w:t>
              <w:br/>
              <w:t xml:space="preserve">0.6326</w:t>
            </w:r>
          </w:p>
        </w:tc>
        <w:tc>
          <w:tcPr>
            <w:tcW w:w="2360" w:type="dxa"/>
            <w:shd w:fill="F7F9FC"/>
            <w:vAlign w:val="center"/>
          </w:tcPr>
          <w:p>
            <w:pPr>
              <w:pStyle w:val="TableNumber"/>
            </w:pPr>
            <w:r>
              <w:t xml:space="preserve">0.262144</w:t>
              <w:br/>
              <w:t xml:space="preserve">0.274269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0.291669</w:t>
              <w:br/>
              <w:t xml:space="preserve">0.291545</w:t>
            </w:r>
          </w:p>
        </w:tc>
        <w:tc>
          <w:tcPr>
            <w:tcW w:w="2075" w:type="dxa"/>
            <w:shd w:fill="FFFFFF"/>
            <w:vAlign w:val="center"/>
          </w:tcPr>
          <w:p>
            <w:pPr>
              <w:pStyle w:val="TableNumber"/>
            </w:pPr>
            <w:r>
              <w:t xml:space="preserve">79.0000%</w:t>
              <w:br/>
              <w:t xml:space="preserve">80.5639%</w:t>
            </w:r>
          </w:p>
        </w:tc>
        <w:tc>
          <w:tcPr>
            <w:tcW w:w="2200" w:type="dxa"/>
            <w:shd w:fill="FFFFFF"/>
            <w:vAlign w:val="center"/>
          </w:tcPr>
          <w:p>
            <w:pPr>
              <w:pStyle w:val="TableNumber"/>
            </w:pPr>
            <w:r>
              <w:t xml:space="preserve">1.0000</w:t>
              <w:br/>
              <w:t xml:space="preserve">0.5639</w:t>
            </w:r>
          </w:p>
        </w:tc>
        <w:tc>
          <w:tcPr>
            <w:tcW w:w="2360" w:type="dxa"/>
            <w:shd w:fill="FFFFFF"/>
            <w:vAlign w:val="center"/>
          </w:tcPr>
          <w:p>
            <w:pPr>
              <w:pStyle w:val="TableNumber"/>
            </w:pPr>
            <w:r>
              <w:t xml:space="preserve">0.274070</w:t>
              <w:br/>
              <w:t xml:space="preserve">0.284823</w:t>
            </w:r>
          </w:p>
        </w:tc>
      </w:tr>
    </w:tbl>
    <w:p>
      <w:pPr>
        <w:pStyle w:val="a"/>
        <w:spacing w:before="160"/>
      </w:pPr>
      <w:r>
        <w:t xml:space="preserve">US 整體 coverage 79.4127% → 80.6468%；normalized pinball 0.291245 → 0.291265。</w:t>
      </w:r>
    </w:p>
    <w:p>
      <w:pPr>
        <w:pStyle w:val="Decision"/>
      </w:pPr>
      <w:r>
        <w:t xml:space="preserve">表 10b｜TWSE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0.281697</w:t>
              <w:br/>
              <w:t xml:space="preserve">0.279246</w:t>
            </w:r>
          </w:p>
        </w:tc>
        <w:tc>
          <w:tcPr>
            <w:tcW w:w="2075" w:type="dxa"/>
            <w:shd w:fill="FFFFFF"/>
            <w:vAlign w:val="center"/>
          </w:tcPr>
          <w:p>
            <w:pPr>
              <w:pStyle w:val="TableNumber"/>
            </w:pPr>
            <w:r>
              <w:t xml:space="preserve">70.1051%</w:t>
              <w:br/>
              <w:t xml:space="preserve">74.3200%</w:t>
            </w:r>
          </w:p>
        </w:tc>
        <w:tc>
          <w:tcPr>
            <w:tcW w:w="2200" w:type="dxa"/>
            <w:shd w:fill="FFFFFF"/>
            <w:vAlign w:val="center"/>
          </w:tcPr>
          <w:p>
            <w:pPr>
              <w:pStyle w:val="TableNumber"/>
            </w:pPr>
            <w:r>
              <w:t xml:space="preserve">9.8949</w:t>
              <w:br/>
              <w:t xml:space="preserve">5.6800</w:t>
            </w:r>
          </w:p>
        </w:tc>
        <w:tc>
          <w:tcPr>
            <w:tcW w:w="2360" w:type="dxa"/>
            <w:shd w:fill="FFFFFF"/>
            <w:vAlign w:val="center"/>
          </w:tcPr>
          <w:p>
            <w:pPr>
              <w:pStyle w:val="TableNumber"/>
            </w:pPr>
            <w:r>
              <w:t xml:space="preserve">0.152119</w:t>
              <w:br/>
              <w:t xml:space="preserve">0.165114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0.290397</w:t>
              <w:br/>
              <w:t xml:space="preserve">0.289746</w:t>
            </w:r>
          </w:p>
        </w:tc>
        <w:tc>
          <w:tcPr>
            <w:tcW w:w="2075" w:type="dxa"/>
            <w:shd w:fill="F7F9FC"/>
            <w:vAlign w:val="center"/>
          </w:tcPr>
          <w:p>
            <w:pPr>
              <w:pStyle w:val="TableNumber"/>
            </w:pPr>
            <w:r>
              <w:t xml:space="preserve">72.0658%</w:t>
              <w:br/>
              <w:t xml:space="preserve">73.7905%</w:t>
            </w:r>
          </w:p>
        </w:tc>
        <w:tc>
          <w:tcPr>
            <w:tcW w:w="2200" w:type="dxa"/>
            <w:shd w:fill="F7F9FC"/>
            <w:vAlign w:val="center"/>
          </w:tcPr>
          <w:p>
            <w:pPr>
              <w:pStyle w:val="TableNumber"/>
            </w:pPr>
            <w:r>
              <w:t xml:space="preserve">7.9342</w:t>
              <w:br/>
              <w:t xml:space="preserve">6.2095</w:t>
            </w:r>
          </w:p>
        </w:tc>
        <w:tc>
          <w:tcPr>
            <w:tcW w:w="2360" w:type="dxa"/>
            <w:shd w:fill="F7F9FC"/>
            <w:vAlign w:val="center"/>
          </w:tcPr>
          <w:p>
            <w:pPr>
              <w:pStyle w:val="TableNumber"/>
            </w:pPr>
            <w:r>
              <w:t xml:space="preserve">0.053836</w:t>
              <w:br/>
              <w:t xml:space="preserve">0.056464</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0.284963</w:t>
              <w:br/>
              <w:t xml:space="preserve">0.283094</w:t>
            </w:r>
          </w:p>
        </w:tc>
        <w:tc>
          <w:tcPr>
            <w:tcW w:w="2075" w:type="dxa"/>
            <w:shd w:fill="FFFFFF"/>
            <w:vAlign w:val="center"/>
          </w:tcPr>
          <w:p>
            <w:pPr>
              <w:pStyle w:val="TableNumber"/>
            </w:pPr>
            <w:r>
              <w:t xml:space="preserve">71.5145%</w:t>
              <w:br/>
              <w:t xml:space="preserve">74.9641%</w:t>
            </w:r>
          </w:p>
        </w:tc>
        <w:tc>
          <w:tcPr>
            <w:tcW w:w="2200" w:type="dxa"/>
            <w:shd w:fill="FFFFFF"/>
            <w:vAlign w:val="center"/>
          </w:tcPr>
          <w:p>
            <w:pPr>
              <w:pStyle w:val="TableNumber"/>
            </w:pPr>
            <w:r>
              <w:t xml:space="preserve">8.4855</w:t>
              <w:br/>
              <w:t xml:space="preserve">5.0359</w:t>
            </w:r>
          </w:p>
        </w:tc>
        <w:tc>
          <w:tcPr>
            <w:tcW w:w="2360" w:type="dxa"/>
            <w:shd w:fill="FFFFFF"/>
            <w:vAlign w:val="center"/>
          </w:tcPr>
          <w:p>
            <w:pPr>
              <w:pStyle w:val="TableNumber"/>
            </w:pPr>
            <w:r>
              <w:t xml:space="preserve">0.077935</w:t>
              <w:br/>
              <w:t xml:space="preserve">0.084709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0.284318</w:t>
              <w:br/>
              <w:t xml:space="preserve">0.282684</w:t>
            </w:r>
          </w:p>
        </w:tc>
        <w:tc>
          <w:tcPr>
            <w:tcW w:w="2075" w:type="dxa"/>
            <w:shd w:fill="F7F9FC"/>
            <w:vAlign w:val="center"/>
          </w:tcPr>
          <w:p>
            <w:pPr>
              <w:pStyle w:val="TableNumber"/>
            </w:pPr>
            <w:r>
              <w:t xml:space="preserve">72.0342%</w:t>
              <w:br/>
              <w:t xml:space="preserve">75.2752%</w:t>
            </w:r>
          </w:p>
        </w:tc>
        <w:tc>
          <w:tcPr>
            <w:tcW w:w="2200" w:type="dxa"/>
            <w:shd w:fill="F7F9FC"/>
            <w:vAlign w:val="center"/>
          </w:tcPr>
          <w:p>
            <w:pPr>
              <w:pStyle w:val="TableNumber"/>
            </w:pPr>
            <w:r>
              <w:t xml:space="preserve">7.9658</w:t>
              <w:br/>
              <w:t xml:space="preserve">4.7248</w:t>
            </w:r>
          </w:p>
        </w:tc>
        <w:tc>
          <w:tcPr>
            <w:tcW w:w="2360" w:type="dxa"/>
            <w:shd w:fill="F7F9FC"/>
            <w:vAlign w:val="center"/>
          </w:tcPr>
          <w:p>
            <w:pPr>
              <w:pStyle w:val="TableNumber"/>
            </w:pPr>
            <w:r>
              <w:t xml:space="preserve">0.097587</w:t>
              <w:br/>
              <w:t xml:space="preserve">0.105361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0.280675</w:t>
              <w:br/>
              <w:t xml:space="preserve">0.279077</w:t>
            </w:r>
          </w:p>
        </w:tc>
        <w:tc>
          <w:tcPr>
            <w:tcW w:w="2075" w:type="dxa"/>
            <w:shd w:fill="FFFFFF"/>
            <w:vAlign w:val="center"/>
          </w:tcPr>
          <w:p>
            <w:pPr>
              <w:pStyle w:val="TableNumber"/>
            </w:pPr>
            <w:r>
              <w:t xml:space="preserve">72.0247%</w:t>
              <w:br/>
              <w:t xml:space="preserve">75.1110%</w:t>
            </w:r>
          </w:p>
        </w:tc>
        <w:tc>
          <w:tcPr>
            <w:tcW w:w="2200" w:type="dxa"/>
            <w:shd w:fill="FFFFFF"/>
            <w:vAlign w:val="center"/>
          </w:tcPr>
          <w:p>
            <w:pPr>
              <w:pStyle w:val="TableNumber"/>
            </w:pPr>
            <w:r>
              <w:t xml:space="preserve">7.9753</w:t>
              <w:br/>
              <w:t xml:space="preserve">4.8890</w:t>
            </w:r>
          </w:p>
        </w:tc>
        <w:tc>
          <w:tcPr>
            <w:tcW w:w="2360" w:type="dxa"/>
            <w:shd w:fill="FFFFFF"/>
            <w:vAlign w:val="center"/>
          </w:tcPr>
          <w:p>
            <w:pPr>
              <w:pStyle w:val="TableNumber"/>
            </w:pPr>
            <w:r>
              <w:t xml:space="preserve">0.114433</w:t>
              <w:br/>
              <w:t xml:space="preserve">0.122838</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0.277488</w:t>
              <w:br/>
              <w:t xml:space="preserve">0.275603</w:t>
            </w:r>
          </w:p>
        </w:tc>
        <w:tc>
          <w:tcPr>
            <w:tcW w:w="2075" w:type="dxa"/>
            <w:shd w:fill="F7F9FC"/>
            <w:vAlign w:val="center"/>
          </w:tcPr>
          <w:p>
            <w:pPr>
              <w:pStyle w:val="TableNumber"/>
            </w:pPr>
            <w:r>
              <w:t xml:space="preserve">71.3866%</w:t>
              <w:br/>
              <w:t xml:space="preserve">75.0778%</w:t>
            </w:r>
          </w:p>
        </w:tc>
        <w:tc>
          <w:tcPr>
            <w:tcW w:w="2200" w:type="dxa"/>
            <w:shd w:fill="F7F9FC"/>
            <w:vAlign w:val="center"/>
          </w:tcPr>
          <w:p>
            <w:pPr>
              <w:pStyle w:val="TableNumber"/>
            </w:pPr>
            <w:r>
              <w:t xml:space="preserve">8.6134</w:t>
              <w:br/>
              <w:t xml:space="preserve">4.9222</w:t>
            </w:r>
          </w:p>
        </w:tc>
        <w:tc>
          <w:tcPr>
            <w:tcW w:w="2360" w:type="dxa"/>
            <w:shd w:fill="F7F9FC"/>
            <w:vAlign w:val="center"/>
          </w:tcPr>
          <w:p>
            <w:pPr>
              <w:pStyle w:val="TableNumber"/>
            </w:pPr>
            <w:r>
              <w:t xml:space="preserve">0.127692</w:t>
              <w:br/>
              <w:t xml:space="preserve">0.138262</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0.278787</w:t>
              <w:br/>
              <w:t xml:space="preserve">0.276770</w:t>
            </w:r>
          </w:p>
        </w:tc>
        <w:tc>
          <w:tcPr>
            <w:tcW w:w="2075" w:type="dxa"/>
            <w:shd w:fill="FFFFFF"/>
            <w:vAlign w:val="center"/>
          </w:tcPr>
          <w:p>
            <w:pPr>
              <w:pStyle w:val="TableNumber"/>
            </w:pPr>
            <w:r>
              <w:t xml:space="preserve">70.9112%</w:t>
              <w:br/>
              <w:t xml:space="preserve">74.9925%</w:t>
            </w:r>
          </w:p>
        </w:tc>
        <w:tc>
          <w:tcPr>
            <w:tcW w:w="2200" w:type="dxa"/>
            <w:shd w:fill="FFFFFF"/>
            <w:vAlign w:val="center"/>
          </w:tcPr>
          <w:p>
            <w:pPr>
              <w:pStyle w:val="TableNumber"/>
            </w:pPr>
            <w:r>
              <w:t xml:space="preserve">9.0888</w:t>
              <w:br/>
              <w:t xml:space="preserve">5.0075</w:t>
            </w:r>
          </w:p>
        </w:tc>
        <w:tc>
          <w:tcPr>
            <w:tcW w:w="2360" w:type="dxa"/>
            <w:shd w:fill="FFFFFF"/>
            <w:vAlign w:val="center"/>
          </w:tcPr>
          <w:p>
            <w:pPr>
              <w:pStyle w:val="TableNumber"/>
            </w:pPr>
            <w:r>
              <w:t xml:space="preserve">0.141905</w:t>
              <w:br/>
              <w:t xml:space="preserve">0.153929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0.278463</w:t>
              <w:br/>
              <w:t xml:space="preserve">0.276230</w:t>
            </w:r>
          </w:p>
        </w:tc>
        <w:tc>
          <w:tcPr>
            <w:tcW w:w="2075" w:type="dxa"/>
            <w:shd w:fill="F7F9FC"/>
            <w:vAlign w:val="center"/>
          </w:tcPr>
          <w:p>
            <w:pPr>
              <w:pStyle w:val="TableNumber"/>
            </w:pPr>
            <w:r>
              <w:t xml:space="preserve">70.1799%</w:t>
              <w:br/>
              <w:t xml:space="preserve">74.2802%</w:t>
            </w:r>
          </w:p>
        </w:tc>
        <w:tc>
          <w:tcPr>
            <w:tcW w:w="2200" w:type="dxa"/>
            <w:shd w:fill="F7F9FC"/>
            <w:vAlign w:val="center"/>
          </w:tcPr>
          <w:p>
            <w:pPr>
              <w:pStyle w:val="TableNumber"/>
            </w:pPr>
            <w:r>
              <w:t xml:space="preserve">9.8201</w:t>
              <w:br/>
              <w:t xml:space="preserve">5.7198</w:t>
            </w:r>
          </w:p>
        </w:tc>
        <w:tc>
          <w:tcPr>
            <w:tcW w:w="2360" w:type="dxa"/>
            <w:shd w:fill="F7F9FC"/>
            <w:vAlign w:val="center"/>
          </w:tcPr>
          <w:p>
            <w:pPr>
              <w:pStyle w:val="TableNumber"/>
            </w:pPr>
            <w:r>
              <w:t xml:space="preserve">0.153116</w:t>
              <w:br/>
              <w:t xml:space="preserve">0.165545</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0.278320</w:t>
              <w:br/>
              <w:t xml:space="preserve">0.275831</w:t>
            </w:r>
          </w:p>
        </w:tc>
        <w:tc>
          <w:tcPr>
            <w:tcW w:w="2075" w:type="dxa"/>
            <w:shd w:fill="FFFFFF"/>
            <w:vAlign w:val="center"/>
          </w:tcPr>
          <w:p>
            <w:pPr>
              <w:pStyle w:val="TableNumber"/>
            </w:pPr>
            <w:r>
              <w:t xml:space="preserve">69.7914%</w:t>
              <w:br/>
              <w:t xml:space="preserve">74.5929%</w:t>
            </w:r>
          </w:p>
        </w:tc>
        <w:tc>
          <w:tcPr>
            <w:tcW w:w="2200" w:type="dxa"/>
            <w:shd w:fill="FFFFFF"/>
            <w:vAlign w:val="center"/>
          </w:tcPr>
          <w:p>
            <w:pPr>
              <w:pStyle w:val="TableNumber"/>
            </w:pPr>
            <w:r>
              <w:t xml:space="preserve">10.2086</w:t>
              <w:br/>
              <w:t xml:space="preserve">5.4071</w:t>
            </w:r>
          </w:p>
        </w:tc>
        <w:tc>
          <w:tcPr>
            <w:tcW w:w="2360" w:type="dxa"/>
            <w:shd w:fill="FFFFFF"/>
            <w:vAlign w:val="center"/>
          </w:tcPr>
          <w:p>
            <w:pPr>
              <w:pStyle w:val="TableNumber"/>
            </w:pPr>
            <w:r>
              <w:t xml:space="preserve">0.165064</w:t>
              <w:br/>
              <w:t xml:space="preserve">0.179370</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0.280512</w:t>
              <w:br/>
              <w:t xml:space="preserve">0.277623</w:t>
            </w:r>
          </w:p>
        </w:tc>
        <w:tc>
          <w:tcPr>
            <w:tcW w:w="2075" w:type="dxa"/>
            <w:shd w:fill="F7F9FC"/>
            <w:vAlign w:val="center"/>
          </w:tcPr>
          <w:p>
            <w:pPr>
              <w:pStyle w:val="TableNumber"/>
            </w:pPr>
            <w:r>
              <w:t xml:space="preserve">69.0301%</w:t>
              <w:br/>
              <w:t xml:space="preserve">73.9611%</w:t>
            </w:r>
          </w:p>
        </w:tc>
        <w:tc>
          <w:tcPr>
            <w:tcW w:w="2200" w:type="dxa"/>
            <w:shd w:fill="F7F9FC"/>
            <w:vAlign w:val="center"/>
          </w:tcPr>
          <w:p>
            <w:pPr>
              <w:pStyle w:val="TableNumber"/>
            </w:pPr>
            <w:r>
              <w:t xml:space="preserve">10.9699</w:t>
              <w:br/>
              <w:t xml:space="preserve">6.0389</w:t>
            </w:r>
          </w:p>
        </w:tc>
        <w:tc>
          <w:tcPr>
            <w:tcW w:w="2360" w:type="dxa"/>
            <w:shd w:fill="F7F9FC"/>
            <w:vAlign w:val="center"/>
          </w:tcPr>
          <w:p>
            <w:pPr>
              <w:pStyle w:val="TableNumber"/>
            </w:pPr>
            <w:r>
              <w:t xml:space="preserve">0.174617</w:t>
              <w:br/>
              <w:t xml:space="preserve">0.190409</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0.279703</w:t>
              <w:br/>
              <w:t xml:space="preserve">0.277163</w:t>
            </w:r>
          </w:p>
        </w:tc>
        <w:tc>
          <w:tcPr>
            <w:tcW w:w="2075" w:type="dxa"/>
            <w:shd w:fill="FFFFFF"/>
            <w:vAlign w:val="center"/>
          </w:tcPr>
          <w:p>
            <w:pPr>
              <w:pStyle w:val="TableNumber"/>
            </w:pPr>
            <w:r>
              <w:t xml:space="preserve">69.8435%</w:t>
              <w:br/>
              <w:t xml:space="preserve">74.0954%</w:t>
            </w:r>
          </w:p>
        </w:tc>
        <w:tc>
          <w:tcPr>
            <w:tcW w:w="2200" w:type="dxa"/>
            <w:shd w:fill="FFFFFF"/>
            <w:vAlign w:val="center"/>
          </w:tcPr>
          <w:p>
            <w:pPr>
              <w:pStyle w:val="TableNumber"/>
            </w:pPr>
            <w:r>
              <w:t xml:space="preserve">10.1565</w:t>
              <w:br/>
              <w:t xml:space="preserve">5.9046</w:t>
            </w:r>
          </w:p>
        </w:tc>
        <w:tc>
          <w:tcPr>
            <w:tcW w:w="2360" w:type="dxa"/>
            <w:shd w:fill="FFFFFF"/>
            <w:vAlign w:val="center"/>
          </w:tcPr>
          <w:p>
            <w:pPr>
              <w:pStyle w:val="TableNumber"/>
            </w:pPr>
            <w:r>
              <w:t xml:space="preserve">0.187321</w:t>
              <w:br/>
              <w:t xml:space="preserve">0.202767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0.282251</w:t>
              <w:br/>
              <w:t xml:space="preserve">0.278912</w:t>
            </w:r>
          </w:p>
        </w:tc>
        <w:tc>
          <w:tcPr>
            <w:tcW w:w="2075" w:type="dxa"/>
            <w:shd w:fill="F7F9FC"/>
            <w:vAlign w:val="center"/>
          </w:tcPr>
          <w:p>
            <w:pPr>
              <w:pStyle w:val="TableNumber"/>
            </w:pPr>
            <w:r>
              <w:t xml:space="preserve">68.5689%</w:t>
              <w:br/>
              <w:t xml:space="preserve">73.8126%</w:t>
            </w:r>
          </w:p>
        </w:tc>
        <w:tc>
          <w:tcPr>
            <w:tcW w:w="2200" w:type="dxa"/>
            <w:shd w:fill="F7F9FC"/>
            <w:vAlign w:val="center"/>
          </w:tcPr>
          <w:p>
            <w:pPr>
              <w:pStyle w:val="TableNumber"/>
            </w:pPr>
            <w:r>
              <w:t xml:space="preserve">11.4311</w:t>
              <w:br/>
              <w:t xml:space="preserve">6.1874</w:t>
            </w:r>
          </w:p>
        </w:tc>
        <w:tc>
          <w:tcPr>
            <w:tcW w:w="2360" w:type="dxa"/>
            <w:shd w:fill="F7F9FC"/>
            <w:vAlign w:val="center"/>
          </w:tcPr>
          <w:p>
            <w:pPr>
              <w:pStyle w:val="TableNumber"/>
            </w:pPr>
            <w:r>
              <w:t xml:space="preserve">0.194495</w:t>
              <w:br/>
              <w:t xml:space="preserve">0.212696</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0.281745</w:t>
              <w:br/>
              <w:t xml:space="preserve">0.278167</w:t>
            </w:r>
          </w:p>
        </w:tc>
        <w:tc>
          <w:tcPr>
            <w:tcW w:w="2075" w:type="dxa"/>
            <w:shd w:fill="FFFFFF"/>
            <w:vAlign w:val="center"/>
          </w:tcPr>
          <w:p>
            <w:pPr>
              <w:pStyle w:val="TableNumber"/>
            </w:pPr>
            <w:r>
              <w:t xml:space="preserve">68.0950%</w:t>
              <w:br/>
              <w:t xml:space="preserve">73.6089%</w:t>
            </w:r>
          </w:p>
        </w:tc>
        <w:tc>
          <w:tcPr>
            <w:tcW w:w="2200" w:type="dxa"/>
            <w:shd w:fill="FFFFFF"/>
            <w:vAlign w:val="center"/>
          </w:tcPr>
          <w:p>
            <w:pPr>
              <w:pStyle w:val="TableNumber"/>
            </w:pPr>
            <w:r>
              <w:t xml:space="preserve">11.9050</w:t>
              <w:br/>
              <w:t xml:space="preserve">6.3911</w:t>
            </w:r>
          </w:p>
        </w:tc>
        <w:tc>
          <w:tcPr>
            <w:tcW w:w="2360" w:type="dxa"/>
            <w:shd w:fill="FFFFFF"/>
            <w:vAlign w:val="center"/>
          </w:tcPr>
          <w:p>
            <w:pPr>
              <w:pStyle w:val="TableNumber"/>
            </w:pPr>
            <w:r>
              <w:t xml:space="preserve">0.203756</w:t>
              <w:br/>
              <w:t xml:space="preserve">0.223025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0.281537</w:t>
              <w:br/>
              <w:t xml:space="preserve">0.277707</w:t>
            </w:r>
          </w:p>
        </w:tc>
        <w:tc>
          <w:tcPr>
            <w:tcW w:w="2075" w:type="dxa"/>
            <w:shd w:fill="F7F9FC"/>
            <w:vAlign w:val="center"/>
          </w:tcPr>
          <w:p>
            <w:pPr>
              <w:pStyle w:val="TableNumber"/>
            </w:pPr>
            <w:r>
              <w:t xml:space="preserve">67.9086%</w:t>
              <w:br/>
              <w:t xml:space="preserve">73.5268%</w:t>
            </w:r>
          </w:p>
        </w:tc>
        <w:tc>
          <w:tcPr>
            <w:tcW w:w="2200" w:type="dxa"/>
            <w:shd w:fill="F7F9FC"/>
            <w:vAlign w:val="center"/>
          </w:tcPr>
          <w:p>
            <w:pPr>
              <w:pStyle w:val="TableNumber"/>
            </w:pPr>
            <w:r>
              <w:t xml:space="preserve">12.0914</w:t>
              <w:br/>
              <w:t xml:space="preserve">6.4732</w:t>
            </w:r>
          </w:p>
        </w:tc>
        <w:tc>
          <w:tcPr>
            <w:tcW w:w="2360" w:type="dxa"/>
            <w:shd w:fill="F7F9FC"/>
            <w:vAlign w:val="center"/>
          </w:tcPr>
          <w:p>
            <w:pPr>
              <w:pStyle w:val="TableNumber"/>
            </w:pPr>
            <w:r>
              <w:t xml:space="preserve">0.213579</w:t>
              <w:br/>
              <w:t xml:space="preserve">0.233060</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0.284600</w:t>
              <w:br/>
              <w:t xml:space="preserve">0.280834</w:t>
            </w:r>
          </w:p>
        </w:tc>
        <w:tc>
          <w:tcPr>
            <w:tcW w:w="2075" w:type="dxa"/>
            <w:shd w:fill="FFFFFF"/>
            <w:vAlign w:val="center"/>
          </w:tcPr>
          <w:p>
            <w:pPr>
              <w:pStyle w:val="TableNumber"/>
            </w:pPr>
            <w:r>
              <w:t xml:space="preserve">68.1171%</w:t>
              <w:br/>
              <w:t xml:space="preserve">73.3909%</w:t>
            </w:r>
          </w:p>
        </w:tc>
        <w:tc>
          <w:tcPr>
            <w:tcW w:w="2200" w:type="dxa"/>
            <w:shd w:fill="FFFFFF"/>
            <w:vAlign w:val="center"/>
          </w:tcPr>
          <w:p>
            <w:pPr>
              <w:pStyle w:val="TableNumber"/>
            </w:pPr>
            <w:r>
              <w:t xml:space="preserve">11.8829</w:t>
              <w:br/>
              <w:t xml:space="preserve">6.6091</w:t>
            </w:r>
          </w:p>
        </w:tc>
        <w:tc>
          <w:tcPr>
            <w:tcW w:w="2360" w:type="dxa"/>
            <w:shd w:fill="FFFFFF"/>
            <w:vAlign w:val="center"/>
          </w:tcPr>
          <w:p>
            <w:pPr>
              <w:pStyle w:val="TableNumber"/>
            </w:pPr>
            <w:r>
              <w:t xml:space="preserve">0.224330</w:t>
              <w:br/>
              <w:t xml:space="preserve">0.243161</w:t>
            </w:r>
          </w:p>
        </w:tc>
      </w:tr>
    </w:tbl>
    <w:p>
      <w:pPr>
        <w:pStyle w:val="a"/>
        <w:spacing w:before="160"/>
      </w:pPr>
      <w:r>
        <w:t xml:space="preserve">TWSE 整體 coverage 70.1051% → 74.3200%；normalized pinball 0.281697 → 0.279246。</w:t>
      </w:r>
    </w:p>
    <w:p>
      <w:pPr>
        <w:pStyle w:val="Decision"/>
      </w:pPr>
      <w:r>
        <w:t xml:space="preserve">表 10c｜TPEX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0.316772</w:t>
              <w:br/>
              <w:t xml:space="preserve">0.315218</w:t>
            </w:r>
          </w:p>
        </w:tc>
        <w:tc>
          <w:tcPr>
            <w:tcW w:w="2075" w:type="dxa"/>
            <w:shd w:fill="FFFFFF"/>
            <w:vAlign w:val="center"/>
          </w:tcPr>
          <w:p>
            <w:pPr>
              <w:pStyle w:val="TableNumber"/>
            </w:pPr>
            <w:r>
              <w:t xml:space="preserve">70.7311%</w:t>
              <w:br/>
              <w:t xml:space="preserve">73.2069%</w:t>
            </w:r>
          </w:p>
        </w:tc>
        <w:tc>
          <w:tcPr>
            <w:tcW w:w="2200" w:type="dxa"/>
            <w:shd w:fill="FFFFFF"/>
            <w:vAlign w:val="center"/>
          </w:tcPr>
          <w:p>
            <w:pPr>
              <w:pStyle w:val="TableNumber"/>
            </w:pPr>
            <w:r>
              <w:t xml:space="preserve">9.2689</w:t>
              <w:br/>
              <w:t xml:space="preserve">6.7931</w:t>
            </w:r>
          </w:p>
        </w:tc>
        <w:tc>
          <w:tcPr>
            <w:tcW w:w="2360" w:type="dxa"/>
            <w:shd w:fill="FFFFFF"/>
            <w:vAlign w:val="center"/>
          </w:tcPr>
          <w:p>
            <w:pPr>
              <w:pStyle w:val="TableNumber"/>
            </w:pPr>
            <w:r>
              <w:t xml:space="preserve">0.173344</w:t>
              <w:br/>
              <w:t xml:space="preserve">0.185805</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0.326694</w:t>
              <w:br/>
              <w:t xml:space="preserve">0.325751</w:t>
            </w:r>
          </w:p>
        </w:tc>
        <w:tc>
          <w:tcPr>
            <w:tcW w:w="2075" w:type="dxa"/>
            <w:shd w:fill="F7F9FC"/>
            <w:vAlign w:val="center"/>
          </w:tcPr>
          <w:p>
            <w:pPr>
              <w:pStyle w:val="TableNumber"/>
            </w:pPr>
            <w:r>
              <w:t xml:space="preserve">72.4948%</w:t>
              <w:br/>
              <w:t xml:space="preserve">74.0738%</w:t>
            </w:r>
          </w:p>
        </w:tc>
        <w:tc>
          <w:tcPr>
            <w:tcW w:w="2200" w:type="dxa"/>
            <w:shd w:fill="F7F9FC"/>
            <w:vAlign w:val="center"/>
          </w:tcPr>
          <w:p>
            <w:pPr>
              <w:pStyle w:val="TableNumber"/>
            </w:pPr>
            <w:r>
              <w:t xml:space="preserve">7.5052</w:t>
              <w:br/>
              <w:t xml:space="preserve">5.9262</w:t>
            </w:r>
          </w:p>
        </w:tc>
        <w:tc>
          <w:tcPr>
            <w:tcW w:w="2360" w:type="dxa"/>
            <w:shd w:fill="F7F9FC"/>
            <w:vAlign w:val="center"/>
          </w:tcPr>
          <w:p>
            <w:pPr>
              <w:pStyle w:val="TableNumber"/>
            </w:pPr>
            <w:r>
              <w:t xml:space="preserve">0.061461</w:t>
              <w:br/>
              <w:t xml:space="preserve">0.064186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0.320552</w:t>
              <w:br/>
              <w:t xml:space="preserve">0.319203</w:t>
            </w:r>
          </w:p>
        </w:tc>
        <w:tc>
          <w:tcPr>
            <w:tcW w:w="2075" w:type="dxa"/>
            <w:shd w:fill="FFFFFF"/>
            <w:vAlign w:val="center"/>
          </w:tcPr>
          <w:p>
            <w:pPr>
              <w:pStyle w:val="TableNumber"/>
            </w:pPr>
            <w:r>
              <w:t xml:space="preserve">71.7213%</w:t>
              <w:br/>
              <w:t xml:space="preserve">73.5336%</w:t>
            </w:r>
          </w:p>
        </w:tc>
        <w:tc>
          <w:tcPr>
            <w:tcW w:w="2200" w:type="dxa"/>
            <w:shd w:fill="FFFFFF"/>
            <w:vAlign w:val="center"/>
          </w:tcPr>
          <w:p>
            <w:pPr>
              <w:pStyle w:val="TableNumber"/>
            </w:pPr>
            <w:r>
              <w:t xml:space="preserve">8.2787</w:t>
              <w:br/>
              <w:t xml:space="preserve">6.4664</w:t>
            </w:r>
          </w:p>
        </w:tc>
        <w:tc>
          <w:tcPr>
            <w:tcW w:w="2360" w:type="dxa"/>
            <w:shd w:fill="FFFFFF"/>
            <w:vAlign w:val="center"/>
          </w:tcPr>
          <w:p>
            <w:pPr>
              <w:pStyle w:val="TableNumber"/>
            </w:pPr>
            <w:r>
              <w:t xml:space="preserve">0.088987</w:t>
              <w:br/>
              <w:t xml:space="preserve">0.094137</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0.318258</w:t>
              <w:br/>
              <w:t xml:space="preserve">0.317196</w:t>
            </w:r>
          </w:p>
        </w:tc>
        <w:tc>
          <w:tcPr>
            <w:tcW w:w="2075" w:type="dxa"/>
            <w:shd w:fill="F7F9FC"/>
            <w:vAlign w:val="center"/>
          </w:tcPr>
          <w:p>
            <w:pPr>
              <w:pStyle w:val="TableNumber"/>
            </w:pPr>
            <w:r>
              <w:t xml:space="preserve">71.8012%</w:t>
              <w:br/>
              <w:t xml:space="preserve">73.5336%</w:t>
            </w:r>
          </w:p>
        </w:tc>
        <w:tc>
          <w:tcPr>
            <w:tcW w:w="2200" w:type="dxa"/>
            <w:shd w:fill="F7F9FC"/>
            <w:vAlign w:val="center"/>
          </w:tcPr>
          <w:p>
            <w:pPr>
              <w:pStyle w:val="TableNumber"/>
            </w:pPr>
            <w:r>
              <w:t xml:space="preserve">8.1988</w:t>
              <w:br/>
              <w:t xml:space="preserve">6.4664</w:t>
            </w:r>
          </w:p>
        </w:tc>
        <w:tc>
          <w:tcPr>
            <w:tcW w:w="2360" w:type="dxa"/>
            <w:shd w:fill="F7F9FC"/>
            <w:vAlign w:val="center"/>
          </w:tcPr>
          <w:p>
            <w:pPr>
              <w:pStyle w:val="TableNumber"/>
            </w:pPr>
            <w:r>
              <w:t xml:space="preserve">0.111049</w:t>
              <w:br/>
              <w:t xml:space="preserve">0.117381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0.315648</w:t>
              <w:br/>
              <w:t xml:space="preserve">0.314634</w:t>
            </w:r>
          </w:p>
        </w:tc>
        <w:tc>
          <w:tcPr>
            <w:tcW w:w="2075" w:type="dxa"/>
            <w:shd w:fill="FFFFFF"/>
            <w:vAlign w:val="center"/>
          </w:tcPr>
          <w:p>
            <w:pPr>
              <w:pStyle w:val="TableNumber"/>
            </w:pPr>
            <w:r>
              <w:t xml:space="preserve">72.1528%</w:t>
              <w:br/>
              <w:t xml:space="preserve">73.7062%</w:t>
            </w:r>
          </w:p>
        </w:tc>
        <w:tc>
          <w:tcPr>
            <w:tcW w:w="2200" w:type="dxa"/>
            <w:shd w:fill="FFFFFF"/>
            <w:vAlign w:val="center"/>
          </w:tcPr>
          <w:p>
            <w:pPr>
              <w:pStyle w:val="TableNumber"/>
            </w:pPr>
            <w:r>
              <w:t xml:space="preserve">7.8472</w:t>
              <w:br/>
              <w:t xml:space="preserve">6.2938</w:t>
            </w:r>
          </w:p>
        </w:tc>
        <w:tc>
          <w:tcPr>
            <w:tcW w:w="2360" w:type="dxa"/>
            <w:shd w:fill="FFFFFF"/>
            <w:vAlign w:val="center"/>
          </w:tcPr>
          <w:p>
            <w:pPr>
              <w:pStyle w:val="TableNumber"/>
            </w:pPr>
            <w:r>
              <w:t xml:space="preserve">0.129975</w:t>
              <w:br/>
              <w:t xml:space="preserve">0.137304</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0.311965</w:t>
              <w:br/>
              <w:t xml:space="preserve">0.310534</w:t>
            </w:r>
          </w:p>
        </w:tc>
        <w:tc>
          <w:tcPr>
            <w:tcW w:w="2075" w:type="dxa"/>
            <w:shd w:fill="F7F9FC"/>
            <w:vAlign w:val="center"/>
          </w:tcPr>
          <w:p>
            <w:pPr>
              <w:pStyle w:val="TableNumber"/>
            </w:pPr>
            <w:r>
              <w:t xml:space="preserve">71.3920%</w:t>
              <w:br/>
              <w:t xml:space="preserve">73.5592%</w:t>
            </w:r>
          </w:p>
        </w:tc>
        <w:tc>
          <w:tcPr>
            <w:tcW w:w="2200" w:type="dxa"/>
            <w:shd w:fill="F7F9FC"/>
            <w:vAlign w:val="center"/>
          </w:tcPr>
          <w:p>
            <w:pPr>
              <w:pStyle w:val="TableNumber"/>
            </w:pPr>
            <w:r>
              <w:t xml:space="preserve">8.6080</w:t>
              <w:br/>
              <w:t xml:space="preserve">6.4408</w:t>
            </w:r>
          </w:p>
        </w:tc>
        <w:tc>
          <w:tcPr>
            <w:tcW w:w="2360" w:type="dxa"/>
            <w:shd w:fill="F7F9FC"/>
            <w:vAlign w:val="center"/>
          </w:tcPr>
          <w:p>
            <w:pPr>
              <w:pStyle w:val="TableNumber"/>
            </w:pPr>
            <w:r>
              <w:t xml:space="preserve">0.145364</w:t>
              <w:br/>
              <w:t xml:space="preserve">0.155717</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0.312965</w:t>
              <w:br/>
              <w:t xml:space="preserve">0.311499</w:t>
            </w:r>
          </w:p>
        </w:tc>
        <w:tc>
          <w:tcPr>
            <w:tcW w:w="2075" w:type="dxa"/>
            <w:shd w:fill="FFFFFF"/>
            <w:vAlign w:val="center"/>
          </w:tcPr>
          <w:p>
            <w:pPr>
              <w:pStyle w:val="TableNumber"/>
            </w:pPr>
            <w:r>
              <w:t xml:space="preserve">71.5327%</w:t>
              <w:br/>
              <w:t xml:space="preserve">73.9747%</w:t>
            </w:r>
          </w:p>
        </w:tc>
        <w:tc>
          <w:tcPr>
            <w:tcW w:w="2200" w:type="dxa"/>
            <w:shd w:fill="FFFFFF"/>
            <w:vAlign w:val="center"/>
          </w:tcPr>
          <w:p>
            <w:pPr>
              <w:pStyle w:val="TableNumber"/>
            </w:pPr>
            <w:r>
              <w:t xml:space="preserve">8.4673</w:t>
              <w:br/>
              <w:t xml:space="preserve">6.0253</w:t>
            </w:r>
          </w:p>
        </w:tc>
        <w:tc>
          <w:tcPr>
            <w:tcW w:w="2360" w:type="dxa"/>
            <w:shd w:fill="FFFFFF"/>
            <w:vAlign w:val="center"/>
          </w:tcPr>
          <w:p>
            <w:pPr>
              <w:pStyle w:val="TableNumber"/>
            </w:pPr>
            <w:r>
              <w:t xml:space="preserve">0.161546</w:t>
              <w:br/>
              <w:t xml:space="preserve">0.173256</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0.313570</w:t>
              <w:br/>
              <w:t xml:space="preserve">0.311986</w:t>
            </w:r>
          </w:p>
        </w:tc>
        <w:tc>
          <w:tcPr>
            <w:tcW w:w="2075" w:type="dxa"/>
            <w:shd w:fill="F7F9FC"/>
            <w:vAlign w:val="center"/>
          </w:tcPr>
          <w:p>
            <w:pPr>
              <w:pStyle w:val="TableNumber"/>
            </w:pPr>
            <w:r>
              <w:t xml:space="preserve">70.6345%</w:t>
              <w:br/>
              <w:t xml:space="preserve">73.2619%</w:t>
            </w:r>
          </w:p>
        </w:tc>
        <w:tc>
          <w:tcPr>
            <w:tcW w:w="2200" w:type="dxa"/>
            <w:shd w:fill="F7F9FC"/>
            <w:vAlign w:val="center"/>
          </w:tcPr>
          <w:p>
            <w:pPr>
              <w:pStyle w:val="TableNumber"/>
            </w:pPr>
            <w:r>
              <w:t xml:space="preserve">9.3655</w:t>
              <w:br/>
              <w:t xml:space="preserve">6.7381</w:t>
            </w:r>
          </w:p>
        </w:tc>
        <w:tc>
          <w:tcPr>
            <w:tcW w:w="2360" w:type="dxa"/>
            <w:shd w:fill="F7F9FC"/>
            <w:vAlign w:val="center"/>
          </w:tcPr>
          <w:p>
            <w:pPr>
              <w:pStyle w:val="TableNumber"/>
            </w:pPr>
            <w:r>
              <w:t xml:space="preserve">0.174214</w:t>
              <w:br/>
              <w:t xml:space="preserve">0.186756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0.313980</w:t>
              <w:br/>
              <w:t xml:space="preserve">0.312233</w:t>
            </w:r>
          </w:p>
        </w:tc>
        <w:tc>
          <w:tcPr>
            <w:tcW w:w="2075" w:type="dxa"/>
            <w:shd w:fill="FFFFFF"/>
            <w:vAlign w:val="center"/>
          </w:tcPr>
          <w:p>
            <w:pPr>
              <w:pStyle w:val="TableNumber"/>
            </w:pPr>
            <w:r>
              <w:t xml:space="preserve">70.6025%</w:t>
              <w:br/>
              <w:t xml:space="preserve">73.6072%</w:t>
            </w:r>
          </w:p>
        </w:tc>
        <w:tc>
          <w:tcPr>
            <w:tcW w:w="2200" w:type="dxa"/>
            <w:shd w:fill="FFFFFF"/>
            <w:vAlign w:val="center"/>
          </w:tcPr>
          <w:p>
            <w:pPr>
              <w:pStyle w:val="TableNumber"/>
            </w:pPr>
            <w:r>
              <w:t xml:space="preserve">9.3975</w:t>
              <w:br/>
              <w:t xml:space="preserve">6.3928</w:t>
            </w:r>
          </w:p>
        </w:tc>
        <w:tc>
          <w:tcPr>
            <w:tcW w:w="2360" w:type="dxa"/>
            <w:shd w:fill="FFFFFF"/>
            <w:vAlign w:val="center"/>
          </w:tcPr>
          <w:p>
            <w:pPr>
              <w:pStyle w:val="TableNumber"/>
            </w:pPr>
            <w:r>
              <w:t xml:space="preserve">0.188238</w:t>
              <w:br/>
              <w:t xml:space="preserve">0.203058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0.315414</w:t>
              <w:br/>
              <w:t xml:space="preserve">0.313553</w:t>
            </w:r>
          </w:p>
        </w:tc>
        <w:tc>
          <w:tcPr>
            <w:tcW w:w="2075" w:type="dxa"/>
            <w:shd w:fill="F7F9FC"/>
            <w:vAlign w:val="center"/>
          </w:tcPr>
          <w:p>
            <w:pPr>
              <w:pStyle w:val="TableNumber"/>
            </w:pPr>
            <w:r>
              <w:t xml:space="preserve">70.2797%</w:t>
              <w:br/>
              <w:t xml:space="preserve">73.3003%</w:t>
            </w:r>
          </w:p>
        </w:tc>
        <w:tc>
          <w:tcPr>
            <w:tcW w:w="2200" w:type="dxa"/>
            <w:shd w:fill="F7F9FC"/>
            <w:vAlign w:val="center"/>
          </w:tcPr>
          <w:p>
            <w:pPr>
              <w:pStyle w:val="TableNumber"/>
            </w:pPr>
            <w:r>
              <w:t xml:space="preserve">9.7203</w:t>
              <w:br/>
              <w:t xml:space="preserve">6.6997</w:t>
            </w:r>
          </w:p>
        </w:tc>
        <w:tc>
          <w:tcPr>
            <w:tcW w:w="2360" w:type="dxa"/>
            <w:shd w:fill="F7F9FC"/>
            <w:vAlign w:val="center"/>
          </w:tcPr>
          <w:p>
            <w:pPr>
              <w:pStyle w:val="TableNumber"/>
            </w:pPr>
            <w:r>
              <w:t xml:space="preserve">0.199216</w:t>
              <w:br/>
              <w:t xml:space="preserve">0.215360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0.314592</w:t>
              <w:br/>
              <w:t xml:space="preserve">0.313118</w:t>
            </w:r>
          </w:p>
        </w:tc>
        <w:tc>
          <w:tcPr>
            <w:tcW w:w="2075" w:type="dxa"/>
            <w:shd w:fill="FFFFFF"/>
            <w:vAlign w:val="center"/>
          </w:tcPr>
          <w:p>
            <w:pPr>
              <w:pStyle w:val="TableNumber"/>
            </w:pPr>
            <w:r>
              <w:t xml:space="preserve">70.8966%</w:t>
              <w:br/>
              <w:t xml:space="preserve">73.3291%</w:t>
            </w:r>
          </w:p>
        </w:tc>
        <w:tc>
          <w:tcPr>
            <w:tcW w:w="2200" w:type="dxa"/>
            <w:shd w:fill="FFFFFF"/>
            <w:vAlign w:val="center"/>
          </w:tcPr>
          <w:p>
            <w:pPr>
              <w:pStyle w:val="TableNumber"/>
            </w:pPr>
            <w:r>
              <w:t xml:space="preserve">9.1034</w:t>
              <w:br/>
              <w:t xml:space="preserve">6.6709</w:t>
            </w:r>
          </w:p>
        </w:tc>
        <w:tc>
          <w:tcPr>
            <w:tcW w:w="2360" w:type="dxa"/>
            <w:shd w:fill="FFFFFF"/>
            <w:vAlign w:val="center"/>
          </w:tcPr>
          <w:p>
            <w:pPr>
              <w:pStyle w:val="TableNumber"/>
            </w:pPr>
            <w:r>
              <w:t xml:space="preserve">0.213486</w:t>
              <w:br/>
              <w:t xml:space="preserve">0.228757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0.317225</w:t>
              <w:br/>
              <w:t xml:space="preserve">0.315349</w:t>
            </w:r>
          </w:p>
        </w:tc>
        <w:tc>
          <w:tcPr>
            <w:tcW w:w="2075" w:type="dxa"/>
            <w:shd w:fill="F7F9FC"/>
            <w:vAlign w:val="center"/>
          </w:tcPr>
          <w:p>
            <w:pPr>
              <w:pStyle w:val="TableNumber"/>
            </w:pPr>
            <w:r>
              <w:t xml:space="preserve">69.9345%</w:t>
              <w:br/>
              <w:t xml:space="preserve">72.9679%</w:t>
            </w:r>
          </w:p>
        </w:tc>
        <w:tc>
          <w:tcPr>
            <w:tcW w:w="2200" w:type="dxa"/>
            <w:shd w:fill="F7F9FC"/>
            <w:vAlign w:val="center"/>
          </w:tcPr>
          <w:p>
            <w:pPr>
              <w:pStyle w:val="TableNumber"/>
            </w:pPr>
            <w:r>
              <w:t xml:space="preserve">10.0655</w:t>
              <w:br/>
              <w:t xml:space="preserve">7.0321</w:t>
            </w:r>
          </w:p>
        </w:tc>
        <w:tc>
          <w:tcPr>
            <w:tcW w:w="2360" w:type="dxa"/>
            <w:shd w:fill="F7F9FC"/>
            <w:vAlign w:val="center"/>
          </w:tcPr>
          <w:p>
            <w:pPr>
              <w:pStyle w:val="TableNumber"/>
            </w:pPr>
            <w:r>
              <w:t xml:space="preserve">0.221404</w:t>
              <w:br/>
              <w:t xml:space="preserve">0.239618</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0.316981</w:t>
              <w:br/>
              <w:t xml:space="preserve">0.314946</w:t>
            </w:r>
          </w:p>
        </w:tc>
        <w:tc>
          <w:tcPr>
            <w:tcW w:w="2075" w:type="dxa"/>
            <w:shd w:fill="FFFFFF"/>
            <w:vAlign w:val="center"/>
          </w:tcPr>
          <w:p>
            <w:pPr>
              <w:pStyle w:val="TableNumber"/>
            </w:pPr>
            <w:r>
              <w:t xml:space="preserve">69.1897%</w:t>
              <w:br/>
              <w:t xml:space="preserve">72.4341%</w:t>
            </w:r>
          </w:p>
        </w:tc>
        <w:tc>
          <w:tcPr>
            <w:tcW w:w="2200" w:type="dxa"/>
            <w:shd w:fill="FFFFFF"/>
            <w:vAlign w:val="center"/>
          </w:tcPr>
          <w:p>
            <w:pPr>
              <w:pStyle w:val="TableNumber"/>
            </w:pPr>
            <w:r>
              <w:t xml:space="preserve">10.8103</w:t>
              <w:br/>
              <w:t xml:space="preserve">7.5659</w:t>
            </w:r>
          </w:p>
        </w:tc>
        <w:tc>
          <w:tcPr>
            <w:tcW w:w="2360" w:type="dxa"/>
            <w:shd w:fill="FFFFFF"/>
            <w:vAlign w:val="center"/>
          </w:tcPr>
          <w:p>
            <w:pPr>
              <w:pStyle w:val="TableNumber"/>
            </w:pPr>
            <w:r>
              <w:t xml:space="preserve">0.232345</w:t>
              <w:br/>
              <w:t xml:space="preserve">0.251121</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0.317001</w:t>
              <w:br/>
              <w:t xml:space="preserve">0.315028</w:t>
            </w:r>
          </w:p>
        </w:tc>
        <w:tc>
          <w:tcPr>
            <w:tcW w:w="2075" w:type="dxa"/>
            <w:shd w:fill="F7F9FC"/>
            <w:vAlign w:val="center"/>
          </w:tcPr>
          <w:p>
            <w:pPr>
              <w:pStyle w:val="TableNumber"/>
            </w:pPr>
            <w:r>
              <w:t xml:space="preserve">68.8669%</w:t>
              <w:br/>
              <w:t xml:space="preserve">72.0121%</w:t>
            </w:r>
          </w:p>
        </w:tc>
        <w:tc>
          <w:tcPr>
            <w:tcW w:w="2200" w:type="dxa"/>
            <w:shd w:fill="F7F9FC"/>
            <w:vAlign w:val="center"/>
          </w:tcPr>
          <w:p>
            <w:pPr>
              <w:pStyle w:val="TableNumber"/>
            </w:pPr>
            <w:r>
              <w:t xml:space="preserve">11.1331</w:t>
              <w:br/>
              <w:t xml:space="preserve">7.9879</w:t>
            </w:r>
          </w:p>
        </w:tc>
        <w:tc>
          <w:tcPr>
            <w:tcW w:w="2360" w:type="dxa"/>
            <w:shd w:fill="F7F9FC"/>
            <w:vAlign w:val="center"/>
          </w:tcPr>
          <w:p>
            <w:pPr>
              <w:pStyle w:val="TableNumber"/>
            </w:pPr>
            <w:r>
              <w:t xml:space="preserve">0.244125</w:t>
              <w:br/>
              <w:t xml:space="preserve">0.261996</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0.319970</w:t>
              <w:br/>
              <w:t xml:space="preserve">0.318017</w:t>
            </w:r>
          </w:p>
        </w:tc>
        <w:tc>
          <w:tcPr>
            <w:tcW w:w="2075" w:type="dxa"/>
            <w:shd w:fill="FFFFFF"/>
            <w:vAlign w:val="center"/>
          </w:tcPr>
          <w:p>
            <w:pPr>
              <w:pStyle w:val="TableNumber"/>
            </w:pPr>
            <w:r>
              <w:t xml:space="preserve">68.7358%</w:t>
              <w:br/>
              <w:t xml:space="preserve">71.6030%</w:t>
            </w:r>
          </w:p>
        </w:tc>
        <w:tc>
          <w:tcPr>
            <w:tcW w:w="2200" w:type="dxa"/>
            <w:shd w:fill="FFFFFF"/>
            <w:vAlign w:val="center"/>
          </w:tcPr>
          <w:p>
            <w:pPr>
              <w:pStyle w:val="TableNumber"/>
            </w:pPr>
            <w:r>
              <w:t xml:space="preserve">11.2642</w:t>
              <w:br/>
              <w:t xml:space="preserve">8.3970</w:t>
            </w:r>
          </w:p>
        </w:tc>
        <w:tc>
          <w:tcPr>
            <w:tcW w:w="2360" w:type="dxa"/>
            <w:shd w:fill="FFFFFF"/>
            <w:vAlign w:val="center"/>
          </w:tcPr>
          <w:p>
            <w:pPr>
              <w:pStyle w:val="TableNumber"/>
            </w:pPr>
            <w:r>
              <w:t xml:space="preserve">0.255405</w:t>
              <w:br/>
              <w:t xml:space="preserve">0.272618</w:t>
            </w:r>
          </w:p>
        </w:tc>
      </w:tr>
    </w:tbl>
    <w:p>
      <w:pPr>
        <w:pStyle w:val="a"/>
        <w:spacing w:before="160"/>
      </w:pPr>
      <w:r>
        <w:t xml:space="preserve">TPEX 整體 coverage 70.7311% → 73.2069%；normalized pinball 0.316772 → 0.315218。</w:t>
      </w:r>
    </w:p>
    <w:p>
      <w:pPr>
        <w:pStyle w:val="a"/>
      </w:pPr>
      <w:r>
        <w:t xml:space="preserve">市場 coverage 可能有升有降，也可能超過 80%；coverage error 與 width 必須同時評估，不能以整體接近目標推論所有子群均校準成功。這批 calibrated JSON 沒有 by_month／by_market_month，也沒有分 provider 的校準結果；原始 provider／year 切片仍保留 raw，缺少的校準切片不以零或推估值補上。</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年度</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00" w:type="dxa"/>
            <w:shd w:val="clear" w:fill="DCE6F1"/>
            <w:vAlign w:val="center"/>
          </w:tcPr>
          <w:p>
            <w:pPr>
              <w:pStyle w:val="TableHeader"/>
            </w:pPr>
            <w:r>
              <w:t>平均方向</w:t>
            </w:r>
          </w:p>
        </w:tc>
        <w:tc>
          <w:tcPr>
            <w:tcW w:w="1060" w:type="dxa"/>
            <w:shd w:val="clear" w:fill="DCE6F1"/>
            <w:vAlign w:val="center"/>
          </w:tcPr>
          <w:p>
            <w:pPr>
              <w:pStyle w:val="TableHeader"/>
            </w:pPr>
            <w:r>
              <w:t>平均 Coverage</w:t>
            </w:r>
          </w:p>
        </w:tc>
      </w:tr>
      <w:tr>
        <w:trPr>
          <w:cantSplit/>
        </w:trPr>
        <w:tc>
          <w:tcPr>
            <w:tcW w:w="1300" w:type="dxa"/>
            <w:vAlign w:val="center"/>
          </w:tcPr>
          <w:p>
            <w:pPr>
              <w:pStyle w:val="TableText"/>
            </w:pPr>
            <w:r>
              <w:t>2025</w:t>
            </w:r>
          </w:p>
        </w:tc>
        <w:tc>
          <w:tcPr>
            <w:tcW w:w="1200" w:type="dxa"/>
            <w:vAlign w:val="center"/>
          </w:tcPr>
          <w:p>
            <w:pPr>
              <w:pStyle w:val="TableNumber"/>
            </w:pPr>
            <w:r>
              <w:t>106,394</w:t>
            </w:r>
          </w:p>
        </w:tc>
        <w:tc>
          <w:tcPr>
            <w:tcW w:w="1400" w:type="dxa"/>
            <w:vAlign w:val="center"/>
          </w:tcPr>
          <w:p>
            <w:pPr>
              <w:pStyle w:val="TableNumber"/>
            </w:pPr>
            <w:r>
              <w:t>0.253629</w:t>
            </w:r>
          </w:p>
        </w:tc>
        <w:tc>
          <w:tcPr>
            <w:tcW w:w="1400" w:type="dxa"/>
            <w:vAlign w:val="center"/>
          </w:tcPr>
          <w:p>
            <w:pPr>
              <w:pStyle w:val="TableNumber"/>
            </w:pPr>
            <w:r>
              <w:t>0.1146</w:t>
            </w:r>
          </w:p>
        </w:tc>
        <w:tc>
          <w:tcPr>
            <w:tcW w:w="1800" w:type="dxa"/>
            <w:vAlign w:val="center"/>
          </w:tcPr>
          <w:p>
            <w:pPr>
              <w:pStyle w:val="TableNumber"/>
            </w:pPr>
            <w:r>
              <w:t>0.0494 至 0.1401</w:t>
            </w:r>
          </w:p>
        </w:tc>
        <w:tc>
          <w:tcPr>
            <w:tcW w:w="1200" w:type="dxa"/>
            <w:vAlign w:val="center"/>
          </w:tcPr>
          <w:p>
            <w:pPr>
              <w:pStyle w:val="TableNumber"/>
            </w:pPr>
            <w:r>
              <w:t>53.81%</w:t>
            </w:r>
          </w:p>
        </w:tc>
        <w:tc>
          <w:tcPr>
            <w:tcW w:w="1060" w:type="dxa"/>
            <w:vAlign w:val="center"/>
          </w:tcPr>
          <w:p>
            <w:pPr>
              <w:pStyle w:val="TableNumber"/>
            </w:pPr>
            <w:r>
              <w:t>81.58%</w:t>
            </w:r>
          </w:p>
        </w:tc>
      </w:tr>
      <w:tr>
        <w:trPr>
          <w:cantSplit/>
        </w:trPr>
        <w:tc>
          <w:tcPr>
            <w:tcW w:w="1300" w:type="dxa"/>
            <w:vAlign w:val="center"/>
          </w:tcPr>
          <w:p>
            <w:pPr>
              <w:pStyle w:val="TableText"/>
            </w:pPr>
            <w:r>
              <w:t>2026</w:t>
            </w:r>
          </w:p>
        </w:tc>
        <w:tc>
          <w:tcPr>
            <w:tcW w:w="1200" w:type="dxa"/>
            <w:vAlign w:val="center"/>
          </w:tcPr>
          <w:p>
            <w:pPr>
              <w:pStyle w:val="TableNumber"/>
            </w:pPr>
            <w:r>
              <w:t>427,933</w:t>
            </w:r>
          </w:p>
        </w:tc>
        <w:tc>
          <w:tcPr>
            <w:tcW w:w="1400" w:type="dxa"/>
            <w:vAlign w:val="center"/>
          </w:tcPr>
          <w:p>
            <w:pPr>
              <w:pStyle w:val="TableNumber"/>
            </w:pPr>
            <w:r>
              <w:t>0.301051</w:t>
            </w:r>
          </w:p>
        </w:tc>
        <w:tc>
          <w:tcPr>
            <w:tcW w:w="1400" w:type="dxa"/>
            <w:vAlign w:val="center"/>
          </w:tcPr>
          <w:p>
            <w:pPr>
              <w:pStyle w:val="TableNumber"/>
            </w:pPr>
            <w:r>
              <w:t>0.1044</w:t>
            </w:r>
          </w:p>
        </w:tc>
        <w:tc>
          <w:tcPr>
            <w:tcW w:w="1800" w:type="dxa"/>
            <w:vAlign w:val="center"/>
          </w:tcPr>
          <w:p>
            <w:pPr>
              <w:pStyle w:val="TableNumber"/>
            </w:pPr>
            <w:r>
              <w:t>0.0754 至 0.1277</w:t>
            </w:r>
          </w:p>
        </w:tc>
        <w:tc>
          <w:tcPr>
            <w:tcW w:w="1200" w:type="dxa"/>
            <w:vAlign w:val="center"/>
          </w:tcPr>
          <w:p>
            <w:pPr>
              <w:pStyle w:val="TableNumber"/>
            </w:pPr>
            <w:r>
              <w:t>54.81%</w:t>
            </w:r>
          </w:p>
        </w:tc>
        <w:tc>
          <w:tcPr>
            <w:tcW w:w="1060" w:type="dxa"/>
            <w:vAlign w:val="center"/>
          </w:tcPr>
          <w:p>
            <w:pPr>
              <w:pStyle w:val="TableNumber"/>
            </w:pPr>
            <w:r>
              <w:t>76.86%</w:t>
            </w:r>
          </w:p>
        </w:tc>
      </w:tr>
    </w:tbl>
    <w:p>
      <w:pPr>
        <w:pStyle w:val="Lead"/>
        <w:spacing w:before="160"/>
      </w:pPr>
      <w:r>
        <w:t>年度切片為 2025、2026；樣本數分別為 2025=106,394；2026=427,933。年度 score、coverage 與 correlation 會受樣本量及市場組成影響，只作診斷，不能單獨證明時間外推能力。</w:t>
      </w:r>
    </w:p>
    <w:p>
      <w:pPr>
        <w:pStyle w:val="11"/>
      </w:pPr>
      <w:r>
        <w:t>9. 風險與下一階段</w:t>
      </w:r>
    </w:p>
    <w:p>
      <w:pPr>
        <w:pStyle w:val="Decision"/>
        <w:keepNext/>
        <w:spacing w:after="80"/>
      </w:pPr>
      <w:r>
        <w:t>表 11｜主要限制與必要驗證</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風險</w:t>
            </w:r>
          </w:p>
        </w:tc>
        <w:tc>
          <w:tcPr>
            <w:tcW w:w="2900" w:type="dxa"/>
            <w:shd w:val="clear" w:fill="DCE6F1"/>
            <w:vAlign w:val="center"/>
          </w:tcPr>
          <w:p>
            <w:pPr>
              <w:pStyle w:val="TableHeader"/>
            </w:pPr>
            <w:r>
              <w:t>目前證據</w:t>
            </w:r>
          </w:p>
        </w:tc>
        <w:tc>
          <w:tcPr>
            <w:tcW w:w="3960" w:type="dxa"/>
            <w:shd w:val="clear" w:fill="DCE6F1"/>
            <w:vAlign w:val="center"/>
          </w:tcPr>
          <w:p>
            <w:pPr>
              <w:pStyle w:val="TableHeader"/>
            </w:pPr>
            <w:r>
              <w:t>下一道驗證</w:t>
            </w:r>
          </w:p>
        </w:tc>
      </w:tr>
      <w:tr>
        <w:trPr>
          <w:cantSplit/>
        </w:trPr>
        <w:tc>
          <w:tcPr>
            <w:tcW w:w="2500" w:type="dxa"/>
            <w:vAlign w:val="center"/>
          </w:tcPr>
          <w:p>
            <w:pPr>
              <w:pStyle w:val="TableText"/>
            </w:pPr>
            <w:r>
              <w:t>完整 test holdout</w:t>
            </w:r>
          </w:p>
        </w:tc>
        <w:tc>
          <w:tcPr>
            <w:tcW w:w="2900" w:type="dxa"/>
            <w:vAlign w:val="center"/>
          </w:tcPr>
          <w:p>
            <w:pPr>
              <w:pStyle w:val="TableText"/>
            </w:pPr>
            <w:r>
              <w:t>534,327 筆、112 日期；checkpoint 由 validation 選出</w:t>
            </w:r>
          </w:p>
        </w:tc>
        <w:tc>
          <w:tcPr>
            <w:tcW w:w="3960" w:type="dxa"/>
            <w:vAlign w:val="center"/>
          </w:tcPr>
          <w:p>
            <w:pPr>
              <w:pStyle w:val="TableText"/>
            </w:pPr>
            <w:r>
              <w:t>保留 test holdout 隔離，下一輪先固定 membership 與 protocol</w:t>
            </w:r>
          </w:p>
        </w:tc>
      </w:tr>
      <w:tr>
        <w:trPr>
          <w:cantSplit/>
        </w:trPr>
        <w:tc>
          <w:tcPr>
            <w:tcW w:w="2500" w:type="dxa"/>
            <w:vAlign w:val="center"/>
          </w:tcPr>
          <w:p>
            <w:pPr>
              <w:pStyle w:val="TableText"/>
            </w:pPr>
            <w:r>
              <w:t>單一 seed</w:t>
            </w:r>
          </w:p>
        </w:tc>
        <w:tc>
          <w:tcPr>
            <w:tcW w:w="2900" w:type="dxa"/>
            <w:vAlign w:val="center"/>
          </w:tcPr>
          <w:p>
            <w:pPr>
              <w:pStyle w:val="TableText"/>
            </w:pPr>
            <w:r>
              <w:t>seed=42</w:t>
            </w:r>
          </w:p>
        </w:tc>
        <w:tc>
          <w:tcPr>
            <w:tcW w:w="3960" w:type="dxa"/>
            <w:vAlign w:val="center"/>
          </w:tcPr>
          <w:p>
            <w:pPr>
              <w:pStyle w:val="TableText"/>
            </w:pPr>
            <w:r>
              <w:t>多 seed 報告中位數、離散度及最差值</w:t>
            </w:r>
          </w:p>
        </w:tc>
      </w:tr>
      <w:tr>
        <w:trPr>
          <w:cantSplit/>
        </w:trPr>
        <w:tc>
          <w:tcPr>
            <w:tcW w:w="2500" w:type="dxa"/>
            <w:vAlign w:val="center"/>
          </w:tcPr>
          <w:p>
            <w:pPr>
              <w:pStyle w:val="TableText"/>
            </w:pPr>
            <w:r>
              <w:t xml:space="preserve">區間 coverage 已校準</w:t>
            </w:r>
          </w:p>
        </w:tc>
        <w:tc>
          <w:tcPr>
            <w:tcW w:w="2900" w:type="dxa"/>
            <w:vAlign w:val="center"/>
          </w:tcPr>
          <w:p>
            <w:pPr>
              <w:pStyle w:val="TableText"/>
            </w:pPr>
            <w:r>
              <w:t xml:space="preserve">77.8015% → 79.4615%</w:t>
            </w:r>
          </w:p>
        </w:tc>
        <w:tc>
          <w:tcPr>
            <w:tcW w:w="3960" w:type="dxa"/>
            <w:vAlign w:val="center"/>
          </w:tcPr>
          <w:p>
            <w:pPr>
              <w:pStyle w:val="TableText"/>
            </w:pPr>
            <w:r>
              <w:t xml:space="preserve">檢查市場/horizon coverage error 及 width，不宣稱全面達標</w:t>
            </w:r>
          </w:p>
        </w:tc>
      </w:tr>
      <w:tr>
        <w:trPr>
          <w:cantSplit/>
        </w:trPr>
        <w:tc>
          <w:tcPr>
            <w:tcW w:w="2500" w:type="dxa"/>
            <w:vAlign w:val="center"/>
          </w:tcPr>
          <w:p>
            <w:pPr>
              <w:pStyle w:val="TableText"/>
            </w:pPr>
            <w:r>
              <w:t>q50 關聯偏弱</w:t>
            </w:r>
          </w:p>
        </w:tc>
        <w:tc>
          <w:tcPr>
            <w:tcW w:w="2900" w:type="dxa"/>
            <w:vAlign w:val="center"/>
          </w:tcPr>
          <w:p>
            <w:pPr>
              <w:pStyle w:val="TableText"/>
            </w:pPr>
            <w:r>
              <w:t>0.0701 至 0.1303</w:t>
            </w:r>
          </w:p>
        </w:tc>
        <w:tc>
          <w:tcPr>
            <w:tcW w:w="3960" w:type="dxa"/>
            <w:vAlign w:val="center"/>
          </w:tcPr>
          <w:p>
            <w:pPr>
              <w:pStyle w:val="TableText"/>
            </w:pPr>
            <w:r>
              <w:t>檢查 provider、月份及市場 regime 的排序穩定度</w:t>
            </w:r>
          </w:p>
        </w:tc>
      </w:tr>
      <w:tr>
        <w:trPr>
          <w:cantSplit/>
        </w:trPr>
        <w:tc>
          <w:tcPr>
            <w:tcW w:w="2500" w:type="dxa"/>
            <w:vAlign w:val="center"/>
          </w:tcPr>
          <w:p>
            <w:pPr>
              <w:pStyle w:val="TableText"/>
            </w:pPr>
            <w:r>
              <w:t>訊號分布</w:t>
            </w:r>
          </w:p>
        </w:tc>
        <w:tc>
          <w:tcPr>
            <w:tcW w:w="2900" w:type="dxa"/>
            <w:vAlign w:val="center"/>
          </w:tcPr>
          <w:p>
            <w:pPr>
              <w:pStyle w:val="TableText"/>
            </w:pPr>
            <w:r>
              <w:t>bearish 74.62% 至 82.44%；neutral 0.00% 至 0.00%</w:t>
            </w:r>
          </w:p>
        </w:tc>
        <w:tc>
          <w:tcPr>
            <w:tcW w:w="3960" w:type="dxa"/>
            <w:vAlign w:val="center"/>
          </w:tcPr>
          <w:p>
            <w:pPr>
              <w:pStyle w:val="TableText"/>
            </w:pPr>
            <w:r>
              <w:t>逐 horizon 固定 threshold 與 position mapping；標籤不是機率</w:t>
            </w:r>
          </w:p>
        </w:tc>
      </w:tr>
      <w:tr>
        <w:trPr>
          <w:cantSplit/>
        </w:trPr>
        <w:tc>
          <w:tcPr>
            <w:tcW w:w="2500" w:type="dxa"/>
            <w:vAlign w:val="center"/>
          </w:tcPr>
          <w:p>
            <w:pPr>
              <w:pStyle w:val="TableText"/>
            </w:pPr>
            <w:r>
              <w:t xml:space="preserve">舊版資金路徑數值</w:t>
            </w:r>
          </w:p>
        </w:tc>
        <w:tc>
          <w:tcPr>
            <w:tcW w:w="2900" w:type="dxa"/>
            <w:vAlign w:val="center"/>
          </w:tcPr>
          <w:p>
            <w:pPr>
              <w:pStyle w:val="TableText"/>
            </w:pPr>
            <w:r>
              <w:t xml:space="preserve">原最大回撤保留於表 9；尺度未對齊</w:t>
            </w:r>
          </w:p>
        </w:tc>
        <w:tc>
          <w:tcPr>
            <w:tcW w:w="3960" w:type="dxa"/>
            <w:vAlign w:val="center"/>
          </w:tcPr>
          <w:p>
            <w:pPr>
              <w:pStyle w:val="TableText"/>
            </w:pPr>
            <w:r>
              <w:t xml:space="preserve">先修正程式與完整序列重算，再談曝險及回撤門檻</w:t>
            </w:r>
          </w:p>
        </w:tc>
      </w:tr>
      <w:tr>
        <w:trPr>
          <w:cantSplit/>
        </w:trPr>
        <w:tc>
          <w:tcPr>
            <w:tcW w:w="2500" w:type="dxa"/>
            <w:vAlign w:val="center"/>
          </w:tcPr>
          <w:p>
            <w:pPr>
              <w:pStyle w:val="TableText"/>
            </w:pPr>
            <w:r>
              <w:t>Provider 異質性</w:t>
            </w:r>
          </w:p>
        </w:tc>
        <w:tc>
          <w:tcPr>
            <w:tcW w:w="2900" w:type="dxa"/>
            <w:vAlign w:val="center"/>
          </w:tcPr>
          <w:p>
            <w:pPr>
              <w:pStyle w:val="TableText"/>
            </w:pPr>
            <w:r>
              <w:t>Provider 平均 coverage 約 70.11% 至 79.41%</w:t>
            </w:r>
          </w:p>
        </w:tc>
        <w:tc>
          <w:tcPr>
            <w:tcW w:w="3960" w:type="dxa"/>
            <w:vAlign w:val="center"/>
          </w:tcPr>
          <w:p>
            <w:pPr>
              <w:pStyle w:val="TableText"/>
            </w:pPr>
            <w:r>
              <w:t>逐 provider 稽核資料、樣本與校準</w:t>
            </w:r>
          </w:p>
        </w:tc>
      </w:tr>
      <w:tr>
        <w:trPr>
          <w:cantSplit/>
        </w:trPr>
        <w:tc>
          <w:tcPr>
            <w:tcW w:w="2500" w:type="dxa"/>
            <w:vAlign w:val="center"/>
          </w:tcPr>
          <w:p>
            <w:pPr>
              <w:pStyle w:val="TableText"/>
            </w:pPr>
            <w:r>
              <w:t>年度樣本不平衡</w:t>
            </w:r>
          </w:p>
        </w:tc>
        <w:tc>
          <w:tcPr>
            <w:tcW w:w="2900" w:type="dxa"/>
            <w:vAlign w:val="center"/>
          </w:tcPr>
          <w:p>
            <w:pPr>
              <w:pStyle w:val="TableText"/>
            </w:pPr>
            <w:r>
              <w:t>2025=106,394；2026=427,933</w:t>
            </w:r>
          </w:p>
        </w:tc>
        <w:tc>
          <w:tcPr>
            <w:tcW w:w="3960" w:type="dxa"/>
            <w:vAlign w:val="center"/>
          </w:tcPr>
          <w:p>
            <w:pPr>
              <w:pStyle w:val="TableText"/>
            </w:pPr>
            <w:r>
              <w:t>增加 rolling、regime 與完整年度測試</w:t>
            </w:r>
          </w:p>
        </w:tc>
      </w:tr>
      <w:tr>
        <w:trPr>
          <w:cantSplit/>
        </w:trPr>
        <w:tc>
          <w:tcPr>
            <w:tcW w:w="2500" w:type="dxa"/>
            <w:vAlign w:val="center"/>
          </w:tcPr>
          <w:p>
            <w:pPr>
              <w:pStyle w:val="TableText"/>
            </w:pPr>
            <w:r>
              <w:t xml:space="preserve">報酬與成本尺度</w:t>
            </w:r>
          </w:p>
        </w:tc>
        <w:tc>
          <w:tcPr>
            <w:tcW w:w="2900" w:type="dxa"/>
            <w:vAlign w:val="center"/>
          </w:tcPr>
          <w:p>
            <w:pPr>
              <w:pStyle w:val="TableText"/>
            </w:pPr>
            <w:r>
              <w:t xml:space="preserve">+0.5 / −0.5 weights；gross 未乘 0.5</w:t>
            </w:r>
          </w:p>
        </w:tc>
        <w:tc>
          <w:tcPr>
            <w:tcW w:w="3960" w:type="dxa"/>
            <w:vAlign w:val="center"/>
          </w:tcPr>
          <w:p>
            <w:pPr>
              <w:pStyle w:val="TableText"/>
            </w:pPr>
            <w:r>
              <w:t xml:space="preserve">重算序列並處理持倉重疊及實際 PnL；不可直接除以二</w:t>
            </w:r>
          </w:p>
        </w:tc>
      </w:tr>
      <w:tr>
        <w:trPr>
          <w:cantSplit/>
        </w:trPr>
        <w:tc>
          <w:tcPr>
            <w:tcW w:w="2500" w:type="dxa"/>
            <w:vAlign w:val="center"/>
          </w:tcPr>
          <w:p>
            <w:pPr>
              <w:pStyle w:val="TableText"/>
            </w:pPr>
            <w:r>
              <w:t xml:space="preserve">方向 baseline</w:t>
            </w:r>
          </w:p>
        </w:tc>
        <w:tc>
          <w:tcPr>
            <w:tcW w:w="2900" w:type="dxa"/>
            <w:vAlign w:val="center"/>
          </w:tcPr>
          <w:p>
            <w:pPr>
              <w:pStyle w:val="TableText"/>
            </w:pPr>
            <w:r>
              <w:t xml:space="preserve">always_buy = zero_return 固定 training 分布</w:t>
            </w:r>
          </w:p>
        </w:tc>
        <w:tc>
          <w:tcPr>
            <w:tcW w:w="3960" w:type="dxa"/>
            <w:vAlign w:val="center"/>
          </w:tcPr>
          <w:p>
            <w:pPr>
              <w:pStyle w:val="TableText"/>
            </w:pPr>
            <w:r>
              <w:t xml:space="preserve">比較差距百分點及未來配對信賴區間</w:t>
            </w:r>
          </w:p>
        </w:tc>
      </w:tr>
      <w:tr>
        <w:trPr>
          <w:cantSplit/>
        </w:trPr>
        <w:tc>
          <w:tcPr>
            <w:tcW w:w="2500" w:type="dxa"/>
            <w:vAlign w:val="center"/>
          </w:tcPr>
          <w:p>
            <w:pPr>
              <w:pStyle w:val="TableText"/>
            </w:pPr>
            <w:r>
              <w:t xml:space="preserve">排序 head 公平比較</w:t>
            </w:r>
          </w:p>
        </w:tc>
        <w:tc>
          <w:tcPr>
            <w:tcW w:w="2900" w:type="dxa"/>
            <w:vAlign w:val="center"/>
          </w:tcPr>
          <w:p>
            <w:pPr>
              <w:pStyle w:val="TableText"/>
            </w:pPr>
            <w:r>
              <w:t xml:space="preserve">q50 跨市場；ranking head 市場別</w:t>
            </w:r>
          </w:p>
        </w:tc>
        <w:tc>
          <w:tcPr>
            <w:tcW w:w="3960" w:type="dxa"/>
            <w:vAlign w:val="center"/>
          </w:tcPr>
          <w:p>
            <w:pPr>
              <w:pStyle w:val="TableText"/>
            </w:pPr>
            <w:r>
              <w:t xml:space="preserve">尚缺同市場同日期 q50 對照</w:t>
            </w:r>
          </w:p>
        </w:tc>
      </w:tr>
    </w:tbl>
    <w:p>
      <w:pPr>
        <w:pStyle w:val="Lead"/>
        <w:spacing w:before="160"/>
      </w:pPr>
      <w:r>
        <w:t xml:space="preserve">最終判斷：分布誤差與區間校準已有此 test 的描述性證據，方向與排序必須分開判斷。成本後策略指標在評估程式修正並重算之前不可當正式策略績效。以下四項結論彼此獨立。</w:t>
      </w:r>
    </w:p>
    <w:p>
      <w:pPr>
        <w:pStyle w:val="21"/>
      </w:pPr>
      <w:r>
        <w:t xml:space="preserve">分布預測是否改善</w:t>
      </w:r>
    </w:p>
    <w:p>
      <w:pPr>
        <w:pStyle w:val="a"/>
      </w:pPr>
      <w:r>
        <w:t xml:space="preserve">Raw normalized pinball 0.291608 比 training 固定分布 0.309493 低 5.78%。既有區間校準將 normalized pinball 改為 0.291244，整體 coverage 從 77.8015% 改為 79.4615%。這是此 holdout 上的分布誤差與區間診斷改善，不等於所有市場達標或方向能力提升。</w:t>
      </w:r>
    </w:p>
    <w:p>
      <w:pPr>
        <w:pStyle w:val="21"/>
      </w:pPr>
      <w:r>
        <w:t xml:space="preserve">方向能力是否超越固定 baseline</w:t>
      </w:r>
    </w:p>
    <w:p>
      <w:pPr>
        <w:pStyle w:val="a"/>
      </w:pPr>
      <w:r>
        <w:t xml:space="preserve">主模型僅 1/14 個 horizon 高於 training 固定無條件分布，差距 -0.9627 至 +0.0732 百分點。尚無普遍超越固定 baseline 的方向證據；少數正差也未提供配對信賴區間，不宣稱統計顯著。方向指的是相對 benchmark 的 alpha 正負，不是股價上漲或下跌。</w:t>
      </w:r>
    </w:p>
    <w:p>
      <w:pPr>
        <w:pStyle w:val="21"/>
      </w:pPr>
      <w:r>
        <w:t xml:space="preserve">排序能力是否存在</w:t>
      </w:r>
    </w:p>
    <w:p>
      <w:pPr>
        <w:pStyle w:val="a"/>
      </w:pPr>
      <w:r>
        <w:t xml:space="preserve">以 q50 排序的跨市場 RankIC 與獨立 ranking head 的市場別 RankIC 都顯示正向平均排序關聯。這提供選股訊號的描述性證據；不同分組不能直接比較兩個 head 誰較強，單一 seed 和約百日樣本也不足以證明穩定可交易。</w:t>
      </w:r>
    </w:p>
    <w:p>
      <w:pPr>
        <w:pStyle w:val="21"/>
      </w:pPr>
      <w:r>
        <w:t xml:space="preserve">策略績效目前是否可信</w:t>
      </w:r>
    </w:p>
    <w:p>
      <w:pPr>
        <w:pStyle w:val="a"/>
      </w:pPr>
      <w:r>
        <w:t xml:space="preserve">不可信作為正式策略績效。持倉／turnover 與 gross return 的資金尺度未對齊，且多日 forward alpha 重疊。必須修正評估程式後以完整序列重算，再處理實際投資組合損益、持倉重疊及交易限制。現有 Sharpe、最大回撤與成本後報酬只保留作版本追溯，不支持部署或策略優劣結論。</w:t>
      </w:r>
    </w:p>
    <w:p>
      <w:pPr>
        <w:pStyle w:val="11"/>
      </w:pPr>
      <w:r>
        <w:t>附錄 A 完整模型排名</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0.291608</w:t>
            </w:r>
          </w:p>
        </w:tc>
        <w:tc>
          <w:tcPr>
            <w:tcW w:w="1330" w:type="dxa"/>
            <w:shd w:val="clear" w:fill="EDF5FC"/>
            <w:vAlign w:val="center"/>
          </w:tcPr>
          <w:p>
            <w:pPr>
              <w:pStyle w:val="TableNumber"/>
            </w:pPr>
            <w:r>
              <w:t xml:space="preserve">77.80%</w:t>
            </w:r>
          </w:p>
        </w:tc>
        <w:tc>
          <w:tcPr>
            <w:tcW w:w="1330" w:type="dxa"/>
            <w:shd w:val="clear" w:fill="EDF5FC"/>
            <w:vAlign w:val="center"/>
          </w:tcPr>
          <w:p>
            <w:pPr>
              <w:pStyle w:val="TableNumber"/>
            </w:pPr>
            <w:r>
              <w:t xml:space="preserve">0.1080</w:t>
            </w:r>
          </w:p>
        </w:tc>
        <w:tc>
          <w:tcPr>
            <w:tcW w:w="1350" w:type="dxa"/>
            <w:shd w:val="clear" w:fill="EDF5FC"/>
            <w:vAlign w:val="center"/>
          </w:tcPr>
          <w:p>
            <w:pPr>
              <w:pStyle w:val="TableNumber"/>
            </w:pPr>
            <w:r>
              <w:t>0.1070</w:t>
            </w:r>
          </w:p>
        </w:tc>
      </w:tr>
      <w:tr>
        <w:trPr>
          <w:cantSplit/>
        </w:trPr>
        <w:tc>
          <w:tcPr>
            <w:tcW w:w="650" w:type="dxa"/>
            <w:vAlign w:val="center"/>
          </w:tcPr>
          <w:p>
            <w:pPr>
              <w:pStyle w:val="TableNumber"/>
            </w:pPr>
            <w:r>
              <w:t>2</w:t>
            </w:r>
          </w:p>
        </w:tc>
        <w:tc>
          <w:tcPr>
            <w:tcW w:w="2800" w:type="dxa"/>
            <w:vAlign w:val="center"/>
          </w:tcPr>
          <w:p>
            <w:pPr>
              <w:pStyle w:val="TableText"/>
            </w:pPr>
            <w:r>
              <w:t>Compact PatchTST</w:t>
            </w:r>
          </w:p>
        </w:tc>
        <w:tc>
          <w:tcPr>
            <w:tcW w:w="1900" w:type="dxa"/>
            <w:vAlign w:val="center"/>
          </w:tcPr>
          <w:p>
            <w:pPr>
              <w:pStyle w:val="TableNumber"/>
            </w:pPr>
            <w:r>
              <w:t>0.293639</w:t>
            </w:r>
          </w:p>
        </w:tc>
        <w:tc>
          <w:tcPr>
            <w:tcW w:w="1330" w:type="dxa"/>
            <w:vAlign w:val="center"/>
          </w:tcPr>
          <w:p>
            <w:pPr>
              <w:pStyle w:val="TableNumber"/>
            </w:pPr>
            <w:r>
              <w:t xml:space="preserve">77.33%</w:t>
            </w:r>
          </w:p>
        </w:tc>
        <w:tc>
          <w:tcPr>
            <w:tcW w:w="1330" w:type="dxa"/>
            <w:vAlign w:val="center"/>
          </w:tcPr>
          <w:p>
            <w:pPr>
              <w:pStyle w:val="TableNumber"/>
            </w:pPr>
            <w:r>
              <w:t xml:space="preserve">0.0858</w:t>
            </w:r>
          </w:p>
        </w:tc>
        <w:tc>
          <w:tcPr>
            <w:tcW w:w="1350" w:type="dxa"/>
            <w:vAlign w:val="center"/>
          </w:tcPr>
          <w:p>
            <w:pPr>
              <w:pStyle w:val="TableNumber"/>
            </w:pPr>
            <w:r>
              <w:t>0.0762</w:t>
            </w:r>
          </w:p>
        </w:tc>
      </w:tr>
      <w:tr>
        <w:trPr>
          <w:cantSplit/>
        </w:trPr>
        <w:tc>
          <w:tcPr>
            <w:tcW w:w="650" w:type="dxa"/>
            <w:vAlign w:val="center"/>
          </w:tcPr>
          <w:p>
            <w:pPr>
              <w:pStyle w:val="TableNumber"/>
            </w:pPr>
            <w:r>
              <w:t>3</w:t>
            </w:r>
          </w:p>
        </w:tc>
        <w:tc>
          <w:tcPr>
            <w:tcW w:w="2800" w:type="dxa"/>
            <w:vAlign w:val="center"/>
          </w:tcPr>
          <w:p>
            <w:pPr>
              <w:pStyle w:val="TableText"/>
            </w:pPr>
            <w:r>
              <w:t>成對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0.0631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0.0198</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0.0000</w:t>
            </w:r>
          </w:p>
        </w:tc>
      </w:tr>
      <w:tr>
        <w:trPr>
          <w:cantSplit/>
        </w:trPr>
        <w:tc>
          <w:tcPr>
            <w:tcW w:w="650" w:type="dxa"/>
            <w:vAlign w:val="center"/>
          </w:tcPr>
          <w:p>
            <w:pPr>
              <w:pStyle w:val="TableNumber"/>
            </w:pPr>
            <w:r>
              <w:t>7</w:t>
            </w:r>
          </w:p>
        </w:tc>
        <w:tc>
          <w:tcPr>
            <w:tcW w:w="2800" w:type="dxa"/>
            <w:vAlign w:val="center"/>
          </w:tcPr>
          <w:p>
            <w:pPr>
              <w:pStyle w:val="TableText"/>
            </w:pPr>
            <w:r>
              <w:t>MACD 規則</w:t>
            </w:r>
          </w:p>
        </w:tc>
        <w:tc>
          <w:tcPr>
            <w:tcW w:w="1900" w:type="dxa"/>
            <w:vAlign w:val="center"/>
          </w:tcPr>
          <w:p>
            <w:pPr>
              <w:pStyle w:val="TableNumber"/>
            </w:pPr>
            <w:r>
              <w:t>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0.0015</w:t>
            </w:r>
          </w:p>
        </w:tc>
      </w:tr>
      <w:tr>
        <w:trPr>
          <w:cantSplit/>
        </w:trPr>
        <w:tc>
          <w:tcPr>
            <w:tcW w:w="650" w:type="dxa"/>
            <w:vAlign w:val="center"/>
          </w:tcPr>
          <w:p>
            <w:pPr>
              <w:pStyle w:val="TableNumber"/>
            </w:pPr>
            <w:r>
              <w:t>8</w:t>
            </w:r>
          </w:p>
        </w:tc>
        <w:tc>
          <w:tcPr>
            <w:tcW w:w="2800" w:type="dxa"/>
            <w:vAlign w:val="center"/>
          </w:tcPr>
          <w:p>
            <w:pPr>
              <w:pStyle w:val="TableText"/>
            </w:pPr>
            <w:r>
              <w:t>DLinear</w:t>
            </w:r>
          </w:p>
        </w:tc>
        <w:tc>
          <w:tcPr>
            <w:tcW w:w="1900" w:type="dxa"/>
            <w:vAlign w:val="center"/>
          </w:tcPr>
          <w:p>
            <w:pPr>
              <w:pStyle w:val="TableNumber"/>
            </w:pPr>
            <w:r>
              <w:t>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0.0123</w:t>
            </w:r>
          </w:p>
        </w:tc>
      </w:tr>
      <w:tr>
        <w:trPr>
          <w:cantSplit/>
        </w:trPr>
        <w:tc>
          <w:tcPr>
            <w:tcW w:w="650" w:type="dxa"/>
            <w:vAlign w:val="center"/>
          </w:tcPr>
          <w:p>
            <w:pPr>
              <w:pStyle w:val="TableNumber"/>
            </w:pPr>
            <w:r>
              <w:t>9</w:t>
            </w:r>
          </w:p>
        </w:tc>
        <w:tc>
          <w:tcPr>
            <w:tcW w:w="2800" w:type="dxa"/>
            <w:vAlign w:val="center"/>
          </w:tcPr>
          <w:p>
            <w:pPr>
              <w:pStyle w:val="TableText"/>
            </w:pPr>
            <w:r>
              <w:t>均線交叉</w:t>
            </w:r>
          </w:p>
        </w:tc>
        <w:tc>
          <w:tcPr>
            <w:tcW w:w="1900" w:type="dxa"/>
            <w:vAlign w:val="center"/>
          </w:tcPr>
          <w:p>
            <w:pPr>
              <w:pStyle w:val="TableNumber"/>
            </w:pPr>
            <w:r>
              <w:t>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0.0427</w:t>
            </w:r>
          </w:p>
        </w:tc>
      </w:tr>
      <w:tr>
        <w:trPr>
          <w:cantSplit/>
        </w:trPr>
        <w:tc>
          <w:tcPr>
            <w:tcW w:w="650" w:type="dxa"/>
            <w:vAlign w:val="center"/>
          </w:tcPr>
          <w:p>
            <w:pPr>
              <w:pStyle w:val="TableNumber"/>
            </w:pPr>
            <w:r>
              <w:t>10</w:t>
            </w:r>
          </w:p>
        </w:tc>
        <w:tc>
          <w:tcPr>
            <w:tcW w:w="2800" w:type="dxa"/>
            <w:vAlign w:val="center"/>
          </w:tcPr>
          <w:p>
            <w:pPr>
              <w:pStyle w:val="TableText"/>
            </w:pPr>
            <w:r>
              <w:t>RSI 規則</w:t>
            </w:r>
          </w:p>
        </w:tc>
        <w:tc>
          <w:tcPr>
            <w:tcW w:w="1900" w:type="dxa"/>
            <w:vAlign w:val="center"/>
          </w:tcPr>
          <w:p>
            <w:pPr>
              <w:pStyle w:val="TableNumber"/>
            </w:pPr>
            <w:r>
              <w:t>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-0.0255</w:t>
            </w:r>
          </w:p>
        </w:tc>
      </w:tr>
      <w:tr>
        <w:trPr>
          <w:cantSplit/>
        </w:trPr>
        <w:tc>
          <w:tcPr>
            <w:tcW w:w="650" w:type="dxa"/>
            <w:vAlign w:val="center"/>
          </w:tcPr>
          <w:p>
            <w:pPr>
              <w:pStyle w:val="TableNumber"/>
            </w:pPr>
            <w:r>
              <w:t>11</w:t>
            </w:r>
          </w:p>
        </w:tc>
        <w:tc>
          <w:tcPr>
            <w:tcW w:w="2800" w:type="dxa"/>
            <w:vAlign w:val="center"/>
          </w:tcPr>
          <w:p>
            <w:pPr>
              <w:pStyle w:val="TableText"/>
            </w:pPr>
            <w:r>
              <w:t>波動率縮放規則</w:t>
            </w:r>
          </w:p>
        </w:tc>
        <w:tc>
          <w:tcPr>
            <w:tcW w:w="1900" w:type="dxa"/>
            <w:vAlign w:val="center"/>
          </w:tcPr>
          <w:p>
            <w:pPr>
              <w:pStyle w:val="TableNumber"/>
            </w:pPr>
            <w:r>
              <w:t>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0.0185</w:t>
            </w:r>
          </w:p>
        </w:tc>
      </w:tr>
      <w:tr>
        <w:trPr>
          <w:cantSplit/>
        </w:trPr>
        <w:tc>
          <w:tcPr>
            <w:tcW w:w="650" w:type="dxa"/>
            <w:vAlign w:val="center"/>
          </w:tcPr>
          <w:p>
            <w:pPr>
              <w:pStyle w:val="TableNumber"/>
            </w:pPr>
            <w:r>
              <w:t>12</w:t>
            </w:r>
          </w:p>
        </w:tc>
        <w:tc>
          <w:tcPr>
            <w:tcW w:w="2800" w:type="dxa"/>
            <w:vAlign w:val="center"/>
          </w:tcPr>
          <w:p>
            <w:pPr>
              <w:pStyle w:val="TableText"/>
            </w:pPr>
            <w:r>
              <w:t>5 日動能</w:t>
            </w:r>
          </w:p>
        </w:tc>
        <w:tc>
          <w:tcPr>
            <w:tcW w:w="1900" w:type="dxa"/>
            <w:vAlign w:val="center"/>
          </w:tcPr>
          <w:p>
            <w:pPr>
              <w:pStyle w:val="TableNumber"/>
            </w:pPr>
            <w:r>
              <w:t>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0.0187</w:t>
            </w:r>
          </w:p>
        </w:tc>
      </w:tr>
      <w:tr>
        <w:trPr>
          <w:cantSplit/>
        </w:trPr>
        <w:tc>
          <w:tcPr>
            <w:tcW w:w="650" w:type="dxa"/>
            <w:vAlign w:val="center"/>
          </w:tcPr>
          <w:p>
            <w:pPr>
              <w:pStyle w:val="TableNumber"/>
            </w:pPr>
            <w:r>
              <w:t>13</w:t>
            </w:r>
          </w:p>
        </w:tc>
        <w:tc>
          <w:tcPr>
            <w:tcW w:w="2800" w:type="dxa"/>
            <w:vAlign w:val="center"/>
          </w:tcPr>
          <w:p>
            <w:pPr>
              <w:pStyle w:val="TableText"/>
            </w:pPr>
            <w:r>
              <w:t>5 日反轉</w:t>
            </w:r>
          </w:p>
        </w:tc>
        <w:tc>
          <w:tcPr>
            <w:tcW w:w="1900" w:type="dxa"/>
            <w:vAlign w:val="center"/>
          </w:tcPr>
          <w:p>
            <w:pPr>
              <w:pStyle w:val="TableNumber"/>
            </w:pPr>
            <w:r>
              <w:t>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-0.0187</w:t>
            </w:r>
          </w:p>
        </w:tc>
      </w:tr>
    </w:tbl>
    <w:p>
      <w:pPr>
        <w:pStyle w:val="Note"/>
        <w:spacing w:before="160"/>
      </w:pPr>
      <w:r>
        <w:t xml:space="preserve">所有 learned baseline 使用 seed 42；模型排名只依 14 horizon raw normalized pinball。Coverage 是 14H 平均，平均 correlation 不等於合併樣本的 correlation；RankIC 欄保留 5d 跨市場參考。固定預測沒有數值變異，correlation 不適用；JSON 的零值是計算慣例，不代表已實測相關為零。</w:t>
      </w:r>
    </w:p>
    <w:p>
      <w:pPr>
        <w:pStyle w:val="11"/>
      </w:pPr>
      <w:r>
        <w:t>附錄 B 可重現性與證據來源</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證據</w:t>
            </w:r>
          </w:p>
        </w:tc>
        <w:tc>
          <w:tcPr>
            <w:tcW w:w="6360" w:type="dxa"/>
            <w:shd w:val="clear" w:fill="DCE6F1"/>
            <w:vAlign w:val="center"/>
          </w:tcPr>
          <w:p>
            <w:pPr>
              <w:pStyle w:val="TableHeader"/>
            </w:pPr>
            <w:r>
              <w:t>本次值或用途</w:t>
            </w:r>
          </w:p>
        </w:tc>
      </w:tr>
      <w:tr>
        <w:trPr>
          <w:cantSplit/>
        </w:trPr>
        <w:tc>
          <w:tcPr>
            <w:tcW w:w="3000" w:type="dxa"/>
            <w:vAlign w:val="center"/>
          </w:tcPr>
          <w:p>
            <w:pPr>
              <w:pStyle w:val="TableText"/>
            </w:pPr>
            <w:r>
              <w:t>run ID</w:t>
            </w:r>
          </w:p>
        </w:tc>
        <w:tc>
          <w:tcPr>
            <w:tcW w:w="6360" w:type="dxa"/>
            <w:vAlign w:val="center"/>
          </w:tcPr>
          <w:p>
            <w:pPr>
              <w:pStyle w:val="TableText"/>
            </w:pPr>
            <w:r>
              <w:t>run-20261007T085627Z-cc5f9ef13b484d90</w:t>
            </w:r>
          </w:p>
        </w:tc>
      </w:tr>
      <w:tr>
        <w:trPr>
          <w:cantSplit/>
        </w:trPr>
        <w:tc>
          <w:tcPr>
            <w:tcW w:w="3000" w:type="dxa"/>
            <w:vAlign w:val="center"/>
          </w:tcPr>
          <w:p>
            <w:pPr>
              <w:pStyle w:val="TableText"/>
            </w:pPr>
            <w:r>
              <w:t>最佳 checkpoint</w:t>
            </w:r>
          </w:p>
        </w:tc>
        <w:tc>
          <w:tcPr>
            <w:tcW w:w="6360" w:type="dxa"/>
            <w:vAlign w:val="center"/>
          </w:tcPr>
          <w:p>
            <w:pPr>
              <w:pStyle w:val="TableText"/>
            </w:pPr>
            <w:r>
              <w:t>checkpoint-014720；validation monitor 0.261745717706；test score 0.291608468477</w:t>
            </w:r>
          </w:p>
        </w:tc>
      </w:tr>
      <w:tr>
        <w:trPr>
          <w:cantSplit/>
        </w:trPr>
        <w:tc>
          <w:tcPr>
            <w:tcW w:w="3000" w:type="dxa"/>
            <w:vAlign w:val="center"/>
          </w:tcPr>
          <w:p>
            <w:pPr>
              <w:pStyle w:val="TableText"/>
            </w:pPr>
            <w:r>
              <w:t>模型設定</w:t>
            </w:r>
          </w:p>
        </w:tc>
        <w:tc>
          <w:tcPr>
            <w:tcW w:w="6360" w:type="dxa"/>
            <w:vAlign w:val="center"/>
          </w:tcPr>
          <w:p>
            <w:pPr>
              <w:pStyle w:val="TableText"/>
            </w:pPr>
            <w:r>
              <w:t>a-lora64；LoRA rank=64／alpha=128；解凍最後 0 層</w:t>
            </w:r>
          </w:p>
        </w:tc>
      </w:tr>
      <w:tr>
        <w:trPr>
          <w:cantSplit/>
        </w:trPr>
        <w:tc>
          <w:tcPr>
            <w:tcW w:w="3000" w:type="dxa"/>
            <w:vAlign w:val="center"/>
          </w:tcPr>
          <w:p>
            <w:pPr>
              <w:pStyle w:val="TableText"/>
            </w:pPr>
            <w:r>
              <w:t>輸出 schema</w:t>
            </w:r>
          </w:p>
        </w:tc>
        <w:tc>
          <w:tcPr>
            <w:tcW w:w="6360" w:type="dxa"/>
            <w:vAlign w:val="center"/>
          </w:tcPr>
          <w:p>
            <w:pPr>
              <w:pStyle w:val="TableText"/>
            </w:pPr>
            <w:r>
              <w:t>model_output_schema_version=5.0；alpha_quantiles [batch,14,3]；horizons 1–14；q10/q50/q90</w:t>
            </w:r>
          </w:p>
        </w:tc>
      </w:tr>
      <w:tr>
        <w:trPr>
          <w:cantSplit/>
        </w:trPr>
        <w:tc>
          <w:tcPr>
            <w:tcW w:w="3000" w:type="dxa"/>
            <w:vAlign w:val="center"/>
          </w:tcPr>
          <w:p>
            <w:pPr>
              <w:pStyle w:val="TableText"/>
            </w:pPr>
            <w:r>
              <w:t>evaluation 狀態</w:t>
            </w:r>
          </w:p>
        </w:tc>
        <w:tc>
          <w:tcPr>
            <w:tcW w:w="6360" w:type="dxa"/>
            <w:vAlign w:val="center"/>
          </w:tcPr>
          <w:p>
            <w:pPr>
              <w:pStyle w:val="TableText"/>
            </w:pPr>
            <w:r>
              <w:t>state=ready；split=test；test_unlocked=true；534,327 rows／112 dates</w:t>
            </w:r>
          </w:p>
        </w:tc>
      </w:tr>
      <w:tr>
        <w:trPr>
          <w:cantSplit/>
        </w:trPr>
        <w:tc>
          <w:tcPr>
            <w:tcW w:w="3000" w:type="dxa"/>
            <w:vAlign w:val="center"/>
          </w:tcPr>
          <w:p>
            <w:pPr>
              <w:pStyle w:val="TableText"/>
            </w:pPr>
            <w:r>
              <w:t>training lifecycle</w:t>
            </w:r>
          </w:p>
        </w:tc>
        <w:tc>
          <w:tcPr>
            <w:tcW w:w="6360" w:type="dxa"/>
            <w:vAlign w:val="center"/>
          </w:tcPr>
          <w:p>
            <w:pPr>
              <w:pStyle w:val="TableText"/>
            </w:pPr>
            <w:r>
              <w:t>state=ready；exit_code=0；timed_out=false；training_completed=true</w:t>
            </w:r>
          </w:p>
        </w:tc>
      </w:tr>
      <w:tr>
        <w:trPr>
          <w:cantSplit/>
        </w:trPr>
        <w:tc>
          <w:tcPr>
            <w:tcW w:w="3000" w:type="dxa"/>
            <w:vAlign w:val="center"/>
          </w:tcPr>
          <w:p>
            <w:pPr>
              <w:pStyle w:val="TableText"/>
            </w:pPr>
            <w:r>
              <w:t>資料 manifest SHA-256</w:t>
            </w:r>
          </w:p>
        </w:tc>
        <w:tc>
          <w:tcPr>
            <w:tcW w:w="6360" w:type="dxa"/>
            <w:vAlign w:val="center"/>
          </w:tcPr>
          <w:p>
            <w:pPr>
              <w:pStyle w:val="TableText"/>
            </w:pPr>
            <w:r>
              <w:t>9f26f1f29cf1dd1a57b368a9b5ace3fcafe9098fb8d2a06a7ba2c39bad7592b6</w:t>
            </w:r>
          </w:p>
        </w:tc>
      </w:tr>
      <w:tr>
        <w:trPr>
          <w:cantSplit/>
        </w:trPr>
        <w:tc>
          <w:tcPr>
            <w:tcW w:w="3000" w:type="dxa"/>
            <w:vAlign w:val="center"/>
          </w:tcPr>
          <w:p>
            <w:pPr>
              <w:pStyle w:val="TableText"/>
            </w:pPr>
            <w:r>
              <w:t>Test membership SHA-256</w:t>
            </w:r>
          </w:p>
        </w:tc>
        <w:tc>
          <w:tcPr>
            <w:tcW w:w="6360" w:type="dxa"/>
            <w:vAlign w:val="center"/>
          </w:tcPr>
          <w:p>
            <w:pPr>
              <w:pStyle w:val="TableText"/>
            </w:pPr>
            <w:r>
              <w:t>93e2e6a0b74edbdce616b82628aed180dad4d004a9bcd24292a78896c240bc0d</w:t>
            </w:r>
          </w:p>
        </w:tc>
      </w:tr>
    </w:tbl>
    <w:p>
      <w:pPr>
        <w:pStyle w:val="Note"/>
        <w:spacing w:before="160"/>
      </w:pPr>
      <w:r>
        <w:t xml:space="preserve">本機證據根目錄：artifacts/runpod/run-20261007T085627Z-cc5f9ef13b484d90/。本次只修訂報告，不重訓、不重做 prepare/baseline、不改評估程式或指標手冊。每項新增數值的欄位對照如下；這批最終 test 不與尚無最終 test 的 a-adaptive64 多 seed 訓練混合。</w:t>
      </w:r>
    </w:p>
    <w:p>
      <w:pPr>
        <w:pStyle w:val="11"/>
      </w:pPr>
      <w:r>
        <w:t xml:space="preserve">附錄 C 指標來源與資料缺口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項目</w:t>
            </w:r>
          </w:p>
        </w:tc>
        <w:tc>
          <w:tcPr>
            <w:tcW w:w="6960" w:type="dxa"/>
            <w:shd w:fill="DCE6F1"/>
            <w:vAlign w:val="center"/>
          </w:tcPr>
          <w:p>
            <w:pPr>
              <w:pStyle w:val="TableHeader"/>
            </w:pPr>
            <w:r>
              <w:t xml:space="preserve">來源欄位</w:t>
            </w:r>
          </w:p>
        </w:tc>
      </w:tr>
      <w:tr>
        <w:trPr>
          <w:cantSplit/>
        </w:trPr>
        <w:tc>
          <w:tcPr>
            <w:tcW w:w="2400" w:type="dxa"/>
            <w:shd w:fill="FFFFFF"/>
            <w:vAlign w:val="center"/>
          </w:tcPr>
          <w:p>
            <w:pPr>
              <w:pStyle w:val="TableText"/>
            </w:pPr>
            <w:r>
              <w:t xml:space="preserve">實驗身分</w:t>
            </w:r>
          </w:p>
        </w:tc>
        <w:tc>
          <w:tcPr>
            <w:tcW w:w="6960" w:type="dxa"/>
            <w:shd w:fill="FFFFFF"/>
            <w:vAlign w:val="center"/>
          </w:tcPr>
          <w:p>
            <w:pPr>
              <w:pStyle w:val="TableText"/>
            </w:pPr>
            <w:r>
              <w:t xml:space="preserve">resolved-config.yaml experiment_name；run-manifest.json selection_provenance.stage_config_path</w:t>
            </w:r>
          </w:p>
        </w:tc>
      </w:tr>
      <w:tr>
        <w:trPr>
          <w:cantSplit/>
        </w:trPr>
        <w:tc>
          <w:tcPr>
            <w:tcW w:w="2400" w:type="dxa"/>
            <w:shd w:fill="F7F9FC"/>
            <w:vAlign w:val="center"/>
          </w:tcPr>
          <w:p>
            <w:pPr>
              <w:pStyle w:val="TableText"/>
            </w:pPr>
            <w:r>
              <w:t xml:space="preserve">Raw 分布</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校準分布</w:t>
            </w:r>
          </w:p>
        </w:tc>
        <w:tc>
          <w:tcPr>
            <w:tcW w:w="6960" w:type="dxa"/>
            <w:shd w:fill="FFFFFF"/>
            <w:vAlign w:val="center"/>
          </w:tcPr>
          <w:p>
            <w:pPr>
              <w:pStyle w:val="TableText"/>
            </w:pPr>
            <w:r>
              <w:t xml:space="preserve">models.kronos_full.metrics.calibrated.aggregate / per_horizon / by_market</w:t>
            </w:r>
          </w:p>
        </w:tc>
      </w:tr>
      <w:tr>
        <w:trPr>
          <w:cantSplit/>
        </w:trPr>
        <w:tc>
          <w:tcPr>
            <w:tcW w:w="2400" w:type="dxa"/>
            <w:shd w:fill="F7F9FC"/>
            <w:vAlign w:val="center"/>
          </w:tcPr>
          <w:p>
            <w:pPr>
              <w:pStyle w:val="TableText"/>
            </w:pPr>
            <w:r>
              <w:t xml:space="preserve">校準來源</w:t>
            </w:r>
          </w:p>
        </w:tc>
        <w:tc>
          <w:tcPr>
            <w:tcW w:w="6960" w:type="dxa"/>
            <w:shd w:fill="F7F9FC"/>
            <w:vAlign w:val="center"/>
          </w:tcPr>
          <w:p>
            <w:pPr>
              <w:pStyle w:val="TableText"/>
            </w:pPr>
            <w:r>
              <w:t xml:space="preserve">metrics.interval_calibration = interval-calibration.json；fit_split=validation；calibrated.in_sample_fit=false</w:t>
            </w:r>
          </w:p>
        </w:tc>
      </w:tr>
      <w:tr>
        <w:trPr>
          <w:cantSplit/>
        </w:trPr>
        <w:tc>
          <w:tcPr>
            <w:tcW w:w="2400" w:type="dxa"/>
            <w:shd w:fill="FFFFFF"/>
            <w:vAlign w:val="center"/>
          </w:tcPr>
          <w:p>
            <w:pPr>
              <w:pStyle w:val="TableText"/>
            </w:pPr>
            <w:r>
              <w:t xml:space="preserve">市場 raw</w:t>
            </w:r>
          </w:p>
        </w:tc>
        <w:tc>
          <w:tcPr>
            <w:tcW w:w="6960" w:type="dxa"/>
            <w:shd w:fill="FFFFFF"/>
            <w:vAlign w:val="center"/>
          </w:tcPr>
          <w:p>
            <w:pPr>
              <w:pStyle w:val="TableText"/>
            </w:pPr>
            <w:r>
              <w:t xml:space="preserve">models.kronos_full.metrics.subgroups.market.&lt;MARKET&gt;.aggregate / per_horizon</w:t>
            </w:r>
          </w:p>
        </w:tc>
      </w:tr>
      <w:tr>
        <w:trPr>
          <w:cantSplit/>
        </w:trPr>
        <w:tc>
          <w:tcPr>
            <w:tcW w:w="2400" w:type="dxa"/>
            <w:shd w:fill="F7F9FC"/>
            <w:vAlign w:val="center"/>
          </w:tcPr>
          <w:p>
            <w:pPr>
              <w:pStyle w:val="TableText"/>
            </w:pPr>
            <w:r>
              <w:t xml:space="preserve">q50 排序</w:t>
            </w:r>
          </w:p>
        </w:tc>
        <w:tc>
          <w:tcPr>
            <w:tcW w:w="6960" w:type="dxa"/>
            <w:shd w:fill="F7F9FC"/>
            <w:vAlign w:val="center"/>
          </w:tcPr>
          <w:p>
            <w:pPr>
              <w:pStyle w:val="TableText"/>
            </w:pPr>
            <w:r>
              <w:t xml:space="preserve">metrics.cross_sectional_by_horizon.&lt;H&gt;；pooled US TWSE TPEX</w:t>
            </w:r>
          </w:p>
        </w:tc>
      </w:tr>
      <w:tr>
        <w:trPr>
          <w:cantSplit/>
        </w:trPr>
        <w:tc>
          <w:tcPr>
            <w:tcW w:w="2400" w:type="dxa"/>
            <w:shd w:fill="FFFFFF"/>
            <w:vAlign w:val="center"/>
          </w:tcPr>
          <w:p>
            <w:pPr>
              <w:pStyle w:val="TableText"/>
            </w:pPr>
            <w:r>
              <w:t xml:space="preserve">獨立排序</w:t>
            </w:r>
          </w:p>
        </w:tc>
        <w:tc>
          <w:tcPr>
            <w:tcW w:w="6960" w:type="dxa"/>
            <w:shd w:fill="FFFFFF"/>
            <w:vAlign w:val="center"/>
          </w:tcPr>
          <w:p>
            <w:pPr>
              <w:pStyle w:val="TableText"/>
            </w:pPr>
            <w:r>
              <w:t xml:space="preserve">metrics.independent_ranking.by_market.&lt;MARKET&gt;.&lt;H&gt;.rank_ic_mean / rank_ic_ir / evaluated_dates</w:t>
            </w:r>
          </w:p>
        </w:tc>
      </w:tr>
      <w:tr>
        <w:trPr>
          <w:cantSplit/>
        </w:trPr>
        <w:tc>
          <w:tcPr>
            <w:tcW w:w="2400" w:type="dxa"/>
            <w:shd w:fill="F7F9FC"/>
            <w:vAlign w:val="center"/>
          </w:tcPr>
          <w:p>
            <w:pPr>
              <w:pStyle w:val="TableText"/>
            </w:pPr>
            <w:r>
              <w:t xml:space="preserve">固定分布</w:t>
            </w:r>
          </w:p>
        </w:tc>
        <w:tc>
          <w:tcPr>
            <w:tcW w:w="6960" w:type="dxa"/>
            <w:shd w:fill="F7F9FC"/>
            <w:vAlign w:val="center"/>
          </w:tcPr>
          <w:p>
            <w:pPr>
              <w:pStyle w:val="TableText"/>
            </w:pPr>
            <w:r>
              <w:t xml:space="preserve">models.zero_return.metrics.per_horizon.&lt;H&gt;.median_direction_agreement；equals models.always_buy.metrics</w:t>
            </w:r>
          </w:p>
        </w:tc>
      </w:tr>
      <w:tr>
        <w:trPr>
          <w:cantSplit/>
        </w:trPr>
        <w:tc>
          <w:tcPr>
            <w:tcW w:w="2400" w:type="dxa"/>
            <w:shd w:fill="FFFFFF"/>
            <w:vAlign w:val="center"/>
          </w:tcPr>
          <w:p>
            <w:pPr>
              <w:pStyle w:val="TableText"/>
            </w:pPr>
            <w:r>
              <w:t xml:space="preserve">Checkpoint 時序</w:t>
            </w:r>
          </w:p>
        </w:tc>
        <w:tc>
          <w:tcPr>
            <w:tcW w:w="6960" w:type="dxa"/>
            <w:shd w:fill="FFFFFF"/>
            <w:vAlign w:val="center"/>
          </w:tcPr>
          <w:p>
            <w:pPr>
              <w:pStyle w:val="TableText"/>
            </w:pPr>
            <w:r>
              <w:t xml:space="preserve">metrics.jsonl validation/evaluation_index；best-checkpoint.json；checkpoint-leaderboard.json；trainer-state.json</w:t>
            </w:r>
          </w:p>
        </w:tc>
      </w:tr>
      <w:tr>
        <w:trPr>
          <w:cantSplit/>
        </w:trPr>
        <w:tc>
          <w:tcPr>
            <w:tcW w:w="2400" w:type="dxa"/>
            <w:shd w:fill="F7F9FC"/>
            <w:vAlign w:val="center"/>
          </w:tcPr>
          <w:p>
            <w:pPr>
              <w:pStyle w:val="TableText"/>
            </w:pPr>
            <w:r>
              <w:t xml:space="preserve">策略限制程式</w:t>
            </w:r>
          </w:p>
        </w:tc>
        <w:tc>
          <w:tcPr>
            <w:tcW w:w="6960" w:type="dxa"/>
            <w:shd w:fill="F7F9FC"/>
            <w:vAlign w:val="center"/>
          </w:tcPr>
          <w:p>
            <w:pPr>
              <w:pStyle w:val="TableText"/>
            </w:pPr>
            <w:r>
              <w:t xml:space="preserve">src/stock_forecasting/metrics.py cross_sectional_metrics；weights ±0.5 / gross unscaled</w:t>
            </w:r>
          </w:p>
        </w:tc>
      </w:tr>
    </w:tbl>
    <w:p>
      <w:pPr>
        <w:pStyle w:val="a"/>
        <w:spacing w:before="160"/>
      </w:pPr>
      <w:r>
        <w:t xml:space="preserve">缺口：本機三個 run 目錄只有彙總 artifacts，未下載 targets.npy、predictions.npy、membership.npy、ranking-scores.npy 等完整原始序列。現有 JSON 無同市場同日期的 q50 RankIC 對照，也未提供已統一資金尺度的投資組合報酬序列。上述項目是尚未計算／未下載，不是零或沒有改善；報告不能用彙總數字替代重算。</w:t>
      </w:r>
    </w:p>
    <w:p>
      <w:pPr>
        <w:pStyle w:val="21"/>
      </w:pPr>
      <w:r>
        <w:t xml:space="preserve">此批校準模式與未來報告規則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欄位</w:t>
            </w:r>
          </w:p>
        </w:tc>
        <w:tc>
          <w:tcPr>
            <w:tcW w:w="2300" w:type="dxa"/>
            <w:shd w:fill="DCE6F1"/>
            <w:vAlign w:val="center"/>
          </w:tcPr>
          <w:p>
            <w:pPr>
              <w:pStyle w:val="TableHeader"/>
            </w:pPr>
            <w:r>
              <w:t xml:space="preserve">本批狀態</w:t>
            </w:r>
          </w:p>
        </w:tc>
        <w:tc>
          <w:tcPr>
            <w:tcW w:w="4460" w:type="dxa"/>
            <w:shd w:fill="DCE6F1"/>
            <w:vAlign w:val="center"/>
          </w:tcPr>
          <w:p>
            <w:pPr>
              <w:pStyle w:val="TableHeader"/>
            </w:pPr>
            <w:r>
              <w:t xml:space="preserve">解讀規則</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有</w:t>
            </w:r>
          </w:p>
        </w:tc>
        <w:tc>
          <w:tcPr>
            <w:tcW w:w="4460" w:type="dxa"/>
            <w:shd w:fill="FFFFFF"/>
            <w:vAlign w:val="center"/>
          </w:tcPr>
          <w:p>
            <w:pPr>
              <w:pStyle w:val="TableText"/>
            </w:pPr>
            <w:r>
              <w:t xml:space="preserve">checkpoint 選擇使用未校準 validation</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有 static 校準</w:t>
            </w:r>
          </w:p>
        </w:tc>
        <w:tc>
          <w:tcPr>
            <w:tcW w:w="4460" w:type="dxa"/>
            <w:shd w:fill="F7F9FC"/>
            <w:vAlign w:val="center"/>
          </w:tcPr>
          <w:p>
            <w:pPr>
              <w:pStyle w:val="TableText"/>
            </w:pPr>
            <w:r>
              <w:t xml:space="preserve">本批為 validation 擬合後凍結套用 test</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不適用 無獨立欄位</w:t>
            </w:r>
          </w:p>
        </w:tc>
        <w:tc>
          <w:tcPr>
            <w:tcW w:w="4460" w:type="dxa"/>
            <w:shd w:fill="FFFFFF"/>
            <w:vAlign w:val="center"/>
          </w:tcPr>
          <w:p>
            <w:pPr>
              <w:pStyle w:val="TableText"/>
            </w:pPr>
            <w:r>
              <w:t xml:space="preserve">未來 adaptive run 若有，獨立呈現 static 對照</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不適用 無欄位</w:t>
            </w:r>
          </w:p>
        </w:tc>
        <w:tc>
          <w:tcPr>
            <w:tcW w:w="4460" w:type="dxa"/>
            <w:shd w:fill="F7F9FC"/>
            <w:vAlign w:val="center"/>
          </w:tcPr>
          <w:p>
            <w:pPr>
              <w:pStyle w:val="TableText"/>
            </w:pPr>
            <w:r>
              <w:t xml:space="preserve">未來只用已成熟的過往標籤回饋；非完全凍結 holdout</w:t>
            </w:r>
          </w:p>
        </w:tc>
      </w:tr>
    </w:tbl>
    <w:p>
      <w:pPr>
        <w:pStyle w:val="a"/>
        <w:spacing w:before="160"/>
      </w:pPr>
      <w:r>
        <w:t xml:space="preserve">未來 adaptive run 的 calibrated 是凍結 regime-adaptive 校準，不可沿用本批 static 語意。calibrated_static、calibrated、calibrated_online 若存在，分別列出整體、horizon、市場及可用月份的 pinball、coverage、error、width，註明擬合來源、標籤成熟規則、更新時點與 checkpoint。缺欄位標不適用，缺資料標尚未計算，均不可補零。Online 不改模型或選模，但使用過往 test 回饋，因此不能冒充完全凍結的 test。</w:t>
      </w:r>
    </w:p>
    <w:p>
      <w:pPr>
        <w:pStyle w:val="21"/>
      </w:pPr>
      <w:r>
        <w:t xml:space="preserve">證據檔案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pPr>
            <w:r>
              <w:t xml:space="preserve">檔案</w:t>
            </w:r>
          </w:p>
        </w:tc>
        <w:tc>
          <w:tcPr>
            <w:tcW w:w="6760" w:type="dxa"/>
            <w:shd w:fill="DCE6F1"/>
            <w:vAlign w:val="center"/>
          </w:tcPr>
          <w:p>
            <w:pPr>
              <w:pStyle w:val="TableHeader"/>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df56a0bc1c0767074b6d48d312aa40b313b933eb529ddb3e241497ff372366f3</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c0d03185afae56f1dec1b0b36481e9420ed01655572918e998c8545906bdd561</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382c28e707fc5ca64fbc2010578a4eb3d696814d7ebd94d30976c43363fe1bec</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746089fc10bb74b541f9cafea952ff6e833a50df324e3b26ab0d1e2fc5be541d</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39ea23dfc6bcb795d2c621fe7ea49ea2a2e00b1b6ee4376f76f1cbbbcc360d45</w:t>
            </w:r>
          </w:p>
        </w:tc>
      </w:tr>
    </w:tbl>
    <w:p>
      <w:pPr>
        <w:pStyle w:val="Kicker"/>
        <w:spacing w:before="160"/>
        <w:pageBreakBefore/>
      </w:pPr>
      <w:r>
        <w:t>MODEL PERFORMANCE EVALUATION</w:t>
      </w:r>
    </w:p>
    <w:p>
      <w:pPr>
        <w:pStyle w:val="ReportTitle"/>
      </w:pPr>
      <w:r>
        <w:t xml:space="preserve">One to Fourteen Day Alpha Forecast and Ranking Evaluation</w:t>
      </w:r>
    </w:p>
    <w:p>
      <w:pPr>
        <w:pStyle w:val="1"/>
      </w:pPr>
      <w:r>
        <w:t xml:space="preserve">A-LoRA64  Stage 2  run-20261007T085627Z-cc5f9ef13b484d90</w:t>
      </w:r>
    </w:p>
    <w:p>
      <w:pPr>
        <w:pStyle w:val="Metadata"/>
      </w:pPr>
      <w:r>
        <w:t xml:space="preserve">Report revision date: 2026-10-09</w:t>
      </w:r>
    </w:p>
    <w:p>
      <w:pPr>
        <w:pStyle w:val="Metadata"/>
      </w:pPr>
      <w:r>
        <w:t>Best checkpoint: checkpoint-014720 (global step 14,720)</w:t>
      </w:r>
    </w:p>
    <w:p>
      <w:pPr>
        <w:pStyle w:val="Metadata"/>
      </w:pPr>
      <w:r>
        <w:t>Evaluation split: full test; checkpoint selected on validation; test is unlocked</w:t>
      </w:r>
    </w:p>
    <w:p>
      <w:pPr>
        <w:pStyle w:val="Lead"/>
      </w:pPr>
      <w:r>
        <w:t xml:space="preserve">A-LoRA64 has raw test normalized pinball 0.291608, rank 1/13. Calibration changes it to 0.291244 and all-horizon coverage from 77.8015% to 79.4615%. q50 is unchanged; assess direction against a training-fixed distribution. Report the independent ranking head separately by market. Current net returns, Sharpe and drawdown have inconsistent capital scales and are not reliable strategy performance.</w:t>
      </w:r>
    </w:p>
    <w:p>
      <w:pPr>
        <w:pStyle w:val="11"/>
      </w:pPr>
      <w:r>
        <w:t>1. Executive summary</w:t>
      </w:r>
    </w:p>
    <w:p>
      <w:pPr>
        <w:pStyle w:val="21"/>
      </w:pPr>
      <w:r>
        <w:t>1.1 The unit of evaluation is all 14 horizons</w:t>
      </w:r>
    </w:p>
    <w:p>
      <w:pPr>
        <w:pStyle w:val="a"/>
      </w:pPr>
      <w:r>
        <w:t>Each sample contains 14 q10/q50/q90 triplets. The selection score is the equal-weight normalized pinball mean across all 14 horizons. This run evaluates the full test split rather than a subset.</w:t>
      </w:r>
    </w:p>
    <w:p>
      <w:pPr>
        <w:pStyle w:val="Decision"/>
        <w:keepNext/>
        <w:spacing w:after="80"/>
      </w:pPr>
      <w:r>
        <w:t>Table 1 | Main findings across days 1 through 14</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Evaluation area</w:t>
            </w:r>
          </w:p>
        </w:tc>
        <w:tc>
          <w:tcPr>
            <w:tcW w:w="2800" w:type="dxa"/>
            <w:shd w:val="clear" w:fill="DCE6F1"/>
            <w:vAlign w:val="center"/>
          </w:tcPr>
          <w:p>
            <w:pPr>
              <w:pStyle w:val="TableHeader"/>
            </w:pPr>
            <w:r>
              <w:t>Result</w:t>
            </w:r>
          </w:p>
        </w:tc>
        <w:tc>
          <w:tcPr>
            <w:tcW w:w="3910" w:type="dxa"/>
            <w:shd w:val="clear" w:fill="DCE6F1"/>
            <w:vAlign w:val="center"/>
          </w:tcPr>
          <w:p>
            <w:pPr>
              <w:pStyle w:val="TableHeader"/>
            </w:pPr>
            <w:r>
              <w:t>Correct interpretation</w:t>
            </w:r>
          </w:p>
        </w:tc>
      </w:tr>
      <w:tr>
        <w:trPr>
          <w:cantSplit/>
        </w:trPr>
        <w:tc>
          <w:tcPr>
            <w:tcW w:w="2650" w:type="dxa"/>
            <w:vAlign w:val="center"/>
          </w:tcPr>
          <w:p>
            <w:pPr>
              <w:pStyle w:val="TableText"/>
            </w:pPr>
            <w:r>
              <w:t xml:space="preserve">All-horizon raw test score</w:t>
            </w:r>
          </w:p>
        </w:tc>
        <w:tc>
          <w:tcPr>
            <w:tcW w:w="2800" w:type="dxa"/>
            <w:vAlign w:val="center"/>
          </w:tcPr>
          <w:p>
            <w:pPr>
              <w:pStyle w:val="TableNumber"/>
            </w:pPr>
            <w:r>
              <w:t xml:space="preserve">0.291608</w:t>
            </w:r>
          </w:p>
        </w:tc>
        <w:tc>
          <w:tcPr>
            <w:tcW w:w="3910" w:type="dxa"/>
            <w:vAlign w:val="center"/>
          </w:tcPr>
          <w:p>
            <w:pPr>
              <w:pStyle w:val="TableText"/>
            </w:pPr>
            <w:r>
              <w:t xml:space="preserve">Rank 1/13; select checkpoints only on raw validation</w:t>
            </w:r>
          </w:p>
        </w:tc>
      </w:tr>
      <w:tr>
        <w:trPr>
          <w:cantSplit/>
        </w:trPr>
        <w:tc>
          <w:tcPr>
            <w:tcW w:w="2650" w:type="dxa"/>
            <w:vAlign w:val="center"/>
          </w:tcPr>
          <w:p>
            <w:pPr>
              <w:pStyle w:val="TableText"/>
            </w:pPr>
            <w:r>
              <w:t xml:space="preserve">Calibrated distribution error</w:t>
            </w:r>
          </w:p>
        </w:tc>
        <w:tc>
          <w:tcPr>
            <w:tcW w:w="2800" w:type="dxa"/>
            <w:vAlign w:val="center"/>
          </w:tcPr>
          <w:p>
            <w:pPr>
              <w:pStyle w:val="TableNumber"/>
            </w:pPr>
            <w:r>
              <w:t xml:space="preserve">0.291244</w:t>
            </w:r>
          </w:p>
        </w:tc>
        <w:tc>
          <w:tcPr>
            <w:tcW w:w="3910" w:type="dxa"/>
            <w:vAlign w:val="center"/>
          </w:tcPr>
          <w:p>
            <w:pPr>
              <w:pStyle w:val="TableText"/>
            </w:pPr>
            <w:r>
              <w:t xml:space="preserve">Validation-fitted and frozen on test; not a new selection score</w:t>
            </w:r>
          </w:p>
        </w:tc>
      </w:tr>
      <w:tr>
        <w:trPr>
          <w:cantSplit/>
        </w:trPr>
        <w:tc>
          <w:tcPr>
            <w:tcW w:w="2650" w:type="dxa"/>
            <w:vAlign w:val="center"/>
          </w:tcPr>
          <w:p>
            <w:pPr>
              <w:pStyle w:val="TableText"/>
            </w:pPr>
            <w:r>
              <w:t xml:space="preserve">All-horizon coverage raw / calibrated</w:t>
            </w:r>
          </w:p>
        </w:tc>
        <w:tc>
          <w:tcPr>
            <w:tcW w:w="2800" w:type="dxa"/>
            <w:vAlign w:val="center"/>
          </w:tcPr>
          <w:p>
            <w:pPr>
              <w:pStyle w:val="TableNumber"/>
            </w:pPr>
            <w:r>
              <w:t xml:space="preserve">77.8015%</w:t>
              <w:br/>
              <w:t xml:space="preserve">79.4615%</w:t>
            </w:r>
          </w:p>
        </w:tc>
        <w:tc>
          <w:tcPr>
            <w:tcW w:w="3910" w:type="dxa"/>
            <w:vAlign w:val="center"/>
          </w:tcPr>
          <w:p>
            <w:pPr>
              <w:pStyle w:val="TableText"/>
            </w:pPr>
            <w:r>
              <w:t xml:space="preserve">Read with width and markets; no 80% subgroup guarantee</w:t>
            </w:r>
          </w:p>
        </w:tc>
      </w:tr>
      <w:tr>
        <w:trPr>
          <w:cantSplit/>
        </w:trPr>
        <w:tc>
          <w:tcPr>
            <w:tcW w:w="2650" w:type="dxa"/>
            <w:vAlign w:val="center"/>
          </w:tcPr>
          <w:p>
            <w:pPr>
              <w:pStyle w:val="TableText"/>
            </w:pPr>
            <w:r>
              <w:t xml:space="preserve">q50 Pearson correlation</w:t>
            </w:r>
          </w:p>
        </w:tc>
        <w:tc>
          <w:tcPr>
            <w:tcW w:w="2800" w:type="dxa"/>
            <w:vAlign w:val="center"/>
          </w:tcPr>
          <w:p>
            <w:pPr>
              <w:pStyle w:val="TableNumber"/>
            </w:pPr>
            <w:r>
              <w:t xml:space="preserve">0.0701~0.1303</w:t>
            </w:r>
          </w:p>
        </w:tc>
        <w:tc>
          <w:tcPr>
            <w:tcW w:w="3910" w:type="dxa"/>
            <w:vAlign w:val="center"/>
          </w:tcPr>
          <w:p>
            <w:pPr>
              <w:pStyle w:val="TableText"/>
            </w:pPr>
            <w:r>
              <w:t xml:space="preserve">Co-movement of median alpha forecasts and outcomes; unchanged by calibration</w:t>
            </w:r>
          </w:p>
        </w:tc>
      </w:tr>
      <w:tr>
        <w:trPr>
          <w:cantSplit/>
        </w:trPr>
        <w:tc>
          <w:tcPr>
            <w:tcW w:w="2650" w:type="dxa"/>
            <w:vAlign w:val="center"/>
          </w:tcPr>
          <w:p>
            <w:pPr>
              <w:pStyle w:val="TableText"/>
            </w:pPr>
            <w:r>
              <w:t xml:space="preserve">Direction versus fixed distribution</w:t>
            </w:r>
          </w:p>
        </w:tc>
        <w:tc>
          <w:tcPr>
            <w:tcW w:w="2800" w:type="dxa"/>
            <w:vAlign w:val="center"/>
          </w:tcPr>
          <w:p>
            <w:pPr>
              <w:pStyle w:val="TableNumber"/>
            </w:pPr>
            <w:r>
              <w:t xml:space="preserve">-0.9627~+0.0732 pp</w:t>
            </w:r>
          </w:p>
        </w:tc>
        <w:tc>
          <w:tcPr>
            <w:tcW w:w="3910" w:type="dxa"/>
            <w:vAlign w:val="center"/>
          </w:tcPr>
          <w:p>
            <w:pPr>
              <w:pStyle w:val="TableText"/>
            </w:pPr>
            <w:r>
              <w:t xml:space="preserve">Only 1/14 horizons exceed the training-fixed baseline; not stock-price direction</w:t>
            </w:r>
          </w:p>
        </w:tc>
      </w:tr>
      <w:tr>
        <w:trPr>
          <w:cantSplit/>
        </w:trPr>
        <w:tc>
          <w:tcPr>
            <w:tcW w:w="2650" w:type="dxa"/>
            <w:vAlign w:val="center"/>
          </w:tcPr>
          <w:p>
            <w:pPr>
              <w:pStyle w:val="TableText"/>
            </w:pPr>
            <w:r>
              <w:t xml:space="preserve">q50 sorting RankIC</w:t>
            </w:r>
          </w:p>
        </w:tc>
        <w:tc>
          <w:tcPr>
            <w:tcW w:w="2800" w:type="dxa"/>
            <w:vAlign w:val="center"/>
          </w:tcPr>
          <w:p>
            <w:pPr>
              <w:pStyle w:val="TableNumber"/>
            </w:pPr>
            <w:r>
              <w:t xml:space="preserve">0.0844~0.1264</w:t>
            </w:r>
          </w:p>
        </w:tc>
        <w:tc>
          <w:tcPr>
            <w:tcW w:w="3910" w:type="dxa"/>
            <w:vAlign w:val="center"/>
          </w:tcPr>
          <w:p>
            <w:pPr>
              <w:pStyle w:val="TableText"/>
            </w:pPr>
            <w:r>
              <w:t xml:space="preserve">Pooled markets; no same-population comparison against market-specific head metrics</w:t>
            </w:r>
          </w:p>
        </w:tc>
      </w:tr>
      <w:tr>
        <w:trPr>
          <w:cantSplit/>
        </w:trPr>
        <w:tc>
          <w:tcPr>
            <w:tcW w:w="2650" w:type="dxa"/>
            <w:vAlign w:val="center"/>
          </w:tcPr>
          <w:p>
            <w:pPr>
              <w:pStyle w:val="TableText"/>
            </w:pPr>
            <w:r>
              <w:t xml:space="preserve">Independent ranking head RankIC</w:t>
            </w:r>
          </w:p>
        </w:tc>
        <w:tc>
          <w:tcPr>
            <w:tcW w:w="2800" w:type="dxa"/>
            <w:vAlign w:val="center"/>
          </w:tcPr>
          <w:p>
            <w:pPr>
              <w:pStyle w:val="TableNumber"/>
            </w:pPr>
            <w:r>
              <w:t xml:space="preserve">US 0.0284~0.0893; TWSE 0.0508~0.0665; TPEX 0.0482~0.0696</w:t>
            </w:r>
          </w:p>
        </w:tc>
        <w:tc>
          <w:tcPr>
            <w:tcW w:w="3910" w:type="dxa"/>
            <w:vAlign w:val="center"/>
          </w:tcPr>
          <w:p>
            <w:pPr>
              <w:pStyle w:val="TableText"/>
            </w:pPr>
            <w:r>
              <w:t xml:space="preserve">Dimensionless scores; all 42 market-horizon means are positive, stability remains unverified</w:t>
            </w:r>
          </w:p>
        </w:tc>
      </w:tr>
      <w:tr>
        <w:trPr>
          <w:cantSplit/>
        </w:trPr>
        <w:tc>
          <w:tcPr>
            <w:tcW w:w="2650" w:type="dxa"/>
            <w:vAlign w:val="center"/>
          </w:tcPr>
          <w:p>
            <w:pPr>
              <w:pStyle w:val="TableText"/>
            </w:pPr>
            <w:r>
              <w:t xml:space="preserve">Net Sharpe and maximum drawdown</w:t>
            </w:r>
          </w:p>
        </w:tc>
        <w:tc>
          <w:tcPr>
            <w:tcW w:w="2800" w:type="dxa"/>
            <w:vAlign w:val="center"/>
          </w:tcPr>
          <w:p>
            <w:pPr>
              <w:pStyle w:val="TableNumber"/>
            </w:pPr>
            <w:r>
              <w:t xml:space="preserve">Original values retained in Table 9</w:t>
            </w:r>
          </w:p>
        </w:tc>
        <w:tc>
          <w:tcPr>
            <w:tcW w:w="3910" w:type="dxa"/>
            <w:vAlign w:val="center"/>
          </w:tcPr>
          <w:p>
            <w:pPr>
              <w:pStyle w:val="TableText"/>
            </w:pPr>
            <w:r>
              <w:t xml:space="preserve">Legacy simplified diagnostics; inconsistent capital and cost scales, not reliable strategy performance</w:t>
            </w:r>
          </w:p>
        </w:tc>
      </w:tr>
    </w:tbl>
    <w:p>
      <w:pPr>
        <w:pStyle w:val="21"/>
        <w:spacing w:before="160"/>
      </w:pPr>
      <w:r>
        <w:t>1.2 Decision and evidence strength</w:t>
      </w:r>
    </w:p>
    <w:p>
      <w:pPr>
        <w:pStyle w:val="a"/>
      </w:pPr>
      <w:r>
        <w:t xml:space="preserve">Raw distribution error ranks 1/13 and is 5.78% below the training-fixed unconditional distribution baseline 0.309493. The three runs compare configurations on the same test population at one seed, not multi-seed stability. always_buy and zero_return retain distinct source names but identical predictions, not two distinct direction strategies.</w:t>
      </w:r>
    </w:p>
    <w:p>
      <w:pPr>
        <w:pStyle w:val="Decision"/>
      </w:pPr>
      <w:r>
        <w:t xml:space="preserve">Decision: retain the checkpoint and prediction evidence. Do not approve deployment or profit claims before multi-seed stability, same-market ranking comparisons, evaluator capital/cost corrections and formal backtesting.</w:t>
      </w:r>
    </w:p>
    <w:p>
      <w:pPr>
        <w:pStyle w:val="Note"/>
      </w:pPr>
      <w:r>
        <w:t>Selection score measures distribution error across 14 horizons. It is not return, hit rate, or a tradability score.</w:t>
      </w:r>
    </w:p>
    <w:p>
      <w:pPr>
        <w:pStyle w:val="11"/>
      </w:pPr>
      <w:r>
        <w:t xml:space="preserve">2. Evaluation design and evidence boundaries</w:t>
      </w:r>
    </w:p>
    <w:p>
      <w:pPr>
        <w:pStyle w:val="21"/>
      </w:pPr>
      <w:r>
        <w:t>2.1 Data and splits</w:t>
      </w:r>
    </w:p>
    <w:p>
      <w:pPr>
        <w:pStyle w:val="a"/>
      </w:pPr>
      <w:r>
        <w:t xml:space="preserve">The profile is us_tw_eodhd. All three runs have evaluation_split=test and state=ready, with identical 534,327 windows, 112 forecast dates and ordered symbol-date membership. validation-benchmark.json is a workflow filename, not the final evaluation split. Full test forecast dates span 2025-12-01 through 2026-05-11; validation is used only for checkpoint selection, early stopping and calibration fitting.</w:t>
      </w:r>
    </w:p>
    <w:p>
      <w:pPr>
        <w:pStyle w:val="Decision"/>
        <w:keepNext/>
        <w:spacing w:after="80"/>
      </w:pPr>
      <w:r>
        <w:t>Table 2 | Samples and splits</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Item</w:t>
            </w:r>
          </w:p>
        </w:tc>
        <w:tc>
          <w:tcPr>
            <w:tcW w:w="2050" w:type="dxa"/>
            <w:shd w:val="clear" w:fill="DCE6F1"/>
            <w:vAlign w:val="center"/>
          </w:tcPr>
          <w:p>
            <w:pPr>
              <w:pStyle w:val="TableHeader"/>
            </w:pPr>
            <w:r>
              <w:t>Count or state</w:t>
            </w:r>
          </w:p>
        </w:tc>
        <w:tc>
          <w:tcPr>
            <w:tcW w:w="4510" w:type="dxa"/>
            <w:shd w:val="clear" w:fill="DCE6F1"/>
            <w:vAlign w:val="center"/>
          </w:tcPr>
          <w:p>
            <w:pPr>
              <w:pStyle w:val="TableHeader"/>
            </w:pPr>
            <w:r>
              <w:t>Meaning</w:t>
            </w:r>
          </w:p>
        </w:tc>
      </w:tr>
      <w:tr>
        <w:trPr>
          <w:cantSplit/>
        </w:trPr>
        <w:tc>
          <w:tcPr>
            <w:tcW w:w="2800" w:type="dxa"/>
            <w:vAlign w:val="center"/>
          </w:tcPr>
          <w:p>
            <w:pPr>
              <w:pStyle w:val="TableText"/>
            </w:pPr>
            <w:r>
              <w:t>Training samples per epoch</w:t>
            </w:r>
          </w:p>
        </w:tc>
        <w:tc>
          <w:tcPr>
            <w:tcW w:w="2050" w:type="dxa"/>
            <w:vAlign w:val="center"/>
          </w:tcPr>
          <w:p>
            <w:pPr>
              <w:pStyle w:val="TableNumber"/>
            </w:pPr>
            <w:r>
              <w:t>4,710,117</w:t>
            </w:r>
          </w:p>
        </w:tc>
        <w:tc>
          <w:tcPr>
            <w:tcW w:w="4510" w:type="dxa"/>
            <w:vAlign w:val="center"/>
          </w:tcPr>
          <w:p>
            <w:pPr>
              <w:pStyle w:val="TableText"/>
            </w:pPr>
            <w:r>
              <w:t>Stage 2 sample set; epochs are not counted again</w:t>
            </w:r>
          </w:p>
        </w:tc>
      </w:tr>
      <w:tr>
        <w:trPr>
          <w:cantSplit/>
        </w:trPr>
        <w:tc>
          <w:tcPr>
            <w:tcW w:w="2800" w:type="dxa"/>
            <w:vAlign w:val="center"/>
          </w:tcPr>
          <w:p>
            <w:pPr>
              <w:pStyle w:val="TableText"/>
            </w:pPr>
            <w:r>
              <w:t>Processed training samples</w:t>
            </w:r>
          </w:p>
        </w:tc>
        <w:tc>
          <w:tcPr>
            <w:tcW w:w="2050" w:type="dxa"/>
            <w:vAlign w:val="center"/>
          </w:tcPr>
          <w:p>
            <w:pPr>
              <w:pStyle w:val="TableNumber"/>
            </w:pPr>
            <w:r>
              <w:t>9,420,288 / 23,550,585 (40.00%)</w:t>
            </w:r>
          </w:p>
        </w:tc>
        <w:tc>
          <w:tcPr>
            <w:tcW w:w="4510" w:type="dxa"/>
            <w:vAlign w:val="center"/>
          </w:tcPr>
          <w:p>
            <w:pPr>
              <w:pStyle w:val="TableText"/>
            </w:pPr>
            <w:r>
              <w:t>Early stopping ended training before all planned samples were processed</w:t>
            </w:r>
          </w:p>
        </w:tc>
      </w:tr>
      <w:tr>
        <w:trPr>
          <w:cantSplit/>
        </w:trPr>
        <w:tc>
          <w:tcPr>
            <w:tcW w:w="2800" w:type="dxa"/>
            <w:vAlign w:val="center"/>
          </w:tcPr>
          <w:p>
            <w:pPr>
              <w:pStyle w:val="TableText"/>
            </w:pPr>
            <w:r>
              <w:t>Full validation split</w:t>
            </w:r>
          </w:p>
        </w:tc>
        <w:tc>
          <w:tcPr>
            <w:tcW w:w="2050" w:type="dxa"/>
            <w:vAlign w:val="center"/>
          </w:tcPr>
          <w:p>
            <w:pPr>
              <w:pStyle w:val="TableNumber"/>
            </w:pPr>
            <w:r>
              <w:t>528,315</w:t>
            </w:r>
          </w:p>
        </w:tc>
        <w:tc>
          <w:tcPr>
            <w:tcW w:w="4510" w:type="dxa"/>
            <w:vAlign w:val="center"/>
          </w:tcPr>
          <w:p>
            <w:pPr>
              <w:pStyle w:val="TableText"/>
            </w:pPr>
            <w:r>
              <w:t>Used for checkpoint selection and early stopping</w:t>
            </w:r>
          </w:p>
        </w:tc>
      </w:tr>
      <w:tr>
        <w:trPr>
          <w:cantSplit/>
        </w:trPr>
        <w:tc>
          <w:tcPr>
            <w:tcW w:w="2800" w:type="dxa"/>
            <w:vAlign w:val="center"/>
          </w:tcPr>
          <w:p>
            <w:pPr>
              <w:pStyle w:val="TableText"/>
            </w:pPr>
            <w:r>
              <w:t>Full test split</w:t>
            </w:r>
          </w:p>
        </w:tc>
        <w:tc>
          <w:tcPr>
            <w:tcW w:w="2050" w:type="dxa"/>
            <w:vAlign w:val="center"/>
          </w:tcPr>
          <w:p>
            <w:pPr>
              <w:pStyle w:val="TableNumber"/>
            </w:pPr>
            <w:r>
              <w:t>534,327</w:t>
            </w:r>
          </w:p>
        </w:tc>
        <w:tc>
          <w:tcPr>
            <w:tcW w:w="4510" w:type="dxa"/>
            <w:vAlign w:val="center"/>
          </w:tcPr>
          <w:p>
            <w:pPr>
              <w:pStyle w:val="TableText"/>
            </w:pPr>
            <w:r>
              <w:t>The complete test split was evaluated without subsampling</w:t>
            </w:r>
          </w:p>
        </w:tc>
      </w:tr>
      <w:tr>
        <w:trPr>
          <w:cantSplit/>
        </w:trPr>
        <w:tc>
          <w:tcPr>
            <w:tcW w:w="2800" w:type="dxa"/>
            <w:vAlign w:val="center"/>
          </w:tcPr>
          <w:p>
            <w:pPr>
              <w:pStyle w:val="TableText"/>
            </w:pPr>
            <w:r>
              <w:t>Test dates and date count</w:t>
            </w:r>
          </w:p>
        </w:tc>
        <w:tc>
          <w:tcPr>
            <w:tcW w:w="2050" w:type="dxa"/>
            <w:vAlign w:val="center"/>
          </w:tcPr>
          <w:p>
            <w:pPr>
              <w:pStyle w:val="TableNumber"/>
            </w:pPr>
            <w:r>
              <w:t>2025-12-01 to 2026-05-11; 112 dates</w:t>
            </w:r>
          </w:p>
        </w:tc>
        <w:tc>
          <w:tcPr>
            <w:tcW w:w="4510" w:type="dxa"/>
            <w:vAlign w:val="center"/>
          </w:tcPr>
          <w:p>
            <w:pPr>
              <w:pStyle w:val="TableText"/>
            </w:pPr>
            <w:r>
              <w:t>All 14 horizons share the full symbol-date membership</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One seed; retraining variability is unknown</w:t>
            </w:r>
          </w:p>
        </w:tc>
      </w:tr>
      <w:tr>
        <w:trPr>
          <w:cantSplit/>
        </w:trPr>
        <w:tc>
          <w:tcPr>
            <w:tcW w:w="2800" w:type="dxa"/>
            <w:vAlign w:val="center"/>
          </w:tcPr>
          <w:p>
            <w:pPr>
              <w:pStyle w:val="TableText"/>
            </w:pPr>
            <w:r>
              <w:t>Test membership SHA-256</w:t>
            </w:r>
          </w:p>
        </w:tc>
        <w:tc>
          <w:tcPr>
            <w:tcW w:w="2050" w:type="dxa"/>
            <w:vAlign w:val="center"/>
          </w:tcPr>
          <w:p>
            <w:pPr>
              <w:pStyle w:val="TableNumber"/>
            </w:pPr>
            <w:r>
              <w:t>93e2e6a0b74edbdce616b82628aed180dad4d004a9bcd24292a78896c240bc0d</w:t>
            </w:r>
          </w:p>
        </w:tc>
        <w:tc>
          <w:tcPr>
            <w:tcW w:w="4510" w:type="dxa"/>
            <w:vAlign w:val="center"/>
          </w:tcPr>
          <w:p>
            <w:pPr>
              <w:pStyle w:val="TableText"/>
            </w:pPr>
            <w:r>
              <w:t>Reproducible identity of this run’s complete test membership</w:t>
            </w:r>
          </w:p>
        </w:tc>
      </w:tr>
    </w:tbl>
    <w:p>
      <w:pPr>
        <w:pStyle w:val="a"/>
        <w:spacing w:before="160"/>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measures relative benchmark outperformance, not valuation, a price target, or standalone stock return. If alpha=0.05, exp(0.05)-1=5.13% relative gross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benchmark-relative adjusted execution log returns.</w:t>
      </w:r>
    </w:p>
    <w:p>
      <w:pPr>
        <w:pStyle w:val="Decision"/>
        <w:keepNext/>
        <w:spacing w:after="80"/>
      </w:pPr>
      <w:r>
        <w:t>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this number forecasts</w:t>
            </w:r>
          </w:p>
        </w:tc>
      </w:tr>
      <w:tr>
        <w:trPr>
          <w:cantSplit/>
        </w:trPr>
        <w:tc>
          <w:tcPr>
            <w:tcW w:w="1300" w:type="dxa"/>
            <w:vAlign w:val="center"/>
          </w:tcPr>
          <w:p>
            <w:pPr>
              <w:pStyle w:val="TableText"/>
            </w:pPr>
            <w:r>
              <w:t>q10</w:t>
            </w:r>
          </w:p>
        </w:tc>
        <w:tc>
          <w:tcPr>
            <w:tcW w:w="2400" w:type="dxa"/>
            <w:vAlign w:val="center"/>
          </w:tcPr>
          <w:p>
            <w:pPr>
              <w:pStyle w:val="TableText"/>
            </w:pPr>
            <w:r>
              <w:t>Bearish-side scenario</w:t>
            </w:r>
          </w:p>
        </w:tc>
        <w:tc>
          <w:tcPr>
            <w:tcW w:w="5660" w:type="dxa"/>
            <w:vAlign w:val="center"/>
          </w:tcPr>
          <w:p>
            <w:pPr>
              <w:pStyle w:val="TableText"/>
            </w:pPr>
            <w:r>
              <w:t>About 10% of outcomes are below it; not a 10% chance of a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Outcomes are roughly half below and half above; often a point forecast and ranking signal</w:t>
            </w:r>
          </w:p>
        </w:tc>
      </w:tr>
      <w:tr>
        <w:trPr>
          <w:cantSplit/>
        </w:trPr>
        <w:tc>
          <w:tcPr>
            <w:tcW w:w="1300" w:type="dxa"/>
            <w:vAlign w:val="center"/>
          </w:tcPr>
          <w:p>
            <w:pPr>
              <w:pStyle w:val="TableText"/>
            </w:pPr>
            <w:r>
              <w:t>q90</w:t>
            </w:r>
          </w:p>
        </w:tc>
        <w:tc>
          <w:tcPr>
            <w:tcW w:w="2400" w:type="dxa"/>
            <w:vAlign w:val="center"/>
          </w:tcPr>
          <w:p>
            <w:pPr>
              <w:pStyle w:val="TableText"/>
            </w:pPr>
            <w:r>
              <w:t>Bullish-side scenario</w:t>
            </w:r>
          </w:p>
        </w:tc>
        <w:tc>
          <w:tcPr>
            <w:tcW w:w="5660" w:type="dxa"/>
            <w:vAlign w:val="center"/>
          </w:tcPr>
          <w:p>
            <w:pPr>
              <w:pStyle w:val="TableText"/>
            </w:pPr>
            <w:r>
              <w:t>About 90% of outcomes are below it; not a guaranteed ceiling</w:t>
            </w:r>
          </w:p>
        </w:tc>
      </w:tr>
    </w:tbl>
    <w:p>
      <w:pPr>
        <w:pStyle w:val="21"/>
        <w:spacing w:before="160"/>
      </w:pPr>
      <w:r>
        <w:t>3.2 Three stock scenarios</w:t>
      </w:r>
    </w:p>
    <w:p>
      <w:pPr>
        <w:pStyle w:val="Decision"/>
        <w:keepNext/>
        <w:spacing w:after="80"/>
      </w:pPr>
      <w:r>
        <w:t>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outperformer</w:t>
            </w:r>
          </w:p>
        </w:tc>
        <w:tc>
          <w:tcPr>
            <w:tcW w:w="2250" w:type="dxa"/>
            <w:vAlign w:val="center"/>
          </w:tcPr>
          <w:p>
            <w:pPr>
              <w:pStyle w:val="TableText"/>
            </w:pPr>
            <w:r>
              <w:t>+0.02 / +0.05 / +0.09</w:t>
            </w:r>
          </w:p>
        </w:tc>
        <w:tc>
          <w:tcPr>
            <w:tcW w:w="4910" w:type="dxa"/>
            <w:vAlign w:val="center"/>
          </w:tcPr>
          <w:p>
            <w:pPr>
              <w:pStyle w:val="TableText"/>
            </w:pPr>
            <w:r>
              <w:t>Even q10 is above zero; all scenarios forecast outperformance</w:t>
            </w:r>
          </w:p>
        </w:tc>
      </w:tr>
      <w:tr>
        <w:trPr>
          <w:cantSplit/>
        </w:trPr>
        <w:tc>
          <w:tcPr>
            <w:tcW w:w="2200" w:type="dxa"/>
            <w:vAlign w:val="center"/>
          </w:tcPr>
          <w:p>
            <w:pPr>
              <w:pStyle w:val="TableText"/>
            </w:pPr>
            <w:r>
              <w:t>Weak or distressed stock</w:t>
            </w:r>
          </w:p>
        </w:tc>
        <w:tc>
          <w:tcPr>
            <w:tcW w:w="2250" w:type="dxa"/>
            <w:vAlign w:val="center"/>
          </w:tcPr>
          <w:p>
            <w:pPr>
              <w:pStyle w:val="TableText"/>
            </w:pPr>
            <w:r>
              <w:t>-0.12 / -0.06 / -0.01</w:t>
            </w:r>
          </w:p>
        </w:tc>
        <w:tc>
          <w:tcPr>
            <w:tcW w:w="4910" w:type="dxa"/>
            <w:vAlign w:val="center"/>
          </w:tcPr>
          <w:p>
            <w:pPr>
              <w:pStyle w:val="TableText"/>
            </w:pPr>
            <w:r>
              <w:t>Even q90 is below zero; all scenarios forecast underperformance</w:t>
            </w:r>
          </w:p>
        </w:tc>
      </w:tr>
      <w:tr>
        <w:trPr>
          <w:cantSplit/>
        </w:trPr>
        <w:tc>
          <w:tcPr>
            <w:tcW w:w="2200" w:type="dxa"/>
            <w:vAlign w:val="center"/>
          </w:tcPr>
          <w:p>
            <w:pPr>
              <w:pStyle w:val="TableText"/>
            </w:pPr>
            <w:r>
              <w:t>Highly volatile meme stock</w:t>
            </w:r>
          </w:p>
        </w:tc>
        <w:tc>
          <w:tcPr>
            <w:tcW w:w="2250" w:type="dxa"/>
            <w:vAlign w:val="center"/>
          </w:tcPr>
          <w:p>
            <w:pPr>
              <w:pStyle w:val="TableText"/>
            </w:pPr>
            <w:r>
              <w:t>-0.08 / -0.01 / +0.25</w:t>
            </w:r>
          </w:p>
        </w:tc>
        <w:tc>
          <w:tcPr>
            <w:tcW w:w="4910" w:type="dxa"/>
            <w:vAlign w:val="center"/>
          </w:tcPr>
          <w:p>
            <w:pPr>
              <w:pStyle w:val="TableText"/>
            </w:pPr>
            <w:r>
              <w:t>Middle is near flat but the optimistic tail is large; not a 25% rise probability</w:t>
            </w:r>
          </w:p>
        </w:tc>
      </w:tr>
      <w:tr>
        <w:trPr>
          <w:cantSplit/>
        </w:trPr>
        <w:tc>
          <w:tcPr>
            <w:tcW w:w="2200" w:type="dxa"/>
            <w:vAlign w:val="center"/>
          </w:tcPr>
          <w:p>
            <w:pPr>
              <w:pStyle w:val="TableText"/>
            </w:pPr>
            <w:r>
              <w:t>Bullish middle with downside risk</w:t>
            </w:r>
          </w:p>
        </w:tc>
        <w:tc>
          <w:tcPr>
            <w:tcW w:w="2250" w:type="dxa"/>
            <w:vAlign w:val="center"/>
          </w:tcPr>
          <w:p>
            <w:pPr>
              <w:pStyle w:val="TableText"/>
            </w:pPr>
            <w:r>
              <w:t>-0.04 / +0.03 / +0.10</w:t>
            </w:r>
          </w:p>
        </w:tc>
        <w:tc>
          <w:tcPr>
            <w:tcW w:w="4910" w:type="dxa"/>
            <w:vAlign w:val="center"/>
          </w:tcPr>
          <w:p>
            <w:pPr>
              <w:pStyle w:val="TableText"/>
            </w:pPr>
            <w:r>
              <w:t>q50 is positive while q10 is negative; downside remains possible</w:t>
            </w:r>
          </w:p>
        </w:tc>
      </w:tr>
    </w:tbl>
    <w:p>
      <w:pPr>
        <w:pStyle w:val="Note"/>
        <w:spacing w:before="160"/>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The alpha head first produces q50, then constructs q10=q50-lower_gap and q90=q50+upper_gap from positive distances, so q10≤q50≤q90. Bullish, bearish, and strong signals are post-processing labels, not classifier outputs. forecast_horizon=5 and primary_5d are legacy-compatible field names; actual output is [batch,14,3], and the monitor aggregates days 1–14.</w:t>
      </w:r>
    </w:p>
    <w:p>
      <w:pPr>
        <w:pStyle w:val="11"/>
      </w:pPr>
      <w:r>
        <w:t>4. Training completion early stopping and checkpoint</w:t>
      </w:r>
    </w:p>
    <w:p>
      <w:pPr>
        <w:pStyle w:val="21"/>
      </w:pPr>
      <w:r>
        <w:t>4.1 Execution state</w:t>
      </w:r>
    </w:p>
    <w:p>
      <w:pPr>
        <w:pStyle w:val="Decision"/>
        <w:keepNext/>
        <w:spacing w:after="80"/>
      </w:pPr>
      <w:r>
        <w:t>Table 5 | Training summary</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Item</w:t>
            </w:r>
          </w:p>
        </w:tc>
        <w:tc>
          <w:tcPr>
            <w:tcW w:w="6260" w:type="dxa"/>
            <w:shd w:val="clear" w:fill="DCE6F1"/>
            <w:vAlign w:val="center"/>
          </w:tcPr>
          <w:p>
            <w:pPr>
              <w:pStyle w:val="TableHeader"/>
            </w:pPr>
            <w:r>
              <w:t>Result</w:t>
            </w:r>
          </w:p>
        </w:tc>
      </w:tr>
      <w:tr>
        <w:trPr>
          <w:cantSplit/>
        </w:trPr>
        <w:tc>
          <w:tcPr>
            <w:tcW w:w="3100" w:type="dxa"/>
            <w:vAlign w:val="center"/>
          </w:tcPr>
          <w:p>
            <w:pPr>
              <w:pStyle w:val="TableText"/>
            </w:pPr>
            <w:r>
              <w:t>Completion evidence</w:t>
            </w:r>
          </w:p>
        </w:tc>
        <w:tc>
          <w:tcPr>
            <w:tcW w:w="6260" w:type="dxa"/>
            <w:vAlign w:val="center"/>
          </w:tcPr>
          <w:p>
            <w:pPr>
              <w:pStyle w:val="TableText"/>
            </w:pPr>
            <w:r>
              <w:t>training_completed=true; training and validation lifecycle are ready; test evaluation state is ready</w:t>
            </w:r>
          </w:p>
        </w:tc>
      </w:tr>
      <w:tr>
        <w:trPr>
          <w:cantSplit/>
        </w:trPr>
        <w:tc>
          <w:tcPr>
            <w:tcW w:w="3100" w:type="dxa"/>
            <w:vAlign w:val="center"/>
          </w:tcPr>
          <w:p>
            <w:pPr>
              <w:pStyle w:val="TableText"/>
            </w:pPr>
            <w:r>
              <w:t>Lifecycle state</w:t>
            </w:r>
          </w:p>
        </w:tc>
        <w:tc>
          <w:tcPr>
            <w:tcW w:w="6260" w:type="dxa"/>
            <w:vAlign w:val="center"/>
          </w:tcPr>
          <w:p>
            <w:pPr>
              <w:pStyle w:val="TableText"/>
            </w:pPr>
            <w:r>
              <w:t>training exit code 0; validation exit code 0; neither timed out</w:t>
            </w:r>
          </w:p>
        </w:tc>
      </w:tr>
      <w:tr>
        <w:trPr>
          <w:cantSplit/>
        </w:trPr>
        <w:tc>
          <w:tcPr>
            <w:tcW w:w="3100" w:type="dxa"/>
            <w:vAlign w:val="center"/>
          </w:tcPr>
          <w:p>
            <w:pPr>
              <w:pStyle w:val="TableText"/>
            </w:pPr>
            <w:r>
              <w:t>Epochs and global step</w:t>
            </w:r>
          </w:p>
        </w:tc>
        <w:tc>
          <w:tcPr>
            <w:tcW w:w="6260" w:type="dxa"/>
            <w:vAlign w:val="center"/>
          </w:tcPr>
          <w:p>
            <w:pPr>
              <w:pStyle w:val="TableText"/>
            </w:pPr>
            <w:r>
              <w:t>2 completed epochs; stopped at step 36,798</w:t>
            </w:r>
          </w:p>
        </w:tc>
      </w:tr>
      <w:tr>
        <w:trPr>
          <w:cantSplit/>
        </w:trPr>
        <w:tc>
          <w:tcPr>
            <w:tcW w:w="3100" w:type="dxa"/>
            <w:vAlign w:val="center"/>
          </w:tcPr>
          <w:p>
            <w:pPr>
              <w:pStyle w:val="TableText"/>
            </w:pPr>
            <w:r>
              <w:t>Processed training samples</w:t>
            </w:r>
          </w:p>
        </w:tc>
        <w:tc>
          <w:tcPr>
            <w:tcW w:w="6260" w:type="dxa"/>
            <w:vAlign w:val="center"/>
          </w:tcPr>
          <w:p>
            <w:pPr>
              <w:pStyle w:val="TableText"/>
            </w:pPr>
            <w:r>
              <w:t>9,420,288 / 23,550,585 (40.00%)</w:t>
            </w:r>
          </w:p>
        </w:tc>
      </w:tr>
      <w:tr>
        <w:trPr>
          <w:cantSplit/>
        </w:trPr>
        <w:tc>
          <w:tcPr>
            <w:tcW w:w="3100" w:type="dxa"/>
            <w:vAlign w:val="center"/>
          </w:tcPr>
          <w:p>
            <w:pPr>
              <w:pStyle w:val="TableText"/>
            </w:pPr>
            <w:r>
              <w:t>Validation evaluations</w:t>
            </w:r>
          </w:p>
        </w:tc>
        <w:tc>
          <w:tcPr>
            <w:tcW w:w="6260" w:type="dxa"/>
            <w:vAlign w:val="center"/>
          </w:tcPr>
          <w:p>
            <w:pPr>
              <w:pStyle w:val="TableText"/>
            </w:pPr>
            <w:r>
              <w:t>10</w:t>
            </w:r>
          </w:p>
        </w:tc>
      </w:tr>
      <w:tr>
        <w:trPr>
          <w:cantSplit/>
        </w:trPr>
        <w:tc>
          <w:tcPr>
            <w:tcW w:w="3100" w:type="dxa"/>
            <w:vAlign w:val="center"/>
          </w:tcPr>
          <w:p>
            <w:pPr>
              <w:pStyle w:val="TableText"/>
            </w:pPr>
            <w:r>
              <w:t>Stop reason</w:t>
            </w:r>
          </w:p>
        </w:tc>
        <w:tc>
          <w:tcPr>
            <w:tcW w:w="6260" w:type="dxa"/>
            <w:vAlign w:val="center"/>
          </w:tcPr>
          <w:p>
            <w:pPr>
              <w:pStyle w:val="TableText"/>
            </w:pPr>
            <w:r>
              <w:t>early stopping after 6 stale evaluations</w:t>
            </w:r>
          </w:p>
        </w:tc>
      </w:tr>
      <w:tr>
        <w:trPr>
          <w:cantSplit/>
        </w:trPr>
        <w:tc>
          <w:tcPr>
            <w:tcW w:w="3100" w:type="dxa"/>
            <w:vAlign w:val="center"/>
          </w:tcPr>
          <w:p>
            <w:pPr>
              <w:pStyle w:val="TableText"/>
            </w:pPr>
            <w:r>
              <w:t>Best and final validation monitor</w:t>
            </w:r>
          </w:p>
        </w:tc>
        <w:tc>
          <w:tcPr>
            <w:tcW w:w="6260" w:type="dxa"/>
            <w:vAlign w:val="center"/>
          </w:tcPr>
          <w:p>
            <w:pPr>
              <w:pStyle w:val="TableText"/>
            </w:pPr>
            <w:r>
              <w:t>0.261746 / 0.266382</w:t>
            </w:r>
          </w:p>
        </w:tc>
      </w:tr>
      <w:tr>
        <w:trPr>
          <w:cantSplit/>
        </w:trPr>
        <w:tc>
          <w:tcPr>
            <w:tcW w:w="3100" w:type="dxa"/>
            <w:vAlign w:val="center"/>
          </w:tcPr>
          <w:p>
            <w:pPr>
              <w:pStyle w:val="TableText"/>
            </w:pPr>
            <w:r>
              <w:t>Model</w:t>
            </w:r>
          </w:p>
        </w:tc>
        <w:tc>
          <w:tcPr>
            <w:tcW w:w="6260" w:type="dxa"/>
            <w:vAlign w:val="center"/>
          </w:tcPr>
          <w:p>
            <w:pPr>
              <w:pStyle w:val="TableText"/>
            </w:pPr>
            <w:r>
              <w:t>Kronos-base + LoRA rank 64 / alpha 128; unfreeze last 0 Transformer blocks; ranking loss weight 0.05</w:t>
            </w:r>
          </w:p>
        </w:tc>
      </w:tr>
      <w:tr>
        <w:trPr>
          <w:cantSplit/>
        </w:trPr>
        <w:tc>
          <w:tcPr>
            <w:tcW w:w="3100" w:type="dxa"/>
            <w:vAlign w:val="center"/>
          </w:tcPr>
          <w:p>
            <w:pPr>
              <w:pStyle w:val="TableText"/>
            </w:pPr>
            <w:r>
              <w:t>Training hardware and precision</w:t>
            </w:r>
          </w:p>
        </w:tc>
        <w:tc>
          <w:tcPr>
            <w:tcW w:w="6260" w:type="dxa"/>
            <w:vAlign w:val="center"/>
          </w:tcPr>
          <w:p>
            <w:pPr>
              <w:pStyle w:val="TableText"/>
            </w:pPr>
            <w:r>
              <w:t>NVIDIA GeForce RTX 5090; bfloat16</w:t>
            </w:r>
          </w:p>
        </w:tc>
      </w:tr>
      <w:tr>
        <w:trPr>
          <w:cantSplit/>
        </w:trPr>
        <w:tc>
          <w:tcPr>
            <w:tcW w:w="3100" w:type="dxa"/>
            <w:vAlign w:val="center"/>
          </w:tcPr>
          <w:p>
            <w:pPr>
              <w:pStyle w:val="TableText"/>
            </w:pPr>
            <w:r>
              <w:t>Inference execution</w:t>
            </w:r>
          </w:p>
        </w:tc>
        <w:tc>
          <w:tcPr>
            <w:tcW w:w="6260" w:type="dxa"/>
            <w:vAlign w:val="center"/>
          </w:tcPr>
          <w:p>
            <w:pPr>
              <w:pStyle w:val="TableText"/>
            </w:pPr>
            <w:r>
              <w:t>534,327 samples; 1067.1 samples/s; 11 workers</w:t>
            </w:r>
          </w:p>
        </w:tc>
      </w:tr>
    </w:tbl>
    <w:p>
      <w:pPr>
        <w:pStyle w:val="21"/>
        <w:spacing w:before="160"/>
      </w:pPr>
      <w:r>
        <w:t>4.2 Checkpoint ranking</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Rank</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checkpoint-014720</w:t>
            </w:r>
          </w:p>
        </w:tc>
        <w:tc>
          <w:tcPr>
            <w:tcW w:w="1800" w:type="dxa"/>
            <w:shd w:val="clear" w:fill="EDF5FC"/>
            <w:vAlign w:val="center"/>
          </w:tcPr>
          <w:p>
            <w:pPr>
              <w:pStyle w:val="TableNumber"/>
            </w:pPr>
            <w:r>
              <w:t>14,720</w:t>
            </w:r>
          </w:p>
        </w:tc>
        <w:tc>
          <w:tcPr>
            <w:tcW w:w="3560" w:type="dxa"/>
            <w:shd w:val="clear" w:fill="EDF5FC"/>
            <w:vAlign w:val="center"/>
          </w:tcPr>
          <w:p>
            <w:pPr>
              <w:pStyle w:val="TableNumber"/>
            </w:pPr>
            <w:r>
              <w:t>0.261746</w:t>
            </w:r>
          </w:p>
        </w:tc>
      </w:tr>
      <w:tr>
        <w:trPr>
          <w:cantSplit/>
        </w:trPr>
        <w:tc>
          <w:tcPr>
            <w:tcW w:w="900" w:type="dxa"/>
            <w:vAlign w:val="center"/>
          </w:tcPr>
          <w:p>
            <w:pPr>
              <w:pStyle w:val="TableNumber"/>
            </w:pPr>
            <w:r>
              <w:t>2</w:t>
            </w:r>
          </w:p>
        </w:tc>
        <w:tc>
          <w:tcPr>
            <w:tcW w:w="3100" w:type="dxa"/>
            <w:vAlign w:val="center"/>
          </w:tcPr>
          <w:p>
            <w:pPr>
              <w:pStyle w:val="TableText"/>
            </w:pPr>
            <w:r>
              <w:t>checkpoint-011040</w:t>
            </w:r>
          </w:p>
        </w:tc>
        <w:tc>
          <w:tcPr>
            <w:tcW w:w="1800" w:type="dxa"/>
            <w:vAlign w:val="center"/>
          </w:tcPr>
          <w:p>
            <w:pPr>
              <w:pStyle w:val="TableNumber"/>
            </w:pPr>
            <w:r>
              <w:t>11,040</w:t>
            </w:r>
          </w:p>
        </w:tc>
        <w:tc>
          <w:tcPr>
            <w:tcW w:w="3560" w:type="dxa"/>
            <w:vAlign w:val="center"/>
          </w:tcPr>
          <w:p>
            <w:pPr>
              <w:pStyle w:val="TableNumber"/>
            </w:pPr>
            <w:r>
              <w:t>0.261872</w:t>
            </w:r>
          </w:p>
        </w:tc>
      </w:tr>
      <w:tr>
        <w:trPr>
          <w:cantSplit/>
        </w:trPr>
        <w:tc>
          <w:tcPr>
            <w:tcW w:w="900" w:type="dxa"/>
            <w:vAlign w:val="center"/>
          </w:tcPr>
          <w:p>
            <w:pPr>
              <w:pStyle w:val="TableNumber"/>
            </w:pPr>
            <w:r>
              <w:t>3</w:t>
            </w:r>
          </w:p>
        </w:tc>
        <w:tc>
          <w:tcPr>
            <w:tcW w:w="3100" w:type="dxa"/>
            <w:vAlign w:val="center"/>
          </w:tcPr>
          <w:p>
            <w:pPr>
              <w:pStyle w:val="TableText"/>
            </w:pPr>
            <w:r>
              <w:t>checkpoint-007360</w:t>
            </w:r>
          </w:p>
        </w:tc>
        <w:tc>
          <w:tcPr>
            <w:tcW w:w="1800" w:type="dxa"/>
            <w:vAlign w:val="center"/>
          </w:tcPr>
          <w:p>
            <w:pPr>
              <w:pStyle w:val="TableNumber"/>
            </w:pPr>
            <w:r>
              <w:t>7,360</w:t>
            </w:r>
          </w:p>
        </w:tc>
        <w:tc>
          <w:tcPr>
            <w:tcW w:w="3560" w:type="dxa"/>
            <w:vAlign w:val="center"/>
          </w:tcPr>
          <w:p>
            <w:pPr>
              <w:pStyle w:val="TableNumber"/>
            </w:pPr>
            <w:r>
              <w:t>0.262424</w:t>
            </w:r>
          </w:p>
        </w:tc>
      </w:tr>
      <w:tr>
        <w:trPr>
          <w:cantSplit/>
        </w:trPr>
        <w:tc>
          <w:tcPr>
            <w:tcW w:w="900" w:type="dxa"/>
            <w:vAlign w:val="center"/>
          </w:tcPr>
          <w:p>
            <w:pPr>
              <w:pStyle w:val="TableNumber"/>
            </w:pPr>
            <w:r>
              <w:t>4</w:t>
            </w:r>
          </w:p>
        </w:tc>
        <w:tc>
          <w:tcPr>
            <w:tcW w:w="3100" w:type="dxa"/>
            <w:vAlign w:val="center"/>
          </w:tcPr>
          <w:p>
            <w:pPr>
              <w:pStyle w:val="TableText"/>
            </w:pPr>
            <w:r>
              <w:t>checkpoint-018399</w:t>
            </w:r>
          </w:p>
        </w:tc>
        <w:tc>
          <w:tcPr>
            <w:tcW w:w="1800" w:type="dxa"/>
            <w:vAlign w:val="center"/>
          </w:tcPr>
          <w:p>
            <w:pPr>
              <w:pStyle w:val="TableNumber"/>
            </w:pPr>
            <w:r>
              <w:t>18,399</w:t>
            </w:r>
          </w:p>
        </w:tc>
        <w:tc>
          <w:tcPr>
            <w:tcW w:w="3560" w:type="dxa"/>
            <w:vAlign w:val="center"/>
          </w:tcPr>
          <w:p>
            <w:pPr>
              <w:pStyle w:val="TableNumber"/>
            </w:pPr>
            <w:r>
              <w:t>0.263624</w:t>
            </w:r>
          </w:p>
        </w:tc>
      </w:tr>
      <w:tr>
        <w:trPr>
          <w:cantSplit/>
        </w:trPr>
        <w:tc>
          <w:tcPr>
            <w:tcW w:w="900" w:type="dxa"/>
            <w:vAlign w:val="center"/>
          </w:tcPr>
          <w:p>
            <w:pPr>
              <w:pStyle w:val="TableNumber"/>
            </w:pPr>
            <w:r>
              <w:t>5</w:t>
            </w:r>
          </w:p>
        </w:tc>
        <w:tc>
          <w:tcPr>
            <w:tcW w:w="3100" w:type="dxa"/>
            <w:vAlign w:val="center"/>
          </w:tcPr>
          <w:p>
            <w:pPr>
              <w:pStyle w:val="TableText"/>
            </w:pPr>
            <w:r>
              <w:t>checkpoint-003680</w:t>
            </w:r>
          </w:p>
        </w:tc>
        <w:tc>
          <w:tcPr>
            <w:tcW w:w="1800" w:type="dxa"/>
            <w:vAlign w:val="center"/>
          </w:tcPr>
          <w:p>
            <w:pPr>
              <w:pStyle w:val="TableNumber"/>
            </w:pPr>
            <w:r>
              <w:t>3,680</w:t>
            </w:r>
          </w:p>
        </w:tc>
        <w:tc>
          <w:tcPr>
            <w:tcW w:w="3560" w:type="dxa"/>
            <w:vAlign w:val="center"/>
          </w:tcPr>
          <w:p>
            <w:pPr>
              <w:pStyle w:val="TableNumber"/>
            </w:pPr>
            <w:r>
              <w:t>0.263736</w:t>
            </w:r>
          </w:p>
        </w:tc>
      </w:tr>
    </w:tbl>
    <w:p>
      <w:pPr>
        <w:pStyle w:val="a"/>
        <w:spacing w:before="160"/>
      </w:pPr>
      <w:r>
        <w:t xml:space="preserve">Best checkpoint-014720 occurs at validation/checkpoint evaluation number 4, global step 14,720, approximately 0.8000 epoch. Raw validation monitor is 0.261746; raw test score is 0.291608. Retained top-five rank is not chronology. Calibration is fitted after selection; calibrated test results must not retrospectively select checkpoints.</w:t>
      </w:r>
    </w:p>
    <w:p>
      <w:pPr>
        <w:pStyle w:val="11"/>
      </w:pPr>
      <w:r>
        <w:t>5. All-horizon comparison of thirteen models</w:t>
      </w:r>
    </w:p>
    <w:p>
      <w:pPr>
        <w:pStyle w:val="Decision"/>
        <w:keepNext/>
        <w:spacing w:after="80"/>
      </w:pPr>
      <w:r>
        <w:t>Table 6 | Top six distribution forecasts</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legacy Sharpe</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0.291608</w:t>
            </w:r>
          </w:p>
        </w:tc>
        <w:tc>
          <w:tcPr>
            <w:tcW w:w="1330" w:type="dxa"/>
            <w:shd w:val="clear" w:fill="EDF5FC"/>
            <w:vAlign w:val="center"/>
          </w:tcPr>
          <w:p>
            <w:pPr>
              <w:pStyle w:val="TableNumber"/>
            </w:pPr>
            <w:r>
              <w:t xml:space="preserve">77.80%</w:t>
            </w:r>
          </w:p>
        </w:tc>
        <w:tc>
          <w:tcPr>
            <w:tcW w:w="1330" w:type="dxa"/>
            <w:shd w:val="clear" w:fill="EDF5FC"/>
            <w:vAlign w:val="center"/>
          </w:tcPr>
          <w:p>
            <w:pPr>
              <w:pStyle w:val="TableNumber"/>
            </w:pPr>
            <w:r>
              <w:t xml:space="preserve">0.1080</w:t>
            </w:r>
          </w:p>
        </w:tc>
        <w:tc>
          <w:tcPr>
            <w:tcW w:w="1350" w:type="dxa"/>
            <w:shd w:val="clear" w:fill="EDF5FC"/>
            <w:vAlign w:val="center"/>
          </w:tcPr>
          <w:p>
            <w:pPr>
              <w:pStyle w:val="TableNumber"/>
            </w:pPr>
            <w:r>
              <w:t>3.122</w:t>
            </w:r>
          </w:p>
        </w:tc>
      </w:tr>
      <w:tr>
        <w:trPr>
          <w:cantSplit/>
        </w:trPr>
        <w:tc>
          <w:tcPr>
            <w:tcW w:w="650" w:type="dxa"/>
            <w:vAlign w:val="center"/>
          </w:tcPr>
          <w:p>
            <w:pPr>
              <w:pStyle w:val="TableNumber"/>
            </w:pPr>
            <w:r>
              <w:t>2</w:t>
            </w:r>
          </w:p>
        </w:tc>
        <w:tc>
          <w:tcPr>
            <w:tcW w:w="2800" w:type="dxa"/>
            <w:vAlign w:val="center"/>
          </w:tcPr>
          <w:p>
            <w:pPr>
              <w:pStyle w:val="TableText"/>
            </w:pPr>
            <w:r>
              <w:t>Compact PatchTST</w:t>
            </w:r>
          </w:p>
        </w:tc>
        <w:tc>
          <w:tcPr>
            <w:tcW w:w="1900" w:type="dxa"/>
            <w:vAlign w:val="center"/>
          </w:tcPr>
          <w:p>
            <w:pPr>
              <w:pStyle w:val="TableNumber"/>
            </w:pPr>
            <w:r>
              <w:t>0.293639</w:t>
            </w:r>
          </w:p>
        </w:tc>
        <w:tc>
          <w:tcPr>
            <w:tcW w:w="1330" w:type="dxa"/>
            <w:vAlign w:val="center"/>
          </w:tcPr>
          <w:p>
            <w:pPr>
              <w:pStyle w:val="TableNumber"/>
            </w:pPr>
            <w:r>
              <w:t xml:space="preserve">77.33%</w:t>
            </w:r>
          </w:p>
        </w:tc>
        <w:tc>
          <w:tcPr>
            <w:tcW w:w="1330" w:type="dxa"/>
            <w:vAlign w:val="center"/>
          </w:tcPr>
          <w:p>
            <w:pPr>
              <w:pStyle w:val="TableNumber"/>
            </w:pPr>
            <w:r>
              <w:t xml:space="preserve">0.0858</w:t>
            </w:r>
          </w:p>
        </w:tc>
        <w:tc>
          <w:tcPr>
            <w:tcW w:w="1350" w:type="dxa"/>
            <w:vAlign w:val="center"/>
          </w:tcPr>
          <w:p>
            <w:pPr>
              <w:pStyle w:val="TableNumber"/>
            </w:pPr>
            <w:r>
              <w:t>2.045</w:t>
            </w:r>
          </w:p>
        </w:tc>
      </w:tr>
      <w:tr>
        <w:trPr>
          <w:cantSplit/>
        </w:trPr>
        <w:tc>
          <w:tcPr>
            <w:tcW w:w="650" w:type="dxa"/>
            <w:vAlign w:val="center"/>
          </w:tcPr>
          <w:p>
            <w:pPr>
              <w:pStyle w:val="TableNumber"/>
            </w:pPr>
            <w:r>
              <w:t>3</w:t>
            </w:r>
          </w:p>
        </w:tc>
        <w:tc>
          <w:tcPr>
            <w:tcW w:w="2800" w:type="dxa"/>
            <w:vAlign w:val="center"/>
          </w:tcPr>
          <w:p>
            <w:pPr>
              <w:pStyle w:val="TableText"/>
            </w:pPr>
            <w:r>
              <w:t>Paired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1.831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0.559</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w:t>
            </w:r>
          </w:p>
        </w:tc>
      </w:tr>
    </w:tbl>
    <w:p>
      <w:pPr>
        <w:pStyle w:val="a"/>
        <w:spacing w:before="160"/>
      </w:pPr>
      <w:r>
        <w:t xml:space="preserve">Raw normalized pinball ranks first at 13/14 horizons among 13 complete-output models. Table 6 now uses all-horizon coverage and mean q50 correlation rather than treating primary_5d references as aggregates. Legacy Sharpe is explicitly a five-day simplified diagnostic; its source values are retained but excluded from strategy superiority claims.</w:t>
      </w:r>
    </w:p>
    <w:p>
      <w:pPr>
        <w:pStyle w:val="11"/>
      </w:pPr>
      <w:r>
        <w:t>6. Complete results for days one through fourteen</w:t>
      </w:r>
    </w:p>
    <w:p>
      <w:pPr>
        <w:pStyle w:val="21"/>
      </w:pPr>
      <w:r>
        <w:t>6.1 Error and comparability across horizons</w:t>
      </w:r>
    </w:p>
    <w:p>
      <w:pPr>
        <w:pStyle w:val="Decision"/>
        <w:keepNext/>
        <w:spacing w:after="80"/>
      </w:pPr>
      <w:r>
        <w:t>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Rank</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0.02261</w:t>
            </w:r>
          </w:p>
        </w:tc>
        <w:tc>
          <w:tcPr>
            <w:tcW w:w="1550" w:type="dxa"/>
            <w:vAlign w:val="center"/>
          </w:tcPr>
          <w:p>
            <w:pPr>
              <w:pStyle w:val="TableNumber"/>
            </w:pPr>
            <w:r>
              <w:t>0.00652</w:t>
            </w:r>
          </w:p>
        </w:tc>
        <w:tc>
          <w:tcPr>
            <w:tcW w:w="1550" w:type="dxa"/>
            <w:vAlign w:val="center"/>
          </w:tcPr>
          <w:p>
            <w:pPr>
              <w:pStyle w:val="TableNumber"/>
            </w:pPr>
            <w:r>
              <w:t>0.28853</w:t>
            </w:r>
          </w:p>
        </w:tc>
        <w:tc>
          <w:tcPr>
            <w:tcW w:w="1050" w:type="dxa"/>
            <w:vAlign w:val="center"/>
          </w:tcPr>
          <w:p>
            <w:pPr>
              <w:pStyle w:val="TableNumber"/>
            </w:pPr>
            <w:r>
              <w:t>2/13</w:t>
            </w:r>
          </w:p>
        </w:tc>
        <w:tc>
          <w:tcPr>
            <w:tcW w:w="1550" w:type="dxa"/>
            <w:vAlign w:val="center"/>
          </w:tcPr>
          <w:p>
            <w:pPr>
              <w:pStyle w:val="TableNumber"/>
            </w:pPr>
            <w:r>
              <w:t>0.01977</w:t>
            </w:r>
          </w:p>
        </w:tc>
        <w:tc>
          <w:tcPr>
            <w:tcW w:w="1610" w:type="dxa"/>
            <w:vAlign w:val="center"/>
          </w:tcPr>
          <w:p>
            <w:pPr>
              <w:pStyle w:val="TableNumber"/>
            </w:pPr>
            <w:r>
              <w:t>0.8747</w:t>
            </w:r>
          </w:p>
        </w:tc>
      </w:tr>
      <w:tr>
        <w:trPr>
          <w:cantSplit/>
        </w:trPr>
        <w:tc>
          <w:tcPr>
            <w:tcW w:w="650" w:type="dxa"/>
            <w:vAlign w:val="center"/>
          </w:tcPr>
          <w:p>
            <w:pPr>
              <w:pStyle w:val="TableText"/>
            </w:pPr>
            <w:r>
              <w:t>2d</w:t>
            </w:r>
          </w:p>
        </w:tc>
        <w:tc>
          <w:tcPr>
            <w:tcW w:w="1400" w:type="dxa"/>
            <w:vAlign w:val="center"/>
          </w:tcPr>
          <w:p>
            <w:pPr>
              <w:pStyle w:val="TableNumber"/>
            </w:pPr>
            <w:r>
              <w:t>0.03416</w:t>
            </w:r>
          </w:p>
        </w:tc>
        <w:tc>
          <w:tcPr>
            <w:tcW w:w="1550" w:type="dxa"/>
            <w:vAlign w:val="center"/>
          </w:tcPr>
          <w:p>
            <w:pPr>
              <w:pStyle w:val="TableNumber"/>
            </w:pPr>
            <w:r>
              <w:t>0.00996</w:t>
            </w:r>
          </w:p>
        </w:tc>
        <w:tc>
          <w:tcPr>
            <w:tcW w:w="1550" w:type="dxa"/>
            <w:vAlign w:val="center"/>
          </w:tcPr>
          <w:p>
            <w:pPr>
              <w:pStyle w:val="TableNumber"/>
            </w:pPr>
            <w:r>
              <w:t>0.29141</w:t>
            </w:r>
          </w:p>
        </w:tc>
        <w:tc>
          <w:tcPr>
            <w:tcW w:w="1050" w:type="dxa"/>
            <w:vAlign w:val="center"/>
          </w:tcPr>
          <w:p>
            <w:pPr>
              <w:pStyle w:val="TableNumber"/>
            </w:pPr>
            <w:r>
              <w:t>1/13</w:t>
            </w:r>
          </w:p>
        </w:tc>
        <w:tc>
          <w:tcPr>
            <w:tcW w:w="1550" w:type="dxa"/>
            <w:vAlign w:val="center"/>
          </w:tcPr>
          <w:p>
            <w:pPr>
              <w:pStyle w:val="TableNumber"/>
            </w:pPr>
            <w:r>
              <w:t>0.03001</w:t>
            </w:r>
          </w:p>
        </w:tc>
        <w:tc>
          <w:tcPr>
            <w:tcW w:w="1610" w:type="dxa"/>
            <w:vAlign w:val="center"/>
          </w:tcPr>
          <w:p>
            <w:pPr>
              <w:pStyle w:val="TableNumber"/>
            </w:pPr>
            <w:r>
              <w:t>0.8785</w:t>
            </w:r>
          </w:p>
        </w:tc>
      </w:tr>
      <w:tr>
        <w:trPr>
          <w:cantSplit/>
        </w:trPr>
        <w:tc>
          <w:tcPr>
            <w:tcW w:w="650" w:type="dxa"/>
            <w:vAlign w:val="center"/>
          </w:tcPr>
          <w:p>
            <w:pPr>
              <w:pStyle w:val="TableText"/>
            </w:pPr>
            <w:r>
              <w:t>3d</w:t>
            </w:r>
          </w:p>
        </w:tc>
        <w:tc>
          <w:tcPr>
            <w:tcW w:w="1400" w:type="dxa"/>
            <w:vAlign w:val="center"/>
          </w:tcPr>
          <w:p>
            <w:pPr>
              <w:pStyle w:val="TableNumber"/>
            </w:pPr>
            <w:r>
              <w:t>0.04291</w:t>
            </w:r>
          </w:p>
        </w:tc>
        <w:tc>
          <w:tcPr>
            <w:tcW w:w="1550" w:type="dxa"/>
            <w:vAlign w:val="center"/>
          </w:tcPr>
          <w:p>
            <w:pPr>
              <w:pStyle w:val="TableNumber"/>
            </w:pPr>
            <w:r>
              <w:t>0.01258</w:t>
            </w:r>
          </w:p>
        </w:tc>
        <w:tc>
          <w:tcPr>
            <w:tcW w:w="1550" w:type="dxa"/>
            <w:vAlign w:val="center"/>
          </w:tcPr>
          <w:p>
            <w:pPr>
              <w:pStyle w:val="TableNumber"/>
            </w:pPr>
            <w:r>
              <w:t>0.29315</w:t>
            </w:r>
          </w:p>
        </w:tc>
        <w:tc>
          <w:tcPr>
            <w:tcW w:w="1050" w:type="dxa"/>
            <w:vAlign w:val="center"/>
          </w:tcPr>
          <w:p>
            <w:pPr>
              <w:pStyle w:val="TableNumber"/>
            </w:pPr>
            <w:r>
              <w:t>1/13</w:t>
            </w:r>
          </w:p>
        </w:tc>
        <w:tc>
          <w:tcPr>
            <w:tcW w:w="1550" w:type="dxa"/>
            <w:vAlign w:val="center"/>
          </w:tcPr>
          <w:p>
            <w:pPr>
              <w:pStyle w:val="TableNumber"/>
            </w:pPr>
            <w:r>
              <w:t>0.03787</w:t>
            </w:r>
          </w:p>
        </w:tc>
        <w:tc>
          <w:tcPr>
            <w:tcW w:w="1610" w:type="dxa"/>
            <w:vAlign w:val="center"/>
          </w:tcPr>
          <w:p>
            <w:pPr>
              <w:pStyle w:val="TableNumber"/>
            </w:pPr>
            <w:r>
              <w:t>0.8825</w:t>
            </w:r>
          </w:p>
        </w:tc>
      </w:tr>
      <w:tr>
        <w:trPr>
          <w:cantSplit/>
        </w:trPr>
        <w:tc>
          <w:tcPr>
            <w:tcW w:w="650" w:type="dxa"/>
            <w:vAlign w:val="center"/>
          </w:tcPr>
          <w:p>
            <w:pPr>
              <w:pStyle w:val="TableText"/>
            </w:pPr>
            <w:r>
              <w:t>4d</w:t>
            </w:r>
          </w:p>
        </w:tc>
        <w:tc>
          <w:tcPr>
            <w:tcW w:w="1400" w:type="dxa"/>
            <w:vAlign w:val="center"/>
          </w:tcPr>
          <w:p>
            <w:pPr>
              <w:pStyle w:val="TableNumber"/>
            </w:pPr>
            <w:r>
              <w:t>0.05070</w:t>
            </w:r>
          </w:p>
        </w:tc>
        <w:tc>
          <w:tcPr>
            <w:tcW w:w="1550" w:type="dxa"/>
            <w:vAlign w:val="center"/>
          </w:tcPr>
          <w:p>
            <w:pPr>
              <w:pStyle w:val="TableNumber"/>
            </w:pPr>
            <w:r>
              <w:t>0.01476</w:t>
            </w:r>
          </w:p>
        </w:tc>
        <w:tc>
          <w:tcPr>
            <w:tcW w:w="1550" w:type="dxa"/>
            <w:vAlign w:val="center"/>
          </w:tcPr>
          <w:p>
            <w:pPr>
              <w:pStyle w:val="TableNumber"/>
            </w:pPr>
            <w:r>
              <w:t>0.29110</w:t>
            </w:r>
          </w:p>
        </w:tc>
        <w:tc>
          <w:tcPr>
            <w:tcW w:w="1050" w:type="dxa"/>
            <w:vAlign w:val="center"/>
          </w:tcPr>
          <w:p>
            <w:pPr>
              <w:pStyle w:val="TableNumber"/>
            </w:pPr>
            <w:r>
              <w:t>1/13</w:t>
            </w:r>
          </w:p>
        </w:tc>
        <w:tc>
          <w:tcPr>
            <w:tcW w:w="1550" w:type="dxa"/>
            <w:vAlign w:val="center"/>
          </w:tcPr>
          <w:p>
            <w:pPr>
              <w:pStyle w:val="TableNumber"/>
            </w:pPr>
            <w:r>
              <w:t>0.04442</w:t>
            </w:r>
          </w:p>
        </w:tc>
        <w:tc>
          <w:tcPr>
            <w:tcW w:w="1610" w:type="dxa"/>
            <w:vAlign w:val="center"/>
          </w:tcPr>
          <w:p>
            <w:pPr>
              <w:pStyle w:val="TableNumber"/>
            </w:pPr>
            <w:r>
              <w:t>0.8761</w:t>
            </w:r>
          </w:p>
        </w:tc>
      </w:tr>
      <w:tr>
        <w:trPr>
          <w:cantSplit/>
        </w:trPr>
        <w:tc>
          <w:tcPr>
            <w:tcW w:w="650" w:type="dxa"/>
            <w:vAlign w:val="center"/>
          </w:tcPr>
          <w:p>
            <w:pPr>
              <w:pStyle w:val="TableText"/>
            </w:pPr>
            <w:r>
              <w:t>5d</w:t>
            </w:r>
          </w:p>
        </w:tc>
        <w:tc>
          <w:tcPr>
            <w:tcW w:w="1400" w:type="dxa"/>
            <w:vAlign w:val="center"/>
          </w:tcPr>
          <w:p>
            <w:pPr>
              <w:pStyle w:val="TableNumber"/>
            </w:pPr>
            <w:r>
              <w:t>0.05783</w:t>
            </w:r>
          </w:p>
        </w:tc>
        <w:tc>
          <w:tcPr>
            <w:tcW w:w="1550" w:type="dxa"/>
            <w:vAlign w:val="center"/>
          </w:tcPr>
          <w:p>
            <w:pPr>
              <w:pStyle w:val="TableNumber"/>
            </w:pPr>
            <w:r>
              <w:t>0.01673</w:t>
            </w:r>
          </w:p>
        </w:tc>
        <w:tc>
          <w:tcPr>
            <w:tcW w:w="1550" w:type="dxa"/>
            <w:vAlign w:val="center"/>
          </w:tcPr>
          <w:p>
            <w:pPr>
              <w:pStyle w:val="TableNumber"/>
            </w:pPr>
            <w:r>
              <w:t>0.28928</w:t>
            </w:r>
          </w:p>
        </w:tc>
        <w:tc>
          <w:tcPr>
            <w:tcW w:w="1050" w:type="dxa"/>
            <w:vAlign w:val="center"/>
          </w:tcPr>
          <w:p>
            <w:pPr>
              <w:pStyle w:val="TableNumber"/>
            </w:pPr>
            <w:r>
              <w:t>1/13</w:t>
            </w:r>
          </w:p>
        </w:tc>
        <w:tc>
          <w:tcPr>
            <w:tcW w:w="1550" w:type="dxa"/>
            <w:vAlign w:val="center"/>
          </w:tcPr>
          <w:p>
            <w:pPr>
              <w:pStyle w:val="TableNumber"/>
            </w:pPr>
            <w:r>
              <w:t>0.05031</w:t>
            </w:r>
          </w:p>
        </w:tc>
        <w:tc>
          <w:tcPr>
            <w:tcW w:w="1610" w:type="dxa"/>
            <w:vAlign w:val="center"/>
          </w:tcPr>
          <w:p>
            <w:pPr>
              <w:pStyle w:val="TableNumber"/>
            </w:pPr>
            <w:r>
              <w:t>0.8700</w:t>
            </w:r>
          </w:p>
        </w:tc>
      </w:tr>
      <w:tr>
        <w:trPr>
          <w:cantSplit/>
        </w:trPr>
        <w:tc>
          <w:tcPr>
            <w:tcW w:w="650" w:type="dxa"/>
            <w:vAlign w:val="center"/>
          </w:tcPr>
          <w:p>
            <w:pPr>
              <w:pStyle w:val="TableText"/>
            </w:pPr>
            <w:r>
              <w:t>6d</w:t>
            </w:r>
          </w:p>
        </w:tc>
        <w:tc>
          <w:tcPr>
            <w:tcW w:w="1400" w:type="dxa"/>
            <w:vAlign w:val="center"/>
          </w:tcPr>
          <w:p>
            <w:pPr>
              <w:pStyle w:val="TableNumber"/>
            </w:pPr>
            <w:r>
              <w:t>0.06364</w:t>
            </w:r>
          </w:p>
        </w:tc>
        <w:tc>
          <w:tcPr>
            <w:tcW w:w="1550" w:type="dxa"/>
            <w:vAlign w:val="center"/>
          </w:tcPr>
          <w:p>
            <w:pPr>
              <w:pStyle w:val="TableNumber"/>
            </w:pPr>
            <w:r>
              <w:t>0.01855</w:t>
            </w:r>
          </w:p>
        </w:tc>
        <w:tc>
          <w:tcPr>
            <w:tcW w:w="1550" w:type="dxa"/>
            <w:vAlign w:val="center"/>
          </w:tcPr>
          <w:p>
            <w:pPr>
              <w:pStyle w:val="TableNumber"/>
            </w:pPr>
            <w:r>
              <w:t>0.29154</w:t>
            </w:r>
          </w:p>
        </w:tc>
        <w:tc>
          <w:tcPr>
            <w:tcW w:w="1050" w:type="dxa"/>
            <w:vAlign w:val="center"/>
          </w:tcPr>
          <w:p>
            <w:pPr>
              <w:pStyle w:val="TableNumber"/>
            </w:pPr>
            <w:r>
              <w:t>1/13</w:t>
            </w:r>
          </w:p>
        </w:tc>
        <w:tc>
          <w:tcPr>
            <w:tcW w:w="1550" w:type="dxa"/>
            <w:vAlign w:val="center"/>
          </w:tcPr>
          <w:p>
            <w:pPr>
              <w:pStyle w:val="TableNumber"/>
            </w:pPr>
            <w:r>
              <w:t>0.05586</w:t>
            </w:r>
          </w:p>
        </w:tc>
        <w:tc>
          <w:tcPr>
            <w:tcW w:w="1610" w:type="dxa"/>
            <w:vAlign w:val="center"/>
          </w:tcPr>
          <w:p>
            <w:pPr>
              <w:pStyle w:val="TableNumber"/>
            </w:pPr>
            <w:r>
              <w:t>0.8778</w:t>
            </w:r>
          </w:p>
        </w:tc>
      </w:tr>
      <w:tr>
        <w:trPr>
          <w:cantSplit/>
        </w:trPr>
        <w:tc>
          <w:tcPr>
            <w:tcW w:w="650" w:type="dxa"/>
            <w:vAlign w:val="center"/>
          </w:tcPr>
          <w:p>
            <w:pPr>
              <w:pStyle w:val="TableText"/>
            </w:pPr>
            <w:r>
              <w:t>7d</w:t>
            </w:r>
          </w:p>
        </w:tc>
        <w:tc>
          <w:tcPr>
            <w:tcW w:w="1400" w:type="dxa"/>
            <w:vAlign w:val="center"/>
          </w:tcPr>
          <w:p>
            <w:pPr>
              <w:pStyle w:val="TableNumber"/>
            </w:pPr>
            <w:r>
              <w:t>0.06932</w:t>
            </w:r>
          </w:p>
        </w:tc>
        <w:tc>
          <w:tcPr>
            <w:tcW w:w="1550" w:type="dxa"/>
            <w:vAlign w:val="center"/>
          </w:tcPr>
          <w:p>
            <w:pPr>
              <w:pStyle w:val="TableNumber"/>
            </w:pPr>
            <w:r>
              <w:t>0.02024</w:t>
            </w:r>
          </w:p>
        </w:tc>
        <w:tc>
          <w:tcPr>
            <w:tcW w:w="1550" w:type="dxa"/>
            <w:vAlign w:val="center"/>
          </w:tcPr>
          <w:p>
            <w:pPr>
              <w:pStyle w:val="TableNumber"/>
            </w:pPr>
            <w:r>
              <w:t>0.29197</w:t>
            </w:r>
          </w:p>
        </w:tc>
        <w:tc>
          <w:tcPr>
            <w:tcW w:w="1050" w:type="dxa"/>
            <w:vAlign w:val="center"/>
          </w:tcPr>
          <w:p>
            <w:pPr>
              <w:pStyle w:val="TableNumber"/>
            </w:pPr>
            <w:r>
              <w:t>1/13</w:t>
            </w:r>
          </w:p>
        </w:tc>
        <w:tc>
          <w:tcPr>
            <w:tcW w:w="1550" w:type="dxa"/>
            <w:vAlign w:val="center"/>
          </w:tcPr>
          <w:p>
            <w:pPr>
              <w:pStyle w:val="TableNumber"/>
            </w:pPr>
            <w:r>
              <w:t>0.06103</w:t>
            </w:r>
          </w:p>
        </w:tc>
        <w:tc>
          <w:tcPr>
            <w:tcW w:w="1610" w:type="dxa"/>
            <w:vAlign w:val="center"/>
          </w:tcPr>
          <w:p>
            <w:pPr>
              <w:pStyle w:val="TableNumber"/>
            </w:pPr>
            <w:r>
              <w:t>0.8804</w:t>
            </w:r>
          </w:p>
        </w:tc>
      </w:tr>
      <w:tr>
        <w:trPr>
          <w:cantSplit/>
        </w:trPr>
        <w:tc>
          <w:tcPr>
            <w:tcW w:w="650" w:type="dxa"/>
            <w:vAlign w:val="center"/>
          </w:tcPr>
          <w:p>
            <w:pPr>
              <w:pStyle w:val="TableText"/>
            </w:pPr>
            <w:r>
              <w:t>8d</w:t>
            </w:r>
          </w:p>
        </w:tc>
        <w:tc>
          <w:tcPr>
            <w:tcW w:w="1400" w:type="dxa"/>
            <w:vAlign w:val="center"/>
          </w:tcPr>
          <w:p>
            <w:pPr>
              <w:pStyle w:val="TableNumber"/>
            </w:pPr>
            <w:r>
              <w:t>0.07444</w:t>
            </w:r>
          </w:p>
        </w:tc>
        <w:tc>
          <w:tcPr>
            <w:tcW w:w="1550" w:type="dxa"/>
            <w:vAlign w:val="center"/>
          </w:tcPr>
          <w:p>
            <w:pPr>
              <w:pStyle w:val="TableNumber"/>
            </w:pPr>
            <w:r>
              <w:t>0.02175</w:t>
            </w:r>
          </w:p>
        </w:tc>
        <w:tc>
          <w:tcPr>
            <w:tcW w:w="1550" w:type="dxa"/>
            <w:vAlign w:val="center"/>
          </w:tcPr>
          <w:p>
            <w:pPr>
              <w:pStyle w:val="TableNumber"/>
            </w:pPr>
            <w:r>
              <w:t>0.29213</w:t>
            </w:r>
          </w:p>
        </w:tc>
        <w:tc>
          <w:tcPr>
            <w:tcW w:w="1050" w:type="dxa"/>
            <w:vAlign w:val="center"/>
          </w:tcPr>
          <w:p>
            <w:pPr>
              <w:pStyle w:val="TableNumber"/>
            </w:pPr>
            <w:r>
              <w:t>1/13</w:t>
            </w:r>
          </w:p>
        </w:tc>
        <w:tc>
          <w:tcPr>
            <w:tcW w:w="1550" w:type="dxa"/>
            <w:vAlign w:val="center"/>
          </w:tcPr>
          <w:p>
            <w:pPr>
              <w:pStyle w:val="TableNumber"/>
            </w:pPr>
            <w:r>
              <w:t>0.06562</w:t>
            </w:r>
          </w:p>
        </w:tc>
        <w:tc>
          <w:tcPr>
            <w:tcW w:w="1610" w:type="dxa"/>
            <w:vAlign w:val="center"/>
          </w:tcPr>
          <w:p>
            <w:pPr>
              <w:pStyle w:val="TableNumber"/>
            </w:pPr>
            <w:r>
              <w:t>0.8815</w:t>
            </w:r>
          </w:p>
        </w:tc>
      </w:tr>
      <w:tr>
        <w:trPr>
          <w:cantSplit/>
        </w:trPr>
        <w:tc>
          <w:tcPr>
            <w:tcW w:w="650" w:type="dxa"/>
            <w:vAlign w:val="center"/>
          </w:tcPr>
          <w:p>
            <w:pPr>
              <w:pStyle w:val="TableText"/>
            </w:pPr>
            <w:r>
              <w:t>9d</w:t>
            </w:r>
          </w:p>
        </w:tc>
        <w:tc>
          <w:tcPr>
            <w:tcW w:w="1400" w:type="dxa"/>
            <w:vAlign w:val="center"/>
          </w:tcPr>
          <w:p>
            <w:pPr>
              <w:pStyle w:val="TableNumber"/>
            </w:pPr>
            <w:r>
              <w:t>0.07922</w:t>
            </w:r>
          </w:p>
        </w:tc>
        <w:tc>
          <w:tcPr>
            <w:tcW w:w="1550" w:type="dxa"/>
            <w:vAlign w:val="center"/>
          </w:tcPr>
          <w:p>
            <w:pPr>
              <w:pStyle w:val="TableNumber"/>
            </w:pPr>
            <w:r>
              <w:t>0.02321</w:t>
            </w:r>
          </w:p>
        </w:tc>
        <w:tc>
          <w:tcPr>
            <w:tcW w:w="1550" w:type="dxa"/>
            <w:vAlign w:val="center"/>
          </w:tcPr>
          <w:p>
            <w:pPr>
              <w:pStyle w:val="TableNumber"/>
            </w:pPr>
            <w:r>
              <w:t>0.29303</w:t>
            </w:r>
          </w:p>
        </w:tc>
        <w:tc>
          <w:tcPr>
            <w:tcW w:w="1050" w:type="dxa"/>
            <w:vAlign w:val="center"/>
          </w:tcPr>
          <w:p>
            <w:pPr>
              <w:pStyle w:val="TableNumber"/>
            </w:pPr>
            <w:r>
              <w:t>1/13</w:t>
            </w:r>
          </w:p>
        </w:tc>
        <w:tc>
          <w:tcPr>
            <w:tcW w:w="1550" w:type="dxa"/>
            <w:vAlign w:val="center"/>
          </w:tcPr>
          <w:p>
            <w:pPr>
              <w:pStyle w:val="TableNumber"/>
            </w:pPr>
            <w:r>
              <w:t>0.07007</w:t>
            </w:r>
          </w:p>
        </w:tc>
        <w:tc>
          <w:tcPr>
            <w:tcW w:w="1610" w:type="dxa"/>
            <w:vAlign w:val="center"/>
          </w:tcPr>
          <w:p>
            <w:pPr>
              <w:pStyle w:val="TableNumber"/>
            </w:pPr>
            <w:r>
              <w:t>0.8846</w:t>
            </w:r>
          </w:p>
        </w:tc>
      </w:tr>
      <w:tr>
        <w:trPr>
          <w:cantSplit/>
        </w:trPr>
        <w:tc>
          <w:tcPr>
            <w:tcW w:w="650" w:type="dxa"/>
            <w:vAlign w:val="center"/>
          </w:tcPr>
          <w:p>
            <w:pPr>
              <w:pStyle w:val="TableText"/>
            </w:pPr>
            <w:r>
              <w:t>10d</w:t>
            </w:r>
          </w:p>
        </w:tc>
        <w:tc>
          <w:tcPr>
            <w:tcW w:w="1400" w:type="dxa"/>
            <w:vAlign w:val="center"/>
          </w:tcPr>
          <w:p>
            <w:pPr>
              <w:pStyle w:val="TableNumber"/>
            </w:pPr>
            <w:r>
              <w:t>0.08419</w:t>
            </w:r>
          </w:p>
        </w:tc>
        <w:tc>
          <w:tcPr>
            <w:tcW w:w="1550" w:type="dxa"/>
            <w:vAlign w:val="center"/>
          </w:tcPr>
          <w:p>
            <w:pPr>
              <w:pStyle w:val="TableNumber"/>
            </w:pPr>
            <w:r>
              <w:t>0.02459</w:t>
            </w:r>
          </w:p>
        </w:tc>
        <w:tc>
          <w:tcPr>
            <w:tcW w:w="1550" w:type="dxa"/>
            <w:vAlign w:val="center"/>
          </w:tcPr>
          <w:p>
            <w:pPr>
              <w:pStyle w:val="TableNumber"/>
            </w:pPr>
            <w:r>
              <w:t>0.29208</w:t>
            </w:r>
          </w:p>
        </w:tc>
        <w:tc>
          <w:tcPr>
            <w:tcW w:w="1050" w:type="dxa"/>
            <w:vAlign w:val="center"/>
          </w:tcPr>
          <w:p>
            <w:pPr>
              <w:pStyle w:val="TableNumber"/>
            </w:pPr>
            <w:r>
              <w:t>1/13</w:t>
            </w:r>
          </w:p>
        </w:tc>
        <w:tc>
          <w:tcPr>
            <w:tcW w:w="1550" w:type="dxa"/>
            <w:vAlign w:val="center"/>
          </w:tcPr>
          <w:p>
            <w:pPr>
              <w:pStyle w:val="TableNumber"/>
            </w:pPr>
            <w:r>
              <w:t>0.07421</w:t>
            </w:r>
          </w:p>
        </w:tc>
        <w:tc>
          <w:tcPr>
            <w:tcW w:w="1610" w:type="dxa"/>
            <w:vAlign w:val="center"/>
          </w:tcPr>
          <w:p>
            <w:pPr>
              <w:pStyle w:val="TableNumber"/>
            </w:pPr>
            <w:r>
              <w:t>0.8815</w:t>
            </w:r>
          </w:p>
        </w:tc>
      </w:tr>
      <w:tr>
        <w:trPr>
          <w:cantSplit/>
        </w:trPr>
        <w:tc>
          <w:tcPr>
            <w:tcW w:w="650" w:type="dxa"/>
            <w:vAlign w:val="center"/>
          </w:tcPr>
          <w:p>
            <w:pPr>
              <w:pStyle w:val="TableText"/>
            </w:pPr>
            <w:r>
              <w:t>11d</w:t>
            </w:r>
          </w:p>
        </w:tc>
        <w:tc>
          <w:tcPr>
            <w:tcW w:w="1400" w:type="dxa"/>
            <w:vAlign w:val="center"/>
          </w:tcPr>
          <w:p>
            <w:pPr>
              <w:pStyle w:val="TableNumber"/>
            </w:pPr>
            <w:r>
              <w:t>0.08848</w:t>
            </w:r>
          </w:p>
        </w:tc>
        <w:tc>
          <w:tcPr>
            <w:tcW w:w="1550" w:type="dxa"/>
            <w:vAlign w:val="center"/>
          </w:tcPr>
          <w:p>
            <w:pPr>
              <w:pStyle w:val="TableNumber"/>
            </w:pPr>
            <w:r>
              <w:t>0.02594</w:t>
            </w:r>
          </w:p>
        </w:tc>
        <w:tc>
          <w:tcPr>
            <w:tcW w:w="1550" w:type="dxa"/>
            <w:vAlign w:val="center"/>
          </w:tcPr>
          <w:p>
            <w:pPr>
              <w:pStyle w:val="TableNumber"/>
            </w:pPr>
            <w:r>
              <w:t>0.29316</w:t>
            </w:r>
          </w:p>
        </w:tc>
        <w:tc>
          <w:tcPr>
            <w:tcW w:w="1050" w:type="dxa"/>
            <w:vAlign w:val="center"/>
          </w:tcPr>
          <w:p>
            <w:pPr>
              <w:pStyle w:val="TableNumber"/>
            </w:pPr>
            <w:r>
              <w:t>1/13</w:t>
            </w:r>
          </w:p>
        </w:tc>
        <w:tc>
          <w:tcPr>
            <w:tcW w:w="1550" w:type="dxa"/>
            <w:vAlign w:val="center"/>
          </w:tcPr>
          <w:p>
            <w:pPr>
              <w:pStyle w:val="TableNumber"/>
            </w:pPr>
            <w:r>
              <w:t>0.07829</w:t>
            </w:r>
          </w:p>
        </w:tc>
        <w:tc>
          <w:tcPr>
            <w:tcW w:w="1610" w:type="dxa"/>
            <w:vAlign w:val="center"/>
          </w:tcPr>
          <w:p>
            <w:pPr>
              <w:pStyle w:val="TableNumber"/>
            </w:pPr>
            <w:r>
              <w:t>0.8849</w:t>
            </w:r>
          </w:p>
        </w:tc>
      </w:tr>
      <w:tr>
        <w:trPr>
          <w:cantSplit/>
        </w:trPr>
        <w:tc>
          <w:tcPr>
            <w:tcW w:w="650" w:type="dxa"/>
            <w:vAlign w:val="center"/>
          </w:tcPr>
          <w:p>
            <w:pPr>
              <w:pStyle w:val="TableText"/>
            </w:pPr>
            <w:r>
              <w:t>12d</w:t>
            </w:r>
          </w:p>
        </w:tc>
        <w:tc>
          <w:tcPr>
            <w:tcW w:w="1400" w:type="dxa"/>
            <w:vAlign w:val="center"/>
          </w:tcPr>
          <w:p>
            <w:pPr>
              <w:pStyle w:val="TableNumber"/>
            </w:pPr>
            <w:r>
              <w:t>0.09337</w:t>
            </w:r>
          </w:p>
        </w:tc>
        <w:tc>
          <w:tcPr>
            <w:tcW w:w="1550" w:type="dxa"/>
            <w:vAlign w:val="center"/>
          </w:tcPr>
          <w:p>
            <w:pPr>
              <w:pStyle w:val="TableNumber"/>
            </w:pPr>
            <w:r>
              <w:t>0.02725</w:t>
            </w:r>
          </w:p>
        </w:tc>
        <w:tc>
          <w:tcPr>
            <w:tcW w:w="1550" w:type="dxa"/>
            <w:vAlign w:val="center"/>
          </w:tcPr>
          <w:p>
            <w:pPr>
              <w:pStyle w:val="TableNumber"/>
            </w:pPr>
            <w:r>
              <w:t>0.29183</w:t>
            </w:r>
          </w:p>
        </w:tc>
        <w:tc>
          <w:tcPr>
            <w:tcW w:w="1050" w:type="dxa"/>
            <w:vAlign w:val="center"/>
          </w:tcPr>
          <w:p>
            <w:pPr>
              <w:pStyle w:val="TableNumber"/>
            </w:pPr>
            <w:r>
              <w:t>1/13</w:t>
            </w:r>
          </w:p>
        </w:tc>
        <w:tc>
          <w:tcPr>
            <w:tcW w:w="1550" w:type="dxa"/>
            <w:vAlign w:val="center"/>
          </w:tcPr>
          <w:p>
            <w:pPr>
              <w:pStyle w:val="TableNumber"/>
            </w:pPr>
            <w:r>
              <w:t>0.08229</w:t>
            </w:r>
          </w:p>
        </w:tc>
        <w:tc>
          <w:tcPr>
            <w:tcW w:w="1610" w:type="dxa"/>
            <w:vAlign w:val="center"/>
          </w:tcPr>
          <w:p>
            <w:pPr>
              <w:pStyle w:val="TableNumber"/>
            </w:pPr>
            <w:r>
              <w:t>0.8813</w:t>
            </w:r>
          </w:p>
        </w:tc>
      </w:tr>
      <w:tr>
        <w:trPr>
          <w:cantSplit/>
        </w:trPr>
        <w:tc>
          <w:tcPr>
            <w:tcW w:w="650" w:type="dxa"/>
            <w:vAlign w:val="center"/>
          </w:tcPr>
          <w:p>
            <w:pPr>
              <w:pStyle w:val="TableText"/>
            </w:pPr>
            <w:r>
              <w:t>13d</w:t>
            </w:r>
          </w:p>
        </w:tc>
        <w:tc>
          <w:tcPr>
            <w:tcW w:w="1400" w:type="dxa"/>
            <w:vAlign w:val="center"/>
          </w:tcPr>
          <w:p>
            <w:pPr>
              <w:pStyle w:val="TableNumber"/>
            </w:pPr>
            <w:r>
              <w:t>0.09795</w:t>
            </w:r>
          </w:p>
        </w:tc>
        <w:tc>
          <w:tcPr>
            <w:tcW w:w="1550" w:type="dxa"/>
            <w:vAlign w:val="center"/>
          </w:tcPr>
          <w:p>
            <w:pPr>
              <w:pStyle w:val="TableNumber"/>
            </w:pPr>
            <w:r>
              <w:t>0.02849</w:t>
            </w:r>
          </w:p>
        </w:tc>
        <w:tc>
          <w:tcPr>
            <w:tcW w:w="1550" w:type="dxa"/>
            <w:vAlign w:val="center"/>
          </w:tcPr>
          <w:p>
            <w:pPr>
              <w:pStyle w:val="TableNumber"/>
            </w:pPr>
            <w:r>
              <w:t>0.29084</w:t>
            </w:r>
          </w:p>
        </w:tc>
        <w:tc>
          <w:tcPr>
            <w:tcW w:w="1050" w:type="dxa"/>
            <w:vAlign w:val="center"/>
          </w:tcPr>
          <w:p>
            <w:pPr>
              <w:pStyle w:val="TableNumber"/>
            </w:pPr>
            <w:r>
              <w:t>1/13</w:t>
            </w:r>
          </w:p>
        </w:tc>
        <w:tc>
          <w:tcPr>
            <w:tcW w:w="1550" w:type="dxa"/>
            <w:vAlign w:val="center"/>
          </w:tcPr>
          <w:p>
            <w:pPr>
              <w:pStyle w:val="TableNumber"/>
            </w:pPr>
            <w:r>
              <w:t>0.08604</w:t>
            </w:r>
          </w:p>
        </w:tc>
        <w:tc>
          <w:tcPr>
            <w:tcW w:w="1610" w:type="dxa"/>
            <w:vAlign w:val="center"/>
          </w:tcPr>
          <w:p>
            <w:pPr>
              <w:pStyle w:val="TableNumber"/>
            </w:pPr>
            <w:r>
              <w:t>0.8784</w:t>
            </w:r>
          </w:p>
        </w:tc>
      </w:tr>
      <w:tr>
        <w:trPr>
          <w:cantSplit/>
        </w:trPr>
        <w:tc>
          <w:tcPr>
            <w:tcW w:w="650" w:type="dxa"/>
            <w:vAlign w:val="center"/>
          </w:tcPr>
          <w:p>
            <w:pPr>
              <w:pStyle w:val="TableText"/>
            </w:pPr>
            <w:r>
              <w:t>14d</w:t>
            </w:r>
          </w:p>
        </w:tc>
        <w:tc>
          <w:tcPr>
            <w:tcW w:w="1400" w:type="dxa"/>
            <w:vAlign w:val="center"/>
          </w:tcPr>
          <w:p>
            <w:pPr>
              <w:pStyle w:val="TableNumber"/>
            </w:pPr>
            <w:r>
              <w:t>0.10162</w:t>
            </w:r>
          </w:p>
        </w:tc>
        <w:tc>
          <w:tcPr>
            <w:tcW w:w="1550" w:type="dxa"/>
            <w:vAlign w:val="center"/>
          </w:tcPr>
          <w:p>
            <w:pPr>
              <w:pStyle w:val="TableNumber"/>
            </w:pPr>
            <w:r>
              <w:t>0.02972</w:t>
            </w:r>
          </w:p>
        </w:tc>
        <w:tc>
          <w:tcPr>
            <w:tcW w:w="1550" w:type="dxa"/>
            <w:vAlign w:val="center"/>
          </w:tcPr>
          <w:p>
            <w:pPr>
              <w:pStyle w:val="TableNumber"/>
            </w:pPr>
            <w:r>
              <w:t>0.29249</w:t>
            </w:r>
          </w:p>
        </w:tc>
        <w:tc>
          <w:tcPr>
            <w:tcW w:w="1050" w:type="dxa"/>
            <w:vAlign w:val="center"/>
          </w:tcPr>
          <w:p>
            <w:pPr>
              <w:pStyle w:val="TableNumber"/>
            </w:pPr>
            <w:r>
              <w:t>1/13</w:t>
            </w:r>
          </w:p>
        </w:tc>
        <w:tc>
          <w:tcPr>
            <w:tcW w:w="1550" w:type="dxa"/>
            <w:vAlign w:val="center"/>
          </w:tcPr>
          <w:p>
            <w:pPr>
              <w:pStyle w:val="TableNumber"/>
            </w:pPr>
            <w:r>
              <w:t>0.08977</w:t>
            </w:r>
          </w:p>
        </w:tc>
        <w:tc>
          <w:tcPr>
            <w:tcW w:w="1610" w:type="dxa"/>
            <w:vAlign w:val="center"/>
          </w:tcPr>
          <w:p>
            <w:pPr>
              <w:pStyle w:val="TableNumber"/>
            </w:pPr>
            <w:r>
              <w:t>0.8835</w:t>
            </w:r>
          </w:p>
        </w:tc>
      </w:tr>
    </w:tbl>
    <w:p>
      <w:pPr>
        <w:pStyle w:val="a"/>
        <w:spacing w:before="160"/>
      </w:pPr>
      <w:r>
        <w:t>After normalization by the train-only robust scale, normalized pinball ranges from 0.28853 to 0.29316. It measures distribution error relative to each horizon’s training scale; it does not show that raw return error is smaller at longer horizons.</w:t>
      </w:r>
    </w:p>
    <w:p>
      <w:pPr>
        <w:pStyle w:val="21"/>
      </w:pPr>
      <w:r>
        <w:t>6.2 q50 and interval calibration</w:t>
      </w:r>
    </w:p>
    <w:p>
      <w:pPr>
        <w:pStyle w:val="Decision"/>
        <w:keepNext/>
        <w:spacing w:after="80"/>
      </w:pPr>
      <w:r>
        <w:t xml:space="preserve">Table 8 | Raw q50 and intervals with unchanged calibrated q50</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Direction agreement</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Below 80% (pp)</w:t>
            </w:r>
          </w:p>
        </w:tc>
        <w:tc>
          <w:tcPr>
            <w:tcW w:w="1960" w:type="dxa"/>
            <w:shd w:val="clear" w:fill="DCE6F1"/>
            <w:vAlign w:val="center"/>
          </w:tcPr>
          <w:p>
            <w:pPr>
              <w:pStyle w:val="TableHeader"/>
            </w:pPr>
            <w:r>
              <w:t>Interval width</w:t>
            </w:r>
          </w:p>
        </w:tc>
      </w:tr>
      <w:tr>
        <w:trPr>
          <w:cantSplit/>
        </w:trPr>
        <w:tc>
          <w:tcPr>
            <w:tcW w:w="700" w:type="dxa"/>
            <w:vAlign w:val="center"/>
          </w:tcPr>
          <w:p>
            <w:pPr>
              <w:pStyle w:val="TableText"/>
            </w:pPr>
            <w:r>
              <w:t>1d</w:t>
            </w:r>
          </w:p>
        </w:tc>
        <w:tc>
          <w:tcPr>
            <w:tcW w:w="1600" w:type="dxa"/>
            <w:vAlign w:val="center"/>
          </w:tcPr>
          <w:p>
            <w:pPr>
              <w:pStyle w:val="TableNumber"/>
            </w:pPr>
            <w:r>
              <w:t>0.0701</w:t>
            </w:r>
          </w:p>
        </w:tc>
        <w:tc>
          <w:tcPr>
            <w:tcW w:w="1650" w:type="dxa"/>
            <w:vAlign w:val="center"/>
          </w:tcPr>
          <w:p>
            <w:pPr>
              <w:pStyle w:val="TableNumber"/>
            </w:pPr>
            <w:r>
              <w:t>52.33%</w:t>
            </w:r>
          </w:p>
        </w:tc>
        <w:tc>
          <w:tcPr>
            <w:tcW w:w="1650" w:type="dxa"/>
            <w:vAlign w:val="center"/>
          </w:tcPr>
          <w:p>
            <w:pPr>
              <w:pStyle w:val="TableNumber"/>
            </w:pPr>
            <w:r>
              <w:t>79.06%</w:t>
            </w:r>
          </w:p>
        </w:tc>
        <w:tc>
          <w:tcPr>
            <w:tcW w:w="1800" w:type="dxa"/>
            <w:vAlign w:val="center"/>
          </w:tcPr>
          <w:p>
            <w:pPr>
              <w:pStyle w:val="TableNumber"/>
            </w:pPr>
            <w:r>
              <w:t>0.94</w:t>
            </w:r>
          </w:p>
        </w:tc>
        <w:tc>
          <w:tcPr>
            <w:tcW w:w="1960" w:type="dxa"/>
            <w:vAlign w:val="center"/>
          </w:tcPr>
          <w:p>
            <w:pPr>
              <w:pStyle w:val="TableNumber"/>
            </w:pPr>
            <w:r>
              <w:t>0.05986</w:t>
            </w:r>
          </w:p>
        </w:tc>
      </w:tr>
      <w:tr>
        <w:trPr>
          <w:cantSplit/>
        </w:trPr>
        <w:tc>
          <w:tcPr>
            <w:tcW w:w="700" w:type="dxa"/>
            <w:vAlign w:val="center"/>
          </w:tcPr>
          <w:p>
            <w:pPr>
              <w:pStyle w:val="TableText"/>
            </w:pPr>
            <w:r>
              <w:t>2d</w:t>
            </w:r>
          </w:p>
        </w:tc>
        <w:tc>
          <w:tcPr>
            <w:tcW w:w="1600" w:type="dxa"/>
            <w:vAlign w:val="center"/>
          </w:tcPr>
          <w:p>
            <w:pPr>
              <w:pStyle w:val="TableNumber"/>
            </w:pPr>
            <w:r>
              <w:t>0.0746</w:t>
            </w:r>
          </w:p>
        </w:tc>
        <w:tc>
          <w:tcPr>
            <w:tcW w:w="1650" w:type="dxa"/>
            <w:vAlign w:val="center"/>
          </w:tcPr>
          <w:p>
            <w:pPr>
              <w:pStyle w:val="TableNumber"/>
            </w:pPr>
            <w:r>
              <w:t>52.34%</w:t>
            </w:r>
          </w:p>
        </w:tc>
        <w:tc>
          <w:tcPr>
            <w:tcW w:w="1650" w:type="dxa"/>
            <w:vAlign w:val="center"/>
          </w:tcPr>
          <w:p>
            <w:pPr>
              <w:pStyle w:val="TableNumber"/>
            </w:pPr>
            <w:r>
              <w:t>78.33%</w:t>
            </w:r>
          </w:p>
        </w:tc>
        <w:tc>
          <w:tcPr>
            <w:tcW w:w="1800" w:type="dxa"/>
            <w:vAlign w:val="center"/>
          </w:tcPr>
          <w:p>
            <w:pPr>
              <w:pStyle w:val="TableNumber"/>
            </w:pPr>
            <w:r>
              <w:t>1.67</w:t>
            </w:r>
          </w:p>
        </w:tc>
        <w:tc>
          <w:tcPr>
            <w:tcW w:w="1960" w:type="dxa"/>
            <w:vAlign w:val="center"/>
          </w:tcPr>
          <w:p>
            <w:pPr>
              <w:pStyle w:val="TableNumber"/>
            </w:pPr>
            <w:r>
              <w:t>0.08868</w:t>
            </w:r>
          </w:p>
        </w:tc>
      </w:tr>
      <w:tr>
        <w:trPr>
          <w:cantSplit/>
        </w:trPr>
        <w:tc>
          <w:tcPr>
            <w:tcW w:w="700" w:type="dxa"/>
            <w:vAlign w:val="center"/>
          </w:tcPr>
          <w:p>
            <w:pPr>
              <w:pStyle w:val="TableText"/>
            </w:pPr>
            <w:r>
              <w:t>3d</w:t>
            </w:r>
          </w:p>
        </w:tc>
        <w:tc>
          <w:tcPr>
            <w:tcW w:w="1600" w:type="dxa"/>
            <w:vAlign w:val="center"/>
          </w:tcPr>
          <w:p>
            <w:pPr>
              <w:pStyle w:val="TableNumber"/>
            </w:pPr>
            <w:r>
              <w:t>0.0829</w:t>
            </w:r>
          </w:p>
        </w:tc>
        <w:tc>
          <w:tcPr>
            <w:tcW w:w="1650" w:type="dxa"/>
            <w:vAlign w:val="center"/>
          </w:tcPr>
          <w:p>
            <w:pPr>
              <w:pStyle w:val="TableNumber"/>
            </w:pPr>
            <w:r>
              <w:t>53.10%</w:t>
            </w:r>
          </w:p>
        </w:tc>
        <w:tc>
          <w:tcPr>
            <w:tcW w:w="1650" w:type="dxa"/>
            <w:vAlign w:val="center"/>
          </w:tcPr>
          <w:p>
            <w:pPr>
              <w:pStyle w:val="TableNumber"/>
            </w:pPr>
            <w:r>
              <w:t>78.61%</w:t>
            </w:r>
          </w:p>
        </w:tc>
        <w:tc>
          <w:tcPr>
            <w:tcW w:w="1800" w:type="dxa"/>
            <w:vAlign w:val="center"/>
          </w:tcPr>
          <w:p>
            <w:pPr>
              <w:pStyle w:val="TableNumber"/>
            </w:pPr>
            <w:r>
              <w:t>1.39</w:t>
            </w:r>
          </w:p>
        </w:tc>
        <w:tc>
          <w:tcPr>
            <w:tcW w:w="1960" w:type="dxa"/>
            <w:vAlign w:val="center"/>
          </w:tcPr>
          <w:p>
            <w:pPr>
              <w:pStyle w:val="TableNumber"/>
            </w:pPr>
            <w:r>
              <w:t>0.11286</w:t>
            </w:r>
          </w:p>
        </w:tc>
      </w:tr>
      <w:tr>
        <w:trPr>
          <w:cantSplit/>
        </w:trPr>
        <w:tc>
          <w:tcPr>
            <w:tcW w:w="700" w:type="dxa"/>
            <w:vAlign w:val="center"/>
          </w:tcPr>
          <w:p>
            <w:pPr>
              <w:pStyle w:val="TableText"/>
            </w:pPr>
            <w:r>
              <w:t>4d</w:t>
            </w:r>
          </w:p>
        </w:tc>
        <w:tc>
          <w:tcPr>
            <w:tcW w:w="1600" w:type="dxa"/>
            <w:vAlign w:val="center"/>
          </w:tcPr>
          <w:p>
            <w:pPr>
              <w:pStyle w:val="TableNumber"/>
            </w:pPr>
            <w:r>
              <w:t>0.0923</w:t>
            </w:r>
          </w:p>
        </w:tc>
        <w:tc>
          <w:tcPr>
            <w:tcW w:w="1650" w:type="dxa"/>
            <w:vAlign w:val="center"/>
          </w:tcPr>
          <w:p>
            <w:pPr>
              <w:pStyle w:val="TableNumber"/>
            </w:pPr>
            <w:r>
              <w:t>53.14%</w:t>
            </w:r>
          </w:p>
        </w:tc>
        <w:tc>
          <w:tcPr>
            <w:tcW w:w="1650" w:type="dxa"/>
            <w:vAlign w:val="center"/>
          </w:tcPr>
          <w:p>
            <w:pPr>
              <w:pStyle w:val="TableNumber"/>
            </w:pPr>
            <w:r>
              <w:t>78.63%</w:t>
            </w:r>
          </w:p>
        </w:tc>
        <w:tc>
          <w:tcPr>
            <w:tcW w:w="1800" w:type="dxa"/>
            <w:vAlign w:val="center"/>
          </w:tcPr>
          <w:p>
            <w:pPr>
              <w:pStyle w:val="TableNumber"/>
            </w:pPr>
            <w:r>
              <w:t>1.37</w:t>
            </w:r>
          </w:p>
        </w:tc>
        <w:tc>
          <w:tcPr>
            <w:tcW w:w="1960" w:type="dxa"/>
            <w:vAlign w:val="center"/>
          </w:tcPr>
          <w:p>
            <w:pPr>
              <w:pStyle w:val="TableNumber"/>
            </w:pPr>
            <w:r>
              <w:t>0.13273</w:t>
            </w:r>
          </w:p>
        </w:tc>
      </w:tr>
      <w:tr>
        <w:trPr>
          <w:cantSplit/>
        </w:trPr>
        <w:tc>
          <w:tcPr>
            <w:tcW w:w="700" w:type="dxa"/>
            <w:vAlign w:val="center"/>
          </w:tcPr>
          <w:p>
            <w:pPr>
              <w:pStyle w:val="TableText"/>
            </w:pPr>
            <w:r>
              <w:t>5d</w:t>
            </w:r>
          </w:p>
        </w:tc>
        <w:tc>
          <w:tcPr>
            <w:tcW w:w="1600" w:type="dxa"/>
            <w:vAlign w:val="center"/>
          </w:tcPr>
          <w:p>
            <w:pPr>
              <w:pStyle w:val="TableNumber"/>
            </w:pPr>
            <w:r>
              <w:t>0.0987</w:t>
            </w:r>
          </w:p>
        </w:tc>
        <w:tc>
          <w:tcPr>
            <w:tcW w:w="1650" w:type="dxa"/>
            <w:vAlign w:val="center"/>
          </w:tcPr>
          <w:p>
            <w:pPr>
              <w:pStyle w:val="TableNumber"/>
            </w:pPr>
            <w:r>
              <w:t>54.08%</w:t>
            </w:r>
          </w:p>
        </w:tc>
        <w:tc>
          <w:tcPr>
            <w:tcW w:w="1650" w:type="dxa"/>
            <w:vAlign w:val="center"/>
          </w:tcPr>
          <w:p>
            <w:pPr>
              <w:pStyle w:val="TableNumber"/>
            </w:pPr>
            <w:r>
              <w:t>78.18%</w:t>
            </w:r>
          </w:p>
        </w:tc>
        <w:tc>
          <w:tcPr>
            <w:tcW w:w="1800" w:type="dxa"/>
            <w:vAlign w:val="center"/>
          </w:tcPr>
          <w:p>
            <w:pPr>
              <w:pStyle w:val="TableNumber"/>
            </w:pPr>
            <w:r>
              <w:t>1.82</w:t>
            </w:r>
          </w:p>
        </w:tc>
        <w:tc>
          <w:tcPr>
            <w:tcW w:w="1960" w:type="dxa"/>
            <w:vAlign w:val="center"/>
          </w:tcPr>
          <w:p>
            <w:pPr>
              <w:pStyle w:val="TableNumber"/>
            </w:pPr>
            <w:r>
              <w:t>0.14979</w:t>
            </w:r>
          </w:p>
        </w:tc>
      </w:tr>
      <w:tr>
        <w:trPr>
          <w:cantSplit/>
        </w:trPr>
        <w:tc>
          <w:tcPr>
            <w:tcW w:w="700" w:type="dxa"/>
            <w:vAlign w:val="center"/>
          </w:tcPr>
          <w:p>
            <w:pPr>
              <w:pStyle w:val="TableText"/>
            </w:pPr>
            <w:r>
              <w:t>6d</w:t>
            </w:r>
          </w:p>
        </w:tc>
        <w:tc>
          <w:tcPr>
            <w:tcW w:w="1600" w:type="dxa"/>
            <w:vAlign w:val="center"/>
          </w:tcPr>
          <w:p>
            <w:pPr>
              <w:pStyle w:val="TableNumber"/>
            </w:pPr>
            <w:r>
              <w:t>0.1061</w:t>
            </w:r>
          </w:p>
        </w:tc>
        <w:tc>
          <w:tcPr>
            <w:tcW w:w="1650" w:type="dxa"/>
            <w:vAlign w:val="center"/>
          </w:tcPr>
          <w:p>
            <w:pPr>
              <w:pStyle w:val="TableNumber"/>
            </w:pPr>
            <w:r>
              <w:t>54.32%</w:t>
            </w:r>
          </w:p>
        </w:tc>
        <w:tc>
          <w:tcPr>
            <w:tcW w:w="1650" w:type="dxa"/>
            <w:vAlign w:val="center"/>
          </w:tcPr>
          <w:p>
            <w:pPr>
              <w:pStyle w:val="TableNumber"/>
            </w:pPr>
            <w:r>
              <w:t>78.08%</w:t>
            </w:r>
          </w:p>
        </w:tc>
        <w:tc>
          <w:tcPr>
            <w:tcW w:w="1800" w:type="dxa"/>
            <w:vAlign w:val="center"/>
          </w:tcPr>
          <w:p>
            <w:pPr>
              <w:pStyle w:val="TableNumber"/>
            </w:pPr>
            <w:r>
              <w:t>1.92</w:t>
            </w:r>
          </w:p>
        </w:tc>
        <w:tc>
          <w:tcPr>
            <w:tcW w:w="1960" w:type="dxa"/>
            <w:vAlign w:val="center"/>
          </w:tcPr>
          <w:p>
            <w:pPr>
              <w:pStyle w:val="TableNumber"/>
            </w:pPr>
            <w:r>
              <w:t>0.16622</w:t>
            </w:r>
          </w:p>
        </w:tc>
      </w:tr>
      <w:tr>
        <w:trPr>
          <w:cantSplit/>
        </w:trPr>
        <w:tc>
          <w:tcPr>
            <w:tcW w:w="700" w:type="dxa"/>
            <w:vAlign w:val="center"/>
          </w:tcPr>
          <w:p>
            <w:pPr>
              <w:pStyle w:val="TableText"/>
            </w:pPr>
            <w:r>
              <w:t>7d</w:t>
            </w:r>
          </w:p>
        </w:tc>
        <w:tc>
          <w:tcPr>
            <w:tcW w:w="1600" w:type="dxa"/>
            <w:vAlign w:val="center"/>
          </w:tcPr>
          <w:p>
            <w:pPr>
              <w:pStyle w:val="TableNumber"/>
            </w:pPr>
            <w:r>
              <w:t>0.1121</w:t>
            </w:r>
          </w:p>
        </w:tc>
        <w:tc>
          <w:tcPr>
            <w:tcW w:w="1650" w:type="dxa"/>
            <w:vAlign w:val="center"/>
          </w:tcPr>
          <w:p>
            <w:pPr>
              <w:pStyle w:val="TableNumber"/>
            </w:pPr>
            <w:r>
              <w:t>54.53%</w:t>
            </w:r>
          </w:p>
        </w:tc>
        <w:tc>
          <w:tcPr>
            <w:tcW w:w="1650" w:type="dxa"/>
            <w:vAlign w:val="center"/>
          </w:tcPr>
          <w:p>
            <w:pPr>
              <w:pStyle w:val="TableNumber"/>
            </w:pPr>
            <w:r>
              <w:t>77.30%</w:t>
            </w:r>
          </w:p>
        </w:tc>
        <w:tc>
          <w:tcPr>
            <w:tcW w:w="1800" w:type="dxa"/>
            <w:vAlign w:val="center"/>
          </w:tcPr>
          <w:p>
            <w:pPr>
              <w:pStyle w:val="TableNumber"/>
            </w:pPr>
            <w:r>
              <w:t>2.70</w:t>
            </w:r>
          </w:p>
        </w:tc>
        <w:tc>
          <w:tcPr>
            <w:tcW w:w="1960" w:type="dxa"/>
            <w:vAlign w:val="center"/>
          </w:tcPr>
          <w:p>
            <w:pPr>
              <w:pStyle w:val="TableNumber"/>
            </w:pPr>
            <w:r>
              <w:t>0.17875</w:t>
            </w:r>
          </w:p>
        </w:tc>
      </w:tr>
      <w:tr>
        <w:trPr>
          <w:cantSplit/>
        </w:trPr>
        <w:tc>
          <w:tcPr>
            <w:tcW w:w="700" w:type="dxa"/>
            <w:vAlign w:val="center"/>
          </w:tcPr>
          <w:p>
            <w:pPr>
              <w:pStyle w:val="TableText"/>
            </w:pPr>
            <w:r>
              <w:t>8d</w:t>
            </w:r>
          </w:p>
        </w:tc>
        <w:tc>
          <w:tcPr>
            <w:tcW w:w="1600" w:type="dxa"/>
            <w:vAlign w:val="center"/>
          </w:tcPr>
          <w:p>
            <w:pPr>
              <w:pStyle w:val="TableNumber"/>
            </w:pPr>
            <w:r>
              <w:t>0.1195</w:t>
            </w:r>
          </w:p>
        </w:tc>
        <w:tc>
          <w:tcPr>
            <w:tcW w:w="1650" w:type="dxa"/>
            <w:vAlign w:val="center"/>
          </w:tcPr>
          <w:p>
            <w:pPr>
              <w:pStyle w:val="TableNumber"/>
            </w:pPr>
            <w:r>
              <w:t>55.11%</w:t>
            </w:r>
          </w:p>
        </w:tc>
        <w:tc>
          <w:tcPr>
            <w:tcW w:w="1650" w:type="dxa"/>
            <w:vAlign w:val="center"/>
          </w:tcPr>
          <w:p>
            <w:pPr>
              <w:pStyle w:val="TableNumber"/>
            </w:pPr>
            <w:r>
              <w:t>77.78%</w:t>
            </w:r>
          </w:p>
        </w:tc>
        <w:tc>
          <w:tcPr>
            <w:tcW w:w="1800" w:type="dxa"/>
            <w:vAlign w:val="center"/>
          </w:tcPr>
          <w:p>
            <w:pPr>
              <w:pStyle w:val="TableNumber"/>
            </w:pPr>
            <w:r>
              <w:t>2.22</w:t>
            </w:r>
          </w:p>
        </w:tc>
        <w:tc>
          <w:tcPr>
            <w:tcW w:w="1960" w:type="dxa"/>
            <w:vAlign w:val="center"/>
          </w:tcPr>
          <w:p>
            <w:pPr>
              <w:pStyle w:val="TableNumber"/>
            </w:pPr>
            <w:r>
              <w:t>0.19519</w:t>
            </w:r>
          </w:p>
        </w:tc>
      </w:tr>
      <w:tr>
        <w:trPr>
          <w:cantSplit/>
        </w:trPr>
        <w:tc>
          <w:tcPr>
            <w:tcW w:w="700" w:type="dxa"/>
            <w:vAlign w:val="center"/>
          </w:tcPr>
          <w:p>
            <w:pPr>
              <w:pStyle w:val="TableText"/>
            </w:pPr>
            <w:r>
              <w:t>9d</w:t>
            </w:r>
          </w:p>
        </w:tc>
        <w:tc>
          <w:tcPr>
            <w:tcW w:w="1600" w:type="dxa"/>
            <w:vAlign w:val="center"/>
          </w:tcPr>
          <w:p>
            <w:pPr>
              <w:pStyle w:val="TableNumber"/>
            </w:pPr>
            <w:r>
              <w:t>0.1217</w:t>
            </w:r>
          </w:p>
        </w:tc>
        <w:tc>
          <w:tcPr>
            <w:tcW w:w="1650" w:type="dxa"/>
            <w:vAlign w:val="center"/>
          </w:tcPr>
          <w:p>
            <w:pPr>
              <w:pStyle w:val="TableNumber"/>
            </w:pPr>
            <w:r>
              <w:t>55.29%</w:t>
            </w:r>
          </w:p>
        </w:tc>
        <w:tc>
          <w:tcPr>
            <w:tcW w:w="1650" w:type="dxa"/>
            <w:vAlign w:val="center"/>
          </w:tcPr>
          <w:p>
            <w:pPr>
              <w:pStyle w:val="TableNumber"/>
            </w:pPr>
            <w:r>
              <w:t>77.13%</w:t>
            </w:r>
          </w:p>
        </w:tc>
        <w:tc>
          <w:tcPr>
            <w:tcW w:w="1800" w:type="dxa"/>
            <w:vAlign w:val="center"/>
          </w:tcPr>
          <w:p>
            <w:pPr>
              <w:pStyle w:val="TableNumber"/>
            </w:pPr>
            <w:r>
              <w:t>2.87</w:t>
            </w:r>
          </w:p>
        </w:tc>
        <w:tc>
          <w:tcPr>
            <w:tcW w:w="1960" w:type="dxa"/>
            <w:vAlign w:val="center"/>
          </w:tcPr>
          <w:p>
            <w:pPr>
              <w:pStyle w:val="TableNumber"/>
            </w:pPr>
            <w:r>
              <w:t>0.20588</w:t>
            </w:r>
          </w:p>
        </w:tc>
      </w:tr>
      <w:tr>
        <w:trPr>
          <w:cantSplit/>
        </w:trPr>
        <w:tc>
          <w:tcPr>
            <w:tcW w:w="700" w:type="dxa"/>
            <w:vAlign w:val="center"/>
          </w:tcPr>
          <w:p>
            <w:pPr>
              <w:pStyle w:val="TableText"/>
            </w:pPr>
            <w:r>
              <w:t>10d</w:t>
            </w:r>
          </w:p>
        </w:tc>
        <w:tc>
          <w:tcPr>
            <w:tcW w:w="1600" w:type="dxa"/>
            <w:vAlign w:val="center"/>
          </w:tcPr>
          <w:p>
            <w:pPr>
              <w:pStyle w:val="TableNumber"/>
            </w:pPr>
            <w:r>
              <w:t>0.1245</w:t>
            </w:r>
          </w:p>
        </w:tc>
        <w:tc>
          <w:tcPr>
            <w:tcW w:w="1650" w:type="dxa"/>
            <w:vAlign w:val="center"/>
          </w:tcPr>
          <w:p>
            <w:pPr>
              <w:pStyle w:val="TableNumber"/>
            </w:pPr>
            <w:r>
              <w:t>55.75%</w:t>
            </w:r>
          </w:p>
        </w:tc>
        <w:tc>
          <w:tcPr>
            <w:tcW w:w="1650" w:type="dxa"/>
            <w:vAlign w:val="center"/>
          </w:tcPr>
          <w:p>
            <w:pPr>
              <w:pStyle w:val="TableNumber"/>
            </w:pPr>
            <w:r>
              <w:t>77.75%</w:t>
            </w:r>
          </w:p>
        </w:tc>
        <w:tc>
          <w:tcPr>
            <w:tcW w:w="1800" w:type="dxa"/>
            <w:vAlign w:val="center"/>
          </w:tcPr>
          <w:p>
            <w:pPr>
              <w:pStyle w:val="TableNumber"/>
            </w:pPr>
            <w:r>
              <w:t>2.25</w:t>
            </w:r>
          </w:p>
        </w:tc>
        <w:tc>
          <w:tcPr>
            <w:tcW w:w="1960" w:type="dxa"/>
            <w:vAlign w:val="center"/>
          </w:tcPr>
          <w:p>
            <w:pPr>
              <w:pStyle w:val="TableNumber"/>
            </w:pPr>
            <w:r>
              <w:t>0.22151</w:t>
            </w:r>
          </w:p>
        </w:tc>
      </w:tr>
      <w:tr>
        <w:trPr>
          <w:cantSplit/>
        </w:trPr>
        <w:tc>
          <w:tcPr>
            <w:tcW w:w="700" w:type="dxa"/>
            <w:vAlign w:val="center"/>
          </w:tcPr>
          <w:p>
            <w:pPr>
              <w:pStyle w:val="TableText"/>
            </w:pPr>
            <w:r>
              <w:t>11d</w:t>
            </w:r>
          </w:p>
        </w:tc>
        <w:tc>
          <w:tcPr>
            <w:tcW w:w="1600" w:type="dxa"/>
            <w:vAlign w:val="center"/>
          </w:tcPr>
          <w:p>
            <w:pPr>
              <w:pStyle w:val="TableNumber"/>
            </w:pPr>
            <w:r>
              <w:t>0.1248</w:t>
            </w:r>
          </w:p>
        </w:tc>
        <w:tc>
          <w:tcPr>
            <w:tcW w:w="1650" w:type="dxa"/>
            <w:vAlign w:val="center"/>
          </w:tcPr>
          <w:p>
            <w:pPr>
              <w:pStyle w:val="TableNumber"/>
            </w:pPr>
            <w:r>
              <w:t>55.89%</w:t>
            </w:r>
          </w:p>
        </w:tc>
        <w:tc>
          <w:tcPr>
            <w:tcW w:w="1650" w:type="dxa"/>
            <w:vAlign w:val="center"/>
          </w:tcPr>
          <w:p>
            <w:pPr>
              <w:pStyle w:val="TableNumber"/>
            </w:pPr>
            <w:r>
              <w:t>77.09%</w:t>
            </w:r>
          </w:p>
        </w:tc>
        <w:tc>
          <w:tcPr>
            <w:tcW w:w="1800" w:type="dxa"/>
            <w:vAlign w:val="center"/>
          </w:tcPr>
          <w:p>
            <w:pPr>
              <w:pStyle w:val="TableNumber"/>
            </w:pPr>
            <w:r>
              <w:t>2.91</w:t>
            </w:r>
          </w:p>
        </w:tc>
        <w:tc>
          <w:tcPr>
            <w:tcW w:w="1960" w:type="dxa"/>
            <w:vAlign w:val="center"/>
          </w:tcPr>
          <w:p>
            <w:pPr>
              <w:pStyle w:val="TableNumber"/>
            </w:pPr>
            <w:r>
              <w:t>0.23056</w:t>
            </w:r>
          </w:p>
        </w:tc>
      </w:tr>
      <w:tr>
        <w:trPr>
          <w:cantSplit/>
        </w:trPr>
        <w:tc>
          <w:tcPr>
            <w:tcW w:w="700" w:type="dxa"/>
            <w:vAlign w:val="center"/>
          </w:tcPr>
          <w:p>
            <w:pPr>
              <w:pStyle w:val="TableText"/>
            </w:pPr>
            <w:r>
              <w:t>12d</w:t>
            </w:r>
          </w:p>
        </w:tc>
        <w:tc>
          <w:tcPr>
            <w:tcW w:w="1600" w:type="dxa"/>
            <w:vAlign w:val="center"/>
          </w:tcPr>
          <w:p>
            <w:pPr>
              <w:pStyle w:val="TableNumber"/>
            </w:pPr>
            <w:r>
              <w:t>0.1264</w:t>
            </w:r>
          </w:p>
        </w:tc>
        <w:tc>
          <w:tcPr>
            <w:tcW w:w="1650" w:type="dxa"/>
            <w:vAlign w:val="center"/>
          </w:tcPr>
          <w:p>
            <w:pPr>
              <w:pStyle w:val="TableNumber"/>
            </w:pPr>
            <w:r>
              <w:t>56.07%</w:t>
            </w:r>
          </w:p>
        </w:tc>
        <w:tc>
          <w:tcPr>
            <w:tcW w:w="1650" w:type="dxa"/>
            <w:vAlign w:val="center"/>
          </w:tcPr>
          <w:p>
            <w:pPr>
              <w:pStyle w:val="TableNumber"/>
            </w:pPr>
            <w:r>
              <w:t>77.17%</w:t>
            </w:r>
          </w:p>
        </w:tc>
        <w:tc>
          <w:tcPr>
            <w:tcW w:w="1800" w:type="dxa"/>
            <w:vAlign w:val="center"/>
          </w:tcPr>
          <w:p>
            <w:pPr>
              <w:pStyle w:val="TableNumber"/>
            </w:pPr>
            <w:r>
              <w:t>2.83</w:t>
            </w:r>
          </w:p>
        </w:tc>
        <w:tc>
          <w:tcPr>
            <w:tcW w:w="1960" w:type="dxa"/>
            <w:vAlign w:val="center"/>
          </w:tcPr>
          <w:p>
            <w:pPr>
              <w:pStyle w:val="TableNumber"/>
            </w:pPr>
            <w:r>
              <w:t>0.24409</w:t>
            </w:r>
          </w:p>
        </w:tc>
      </w:tr>
      <w:tr>
        <w:trPr>
          <w:cantSplit/>
        </w:trPr>
        <w:tc>
          <w:tcPr>
            <w:tcW w:w="700" w:type="dxa"/>
            <w:vAlign w:val="center"/>
          </w:tcPr>
          <w:p>
            <w:pPr>
              <w:pStyle w:val="TableText"/>
            </w:pPr>
            <w:r>
              <w:t>13d</w:t>
            </w:r>
          </w:p>
        </w:tc>
        <w:tc>
          <w:tcPr>
            <w:tcW w:w="1600" w:type="dxa"/>
            <w:vAlign w:val="center"/>
          </w:tcPr>
          <w:p>
            <w:pPr>
              <w:pStyle w:val="TableNumber"/>
            </w:pPr>
            <w:r>
              <w:t>0.1284</w:t>
            </w:r>
          </w:p>
        </w:tc>
        <w:tc>
          <w:tcPr>
            <w:tcW w:w="1650" w:type="dxa"/>
            <w:vAlign w:val="center"/>
          </w:tcPr>
          <w:p>
            <w:pPr>
              <w:pStyle w:val="TableNumber"/>
            </w:pPr>
            <w:r>
              <w:t>56.14%</w:t>
            </w:r>
          </w:p>
        </w:tc>
        <w:tc>
          <w:tcPr>
            <w:tcW w:w="1650" w:type="dxa"/>
            <w:vAlign w:val="center"/>
          </w:tcPr>
          <w:p>
            <w:pPr>
              <w:pStyle w:val="TableNumber"/>
            </w:pPr>
            <w:r>
              <w:t>77.00%</w:t>
            </w:r>
          </w:p>
        </w:tc>
        <w:tc>
          <w:tcPr>
            <w:tcW w:w="1800" w:type="dxa"/>
            <w:vAlign w:val="center"/>
          </w:tcPr>
          <w:p>
            <w:pPr>
              <w:pStyle w:val="TableNumber"/>
            </w:pPr>
            <w:r>
              <w:t>3.00</w:t>
            </w:r>
          </w:p>
        </w:tc>
        <w:tc>
          <w:tcPr>
            <w:tcW w:w="1960" w:type="dxa"/>
            <w:vAlign w:val="center"/>
          </w:tcPr>
          <w:p>
            <w:pPr>
              <w:pStyle w:val="TableNumber"/>
            </w:pPr>
            <w:r>
              <w:t>0.25533</w:t>
            </w:r>
          </w:p>
        </w:tc>
      </w:tr>
      <w:tr>
        <w:trPr>
          <w:cantSplit/>
        </w:trPr>
        <w:tc>
          <w:tcPr>
            <w:tcW w:w="700" w:type="dxa"/>
            <w:vAlign w:val="center"/>
          </w:tcPr>
          <w:p>
            <w:pPr>
              <w:pStyle w:val="TableText"/>
            </w:pPr>
            <w:r>
              <w:t>14d</w:t>
            </w:r>
          </w:p>
        </w:tc>
        <w:tc>
          <w:tcPr>
            <w:tcW w:w="1600" w:type="dxa"/>
            <w:vAlign w:val="center"/>
          </w:tcPr>
          <w:p>
            <w:pPr>
              <w:pStyle w:val="TableNumber"/>
            </w:pPr>
            <w:r>
              <w:t>0.1303</w:t>
            </w:r>
          </w:p>
        </w:tc>
        <w:tc>
          <w:tcPr>
            <w:tcW w:w="1650" w:type="dxa"/>
            <w:vAlign w:val="center"/>
          </w:tcPr>
          <w:p>
            <w:pPr>
              <w:pStyle w:val="TableNumber"/>
            </w:pPr>
            <w:r>
              <w:t>56.45%</w:t>
            </w:r>
          </w:p>
        </w:tc>
        <w:tc>
          <w:tcPr>
            <w:tcW w:w="1650" w:type="dxa"/>
            <w:vAlign w:val="center"/>
          </w:tcPr>
          <w:p>
            <w:pPr>
              <w:pStyle w:val="TableNumber"/>
            </w:pPr>
            <w:r>
              <w:t>77.11%</w:t>
            </w:r>
          </w:p>
        </w:tc>
        <w:tc>
          <w:tcPr>
            <w:tcW w:w="1800" w:type="dxa"/>
            <w:vAlign w:val="center"/>
          </w:tcPr>
          <w:p>
            <w:pPr>
              <w:pStyle w:val="TableNumber"/>
            </w:pPr>
            <w:r>
              <w:t>2.89</w:t>
            </w:r>
          </w:p>
        </w:tc>
        <w:tc>
          <w:tcPr>
            <w:tcW w:w="1960" w:type="dxa"/>
            <w:vAlign w:val="center"/>
          </w:tcPr>
          <w:p>
            <w:pPr>
              <w:pStyle w:val="TableNumber"/>
            </w:pPr>
            <w:r>
              <w:t>0.26708</w:t>
            </w:r>
          </w:p>
        </w:tc>
      </w:tr>
    </w:tbl>
    <w:p>
      <w:pPr>
        <w:pStyle w:val="a"/>
        <w:spacing w:before="160"/>
      </w:pPr>
      <w:r>
        <w:t xml:space="preserve">Table 8 reports raw results. The added tables compare raw and calibrated intervals and the fixed-distribution baseline. Original q50 MAE, correlation and direction agreement are retained and exactly unchanged by calibration; interval improvement is not point-forecast or direction improvement.</w:t>
      </w:r>
    </w:p>
    <w:p>
      <w:pPr>
        <w:pStyle w:val="21"/>
      </w:pPr>
      <w:r>
        <w:t xml:space="preserve">6.2a Complete raw and calibrated distributions</w:t>
      </w:r>
    </w:p>
    <w:p>
      <w:pPr>
        <w:pStyle w:val="Decision"/>
      </w:pPr>
      <w:r>
        <w:t xml:space="preserve">Table 8a | Raw on the first line and calibrated on the second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0.291608</w:t>
              <w:br/>
              <w:t xml:space="preserve">0.291244</w:t>
            </w:r>
          </w:p>
        </w:tc>
        <w:tc>
          <w:tcPr>
            <w:tcW w:w="2075" w:type="dxa"/>
            <w:shd w:fill="FFFFFF"/>
            <w:vAlign w:val="center"/>
          </w:tcPr>
          <w:p>
            <w:pPr>
              <w:pStyle w:val="TableNumber"/>
            </w:pPr>
            <w:r>
              <w:t xml:space="preserve">77.8015%</w:t>
              <w:br/>
              <w:t xml:space="preserve">79.4615%</w:t>
            </w:r>
          </w:p>
        </w:tc>
        <w:tc>
          <w:tcPr>
            <w:tcW w:w="2200" w:type="dxa"/>
            <w:shd w:fill="FFFFFF"/>
            <w:vAlign w:val="center"/>
          </w:tcPr>
          <w:p>
            <w:pPr>
              <w:pStyle w:val="TableNumber"/>
            </w:pPr>
            <w:r>
              <w:t xml:space="preserve">2.1985</w:t>
              <w:br/>
              <w:t xml:space="preserve">0.5385</w:t>
            </w:r>
          </w:p>
        </w:tc>
        <w:tc>
          <w:tcPr>
            <w:tcW w:w="2360" w:type="dxa"/>
            <w:shd w:fill="FFFFFF"/>
            <w:vAlign w:val="center"/>
          </w:tcPr>
          <w:p>
            <w:pPr>
              <w:pStyle w:val="TableNumber"/>
            </w:pPr>
            <w:r>
              <w:t xml:space="preserve">0.179182</w:t>
              <w:br/>
              <w:t xml:space="preserve">0.186957</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0.288534</w:t>
              <w:br/>
              <w:t xml:space="preserve">0.288285</w:t>
            </w:r>
          </w:p>
        </w:tc>
        <w:tc>
          <w:tcPr>
            <w:tcW w:w="2075" w:type="dxa"/>
            <w:shd w:fill="F7F9FC"/>
            <w:vAlign w:val="center"/>
          </w:tcPr>
          <w:p>
            <w:pPr>
              <w:pStyle w:val="TableNumber"/>
            </w:pPr>
            <w:r>
              <w:t xml:space="preserve">79.0641%</w:t>
              <w:br/>
              <w:t xml:space="preserve">79.9527%</w:t>
            </w:r>
          </w:p>
        </w:tc>
        <w:tc>
          <w:tcPr>
            <w:tcW w:w="2200" w:type="dxa"/>
            <w:shd w:fill="F7F9FC"/>
            <w:vAlign w:val="center"/>
          </w:tcPr>
          <w:p>
            <w:pPr>
              <w:pStyle w:val="TableNumber"/>
            </w:pPr>
            <w:r>
              <w:t xml:space="preserve">0.9359</w:t>
              <w:br/>
              <w:t xml:space="preserve">0.0473</w:t>
            </w:r>
          </w:p>
        </w:tc>
        <w:tc>
          <w:tcPr>
            <w:tcW w:w="2360" w:type="dxa"/>
            <w:shd w:fill="F7F9FC"/>
            <w:vAlign w:val="center"/>
          </w:tcPr>
          <w:p>
            <w:pPr>
              <w:pStyle w:val="TableNumber"/>
            </w:pPr>
            <w:r>
              <w:t xml:space="preserve">0.059864</w:t>
              <w:br/>
              <w:t xml:space="preserve">0.061292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0.291410</w:t>
              <w:br/>
              <w:t xml:space="preserve">0.291082</w:t>
            </w:r>
          </w:p>
        </w:tc>
        <w:tc>
          <w:tcPr>
            <w:tcW w:w="2075" w:type="dxa"/>
            <w:shd w:fill="FFFFFF"/>
            <w:vAlign w:val="center"/>
          </w:tcPr>
          <w:p>
            <w:pPr>
              <w:pStyle w:val="TableNumber"/>
            </w:pPr>
            <w:r>
              <w:t xml:space="preserve">78.3258%</w:t>
              <w:br/>
              <w:t xml:space="preserve">79.6168%</w:t>
            </w:r>
          </w:p>
        </w:tc>
        <w:tc>
          <w:tcPr>
            <w:tcW w:w="2200" w:type="dxa"/>
            <w:shd w:fill="FFFFFF"/>
            <w:vAlign w:val="center"/>
          </w:tcPr>
          <w:p>
            <w:pPr>
              <w:pStyle w:val="TableNumber"/>
            </w:pPr>
            <w:r>
              <w:t xml:space="preserve">1.6742</w:t>
              <w:br/>
              <w:t xml:space="preserve">0.3832</w:t>
            </w:r>
          </w:p>
        </w:tc>
        <w:tc>
          <w:tcPr>
            <w:tcW w:w="2360" w:type="dxa"/>
            <w:shd w:fill="FFFFFF"/>
            <w:vAlign w:val="center"/>
          </w:tcPr>
          <w:p>
            <w:pPr>
              <w:pStyle w:val="TableNumber"/>
            </w:pPr>
            <w:r>
              <w:t xml:space="preserve">0.088680</w:t>
              <w:br/>
              <w:t xml:space="preserve">0.091713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0.293146</w:t>
              <w:br/>
              <w:t xml:space="preserve">0.292829</w:t>
            </w:r>
          </w:p>
        </w:tc>
        <w:tc>
          <w:tcPr>
            <w:tcW w:w="2075" w:type="dxa"/>
            <w:shd w:fill="F7F9FC"/>
            <w:vAlign w:val="center"/>
          </w:tcPr>
          <w:p>
            <w:pPr>
              <w:pStyle w:val="TableNumber"/>
            </w:pPr>
            <w:r>
              <w:t xml:space="preserve">78.6064%</w:t>
              <w:br/>
              <w:t xml:space="preserve">79.3849%</w:t>
            </w:r>
          </w:p>
        </w:tc>
        <w:tc>
          <w:tcPr>
            <w:tcW w:w="2200" w:type="dxa"/>
            <w:shd w:fill="F7F9FC"/>
            <w:vAlign w:val="center"/>
          </w:tcPr>
          <w:p>
            <w:pPr>
              <w:pStyle w:val="TableNumber"/>
            </w:pPr>
            <w:r>
              <w:t xml:space="preserve">1.3936</w:t>
              <w:br/>
              <w:t xml:space="preserve">0.6151</w:t>
            </w:r>
          </w:p>
        </w:tc>
        <w:tc>
          <w:tcPr>
            <w:tcW w:w="2360" w:type="dxa"/>
            <w:shd w:fill="F7F9FC"/>
            <w:vAlign w:val="center"/>
          </w:tcPr>
          <w:p>
            <w:pPr>
              <w:pStyle w:val="TableNumber"/>
            </w:pPr>
            <w:r>
              <w:t xml:space="preserve">0.112858</w:t>
              <w:br/>
              <w:t xml:space="preserve">0.115027</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0.291099</w:t>
              <w:br/>
              <w:t xml:space="preserve">0.290873</w:t>
            </w:r>
          </w:p>
        </w:tc>
        <w:tc>
          <w:tcPr>
            <w:tcW w:w="2075" w:type="dxa"/>
            <w:shd w:fill="FFFFFF"/>
            <w:vAlign w:val="center"/>
          </w:tcPr>
          <w:p>
            <w:pPr>
              <w:pStyle w:val="TableNumber"/>
            </w:pPr>
            <w:r>
              <w:t xml:space="preserve">78.6303%</w:t>
              <w:br/>
              <w:t xml:space="preserve">79.3864%</w:t>
            </w:r>
          </w:p>
        </w:tc>
        <w:tc>
          <w:tcPr>
            <w:tcW w:w="2200" w:type="dxa"/>
            <w:shd w:fill="FFFFFF"/>
            <w:vAlign w:val="center"/>
          </w:tcPr>
          <w:p>
            <w:pPr>
              <w:pStyle w:val="TableNumber"/>
            </w:pPr>
            <w:r>
              <w:t xml:space="preserve">1.3697</w:t>
              <w:br/>
              <w:t xml:space="preserve">0.6136</w:t>
            </w:r>
          </w:p>
        </w:tc>
        <w:tc>
          <w:tcPr>
            <w:tcW w:w="2360" w:type="dxa"/>
            <w:shd w:fill="FFFFFF"/>
            <w:vAlign w:val="center"/>
          </w:tcPr>
          <w:p>
            <w:pPr>
              <w:pStyle w:val="TableNumber"/>
            </w:pPr>
            <w:r>
              <w:t xml:space="preserve">0.132730</w:t>
              <w:br/>
              <w:t xml:space="preserve">0.135246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0.289276</w:t>
              <w:br/>
              <w:t xml:space="preserve">0.288990</w:t>
            </w:r>
          </w:p>
        </w:tc>
        <w:tc>
          <w:tcPr>
            <w:tcW w:w="2075" w:type="dxa"/>
            <w:shd w:fill="F7F9FC"/>
            <w:vAlign w:val="center"/>
          </w:tcPr>
          <w:p>
            <w:pPr>
              <w:pStyle w:val="TableNumber"/>
            </w:pPr>
            <w:r>
              <w:t xml:space="preserve">78.1815%</w:t>
              <w:br/>
              <w:t xml:space="preserve">79.5966%</w:t>
            </w:r>
          </w:p>
        </w:tc>
        <w:tc>
          <w:tcPr>
            <w:tcW w:w="2200" w:type="dxa"/>
            <w:shd w:fill="F7F9FC"/>
            <w:vAlign w:val="center"/>
          </w:tcPr>
          <w:p>
            <w:pPr>
              <w:pStyle w:val="TableNumber"/>
            </w:pPr>
            <w:r>
              <w:t xml:space="preserve">1.8185</w:t>
              <w:br/>
              <w:t xml:space="preserve">0.4034</w:t>
            </w:r>
          </w:p>
        </w:tc>
        <w:tc>
          <w:tcPr>
            <w:tcW w:w="2360" w:type="dxa"/>
            <w:shd w:fill="F7F9FC"/>
            <w:vAlign w:val="center"/>
          </w:tcPr>
          <w:p>
            <w:pPr>
              <w:pStyle w:val="TableNumber"/>
            </w:pPr>
            <w:r>
              <w:t xml:space="preserve">0.149787</w:t>
              <w:br/>
              <w:t xml:space="preserve">0.155120</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0.291536</w:t>
              <w:br/>
              <w:t xml:space="preserve">0.291303</w:t>
            </w:r>
          </w:p>
        </w:tc>
        <w:tc>
          <w:tcPr>
            <w:tcW w:w="2075" w:type="dxa"/>
            <w:shd w:fill="FFFFFF"/>
            <w:vAlign w:val="center"/>
          </w:tcPr>
          <w:p>
            <w:pPr>
              <w:pStyle w:val="TableNumber"/>
            </w:pPr>
            <w:r>
              <w:t xml:space="preserve">78.0842%</w:t>
              <w:br/>
              <w:t xml:space="preserve">79.6391%</w:t>
            </w:r>
          </w:p>
        </w:tc>
        <w:tc>
          <w:tcPr>
            <w:tcW w:w="2200" w:type="dxa"/>
            <w:shd w:fill="FFFFFF"/>
            <w:vAlign w:val="center"/>
          </w:tcPr>
          <w:p>
            <w:pPr>
              <w:pStyle w:val="TableNumber"/>
            </w:pPr>
            <w:r>
              <w:t xml:space="preserve">1.9158</w:t>
              <w:br/>
              <w:t xml:space="preserve">0.3609</w:t>
            </w:r>
          </w:p>
        </w:tc>
        <w:tc>
          <w:tcPr>
            <w:tcW w:w="2360" w:type="dxa"/>
            <w:shd w:fill="FFFFFF"/>
            <w:vAlign w:val="center"/>
          </w:tcPr>
          <w:p>
            <w:pPr>
              <w:pStyle w:val="TableNumber"/>
            </w:pPr>
            <w:r>
              <w:t xml:space="preserve">0.166217</w:t>
              <w:br/>
              <w:t xml:space="preserve">0.172791</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0.291967</w:t>
              <w:br/>
              <w:t xml:space="preserve">0.291750</w:t>
            </w:r>
          </w:p>
        </w:tc>
        <w:tc>
          <w:tcPr>
            <w:tcW w:w="2075" w:type="dxa"/>
            <w:shd w:fill="F7F9FC"/>
            <w:vAlign w:val="center"/>
          </w:tcPr>
          <w:p>
            <w:pPr>
              <w:pStyle w:val="TableNumber"/>
            </w:pPr>
            <w:r>
              <w:t xml:space="preserve">77.3029%</w:t>
              <w:br/>
              <w:t xml:space="preserve">79.2809%</w:t>
            </w:r>
          </w:p>
        </w:tc>
        <w:tc>
          <w:tcPr>
            <w:tcW w:w="2200" w:type="dxa"/>
            <w:shd w:fill="F7F9FC"/>
            <w:vAlign w:val="center"/>
          </w:tcPr>
          <w:p>
            <w:pPr>
              <w:pStyle w:val="TableNumber"/>
            </w:pPr>
            <w:r>
              <w:t xml:space="preserve">2.6971</w:t>
              <w:br/>
              <w:t xml:space="preserve">0.7191</w:t>
            </w:r>
          </w:p>
        </w:tc>
        <w:tc>
          <w:tcPr>
            <w:tcW w:w="2360" w:type="dxa"/>
            <w:shd w:fill="F7F9FC"/>
            <w:vAlign w:val="center"/>
          </w:tcPr>
          <w:p>
            <w:pPr>
              <w:pStyle w:val="TableNumber"/>
            </w:pPr>
            <w:r>
              <w:t xml:space="preserve">0.178752</w:t>
              <w:br/>
              <w:t xml:space="preserve">0.187544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0.292131</w:t>
              <w:br/>
              <w:t xml:space="preserve">0.291848</w:t>
            </w:r>
          </w:p>
        </w:tc>
        <w:tc>
          <w:tcPr>
            <w:tcW w:w="2075" w:type="dxa"/>
            <w:shd w:fill="FFFFFF"/>
            <w:vAlign w:val="center"/>
          </w:tcPr>
          <w:p>
            <w:pPr>
              <w:pStyle w:val="TableNumber"/>
            </w:pPr>
            <w:r>
              <w:t xml:space="preserve">77.7835%</w:t>
              <w:br/>
              <w:t xml:space="preserve">79.6538%</w:t>
            </w:r>
          </w:p>
        </w:tc>
        <w:tc>
          <w:tcPr>
            <w:tcW w:w="2200" w:type="dxa"/>
            <w:shd w:fill="FFFFFF"/>
            <w:vAlign w:val="center"/>
          </w:tcPr>
          <w:p>
            <w:pPr>
              <w:pStyle w:val="TableNumber"/>
            </w:pPr>
            <w:r>
              <w:t xml:space="preserve">2.2165</w:t>
              <w:br/>
              <w:t xml:space="preserve">0.3462</w:t>
            </w:r>
          </w:p>
        </w:tc>
        <w:tc>
          <w:tcPr>
            <w:tcW w:w="2360" w:type="dxa"/>
            <w:shd w:fill="FFFFFF"/>
            <w:vAlign w:val="center"/>
          </w:tcPr>
          <w:p>
            <w:pPr>
              <w:pStyle w:val="TableNumber"/>
            </w:pPr>
            <w:r>
              <w:t xml:space="preserve">0.195191</w:t>
              <w:br/>
              <w:t xml:space="preserve">0.203946</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0.293026</w:t>
              <w:br/>
              <w:t xml:space="preserve">0.292768</w:t>
            </w:r>
          </w:p>
        </w:tc>
        <w:tc>
          <w:tcPr>
            <w:tcW w:w="2075" w:type="dxa"/>
            <w:shd w:fill="F7F9FC"/>
            <w:vAlign w:val="center"/>
          </w:tcPr>
          <w:p>
            <w:pPr>
              <w:pStyle w:val="TableNumber"/>
            </w:pPr>
            <w:r>
              <w:t xml:space="preserve">77.1271%</w:t>
              <w:br/>
              <w:t xml:space="preserve">79.5202%</w:t>
            </w:r>
          </w:p>
        </w:tc>
        <w:tc>
          <w:tcPr>
            <w:tcW w:w="2200" w:type="dxa"/>
            <w:shd w:fill="F7F9FC"/>
            <w:vAlign w:val="center"/>
          </w:tcPr>
          <w:p>
            <w:pPr>
              <w:pStyle w:val="TableNumber"/>
            </w:pPr>
            <w:r>
              <w:t xml:space="preserve">2.8729</w:t>
              <w:br/>
              <w:t xml:space="preserve">0.4798</w:t>
            </w:r>
          </w:p>
        </w:tc>
        <w:tc>
          <w:tcPr>
            <w:tcW w:w="2360" w:type="dxa"/>
            <w:shd w:fill="F7F9FC"/>
            <w:vAlign w:val="center"/>
          </w:tcPr>
          <w:p>
            <w:pPr>
              <w:pStyle w:val="TableNumber"/>
            </w:pPr>
            <w:r>
              <w:t xml:space="preserve">0.205876</w:t>
              <w:br/>
              <w:t xml:space="preserve">0.218253</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0.292081</w:t>
              <w:br/>
              <w:t xml:space="preserve">0.291726</w:t>
            </w:r>
          </w:p>
        </w:tc>
        <w:tc>
          <w:tcPr>
            <w:tcW w:w="2075" w:type="dxa"/>
            <w:shd w:fill="FFFFFF"/>
            <w:vAlign w:val="center"/>
          </w:tcPr>
          <w:p>
            <w:pPr>
              <w:pStyle w:val="TableNumber"/>
            </w:pPr>
            <w:r>
              <w:t xml:space="preserve">77.7485%</w:t>
              <w:br/>
              <w:t xml:space="preserve">79.4875%</w:t>
            </w:r>
          </w:p>
        </w:tc>
        <w:tc>
          <w:tcPr>
            <w:tcW w:w="2200" w:type="dxa"/>
            <w:shd w:fill="FFFFFF"/>
            <w:vAlign w:val="center"/>
          </w:tcPr>
          <w:p>
            <w:pPr>
              <w:pStyle w:val="TableNumber"/>
            </w:pPr>
            <w:r>
              <w:t xml:space="preserve">2.2515</w:t>
              <w:br/>
              <w:t xml:space="preserve">0.5125</w:t>
            </w:r>
          </w:p>
        </w:tc>
        <w:tc>
          <w:tcPr>
            <w:tcW w:w="2360" w:type="dxa"/>
            <w:shd w:fill="FFFFFF"/>
            <w:vAlign w:val="center"/>
          </w:tcPr>
          <w:p>
            <w:pPr>
              <w:pStyle w:val="TableNumber"/>
            </w:pPr>
            <w:r>
              <w:t xml:space="preserve">0.221512</w:t>
              <w:br/>
              <w:t xml:space="preserve">0.230919</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0.293155</w:t>
              <w:br/>
              <w:t xml:space="preserve">0.292656</w:t>
            </w:r>
          </w:p>
        </w:tc>
        <w:tc>
          <w:tcPr>
            <w:tcW w:w="2075" w:type="dxa"/>
            <w:shd w:fill="F7F9FC"/>
            <w:vAlign w:val="center"/>
          </w:tcPr>
          <w:p>
            <w:pPr>
              <w:pStyle w:val="TableNumber"/>
            </w:pPr>
            <w:r>
              <w:t xml:space="preserve">77.0908%</w:t>
              <w:br/>
              <w:t xml:space="preserve">79.3246%</w:t>
            </w:r>
          </w:p>
        </w:tc>
        <w:tc>
          <w:tcPr>
            <w:tcW w:w="2200" w:type="dxa"/>
            <w:shd w:fill="F7F9FC"/>
            <w:vAlign w:val="center"/>
          </w:tcPr>
          <w:p>
            <w:pPr>
              <w:pStyle w:val="TableNumber"/>
            </w:pPr>
            <w:r>
              <w:t xml:space="preserve">2.9092</w:t>
              <w:br/>
              <w:t xml:space="preserve">0.6754</w:t>
            </w:r>
          </w:p>
        </w:tc>
        <w:tc>
          <w:tcPr>
            <w:tcW w:w="2360" w:type="dxa"/>
            <w:shd w:fill="F7F9FC"/>
            <w:vAlign w:val="center"/>
          </w:tcPr>
          <w:p>
            <w:pPr>
              <w:pStyle w:val="TableNumber"/>
            </w:pPr>
            <w:r>
              <w:t xml:space="preserve">0.230563</w:t>
              <w:br/>
              <w:t xml:space="preserve">0.243087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0.291833</w:t>
              <w:br/>
              <w:t xml:space="preserve">0.291186</w:t>
            </w:r>
          </w:p>
        </w:tc>
        <w:tc>
          <w:tcPr>
            <w:tcW w:w="2075" w:type="dxa"/>
            <w:shd w:fill="FFFFFF"/>
            <w:vAlign w:val="center"/>
          </w:tcPr>
          <w:p>
            <w:pPr>
              <w:pStyle w:val="TableNumber"/>
            </w:pPr>
            <w:r>
              <w:t xml:space="preserve">77.1655%</w:t>
              <w:br/>
              <w:t xml:space="preserve">79.1422%</w:t>
            </w:r>
          </w:p>
        </w:tc>
        <w:tc>
          <w:tcPr>
            <w:tcW w:w="2200" w:type="dxa"/>
            <w:shd w:fill="FFFFFF"/>
            <w:vAlign w:val="center"/>
          </w:tcPr>
          <w:p>
            <w:pPr>
              <w:pStyle w:val="TableNumber"/>
            </w:pPr>
            <w:r>
              <w:t xml:space="preserve">2.8345</w:t>
              <w:br/>
              <w:t xml:space="preserve">0.8578</w:t>
            </w:r>
          </w:p>
        </w:tc>
        <w:tc>
          <w:tcPr>
            <w:tcW w:w="2360" w:type="dxa"/>
            <w:shd w:fill="FFFFFF"/>
            <w:vAlign w:val="center"/>
          </w:tcPr>
          <w:p>
            <w:pPr>
              <w:pStyle w:val="TableNumber"/>
            </w:pPr>
            <w:r>
              <w:t xml:space="preserve">0.244094</w:t>
              <w:br/>
              <w:t xml:space="preserve">0.254626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0.290836</w:t>
              <w:br/>
              <w:t xml:space="preserve">0.290288</w:t>
            </w:r>
          </w:p>
        </w:tc>
        <w:tc>
          <w:tcPr>
            <w:tcW w:w="2075" w:type="dxa"/>
            <w:shd w:fill="F7F9FC"/>
            <w:vAlign w:val="center"/>
          </w:tcPr>
          <w:p>
            <w:pPr>
              <w:pStyle w:val="TableNumber"/>
            </w:pPr>
            <w:r>
              <w:t xml:space="preserve">77.0013%</w:t>
              <w:br/>
              <w:t xml:space="preserve">79.2859%</w:t>
            </w:r>
          </w:p>
        </w:tc>
        <w:tc>
          <w:tcPr>
            <w:tcW w:w="2200" w:type="dxa"/>
            <w:shd w:fill="F7F9FC"/>
            <w:vAlign w:val="center"/>
          </w:tcPr>
          <w:p>
            <w:pPr>
              <w:pStyle w:val="TableNumber"/>
            </w:pPr>
            <w:r>
              <w:t xml:space="preserve">2.9987</w:t>
              <w:br/>
              <w:t xml:space="preserve">0.7141</w:t>
            </w:r>
          </w:p>
        </w:tc>
        <w:tc>
          <w:tcPr>
            <w:tcW w:w="2360" w:type="dxa"/>
            <w:shd w:fill="F7F9FC"/>
            <w:vAlign w:val="center"/>
          </w:tcPr>
          <w:p>
            <w:pPr>
              <w:pStyle w:val="TableNumber"/>
            </w:pPr>
            <w:r>
              <w:t xml:space="preserve">0.255335</w:t>
              <w:br/>
              <w:t xml:space="preserve">0.268667</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0.292488</w:t>
              <w:br/>
              <w:t xml:space="preserve">0.291826</w:t>
            </w:r>
          </w:p>
        </w:tc>
        <w:tc>
          <w:tcPr>
            <w:tcW w:w="2075" w:type="dxa"/>
            <w:shd w:fill="FFFFFF"/>
            <w:vAlign w:val="center"/>
          </w:tcPr>
          <w:p>
            <w:pPr>
              <w:pStyle w:val="TableNumber"/>
            </w:pPr>
            <w:r>
              <w:t xml:space="preserve">77.1095%</w:t>
              <w:br/>
              <w:t xml:space="preserve">79.1893%</w:t>
            </w:r>
          </w:p>
        </w:tc>
        <w:tc>
          <w:tcPr>
            <w:tcW w:w="2200" w:type="dxa"/>
            <w:shd w:fill="FFFFFF"/>
            <w:vAlign w:val="center"/>
          </w:tcPr>
          <w:p>
            <w:pPr>
              <w:pStyle w:val="TableNumber"/>
            </w:pPr>
            <w:r>
              <w:t xml:space="preserve">2.8905</w:t>
              <w:br/>
              <w:t xml:space="preserve">0.8107</w:t>
            </w:r>
          </w:p>
        </w:tc>
        <w:tc>
          <w:tcPr>
            <w:tcW w:w="2360" w:type="dxa"/>
            <w:shd w:fill="FFFFFF"/>
            <w:vAlign w:val="center"/>
          </w:tcPr>
          <w:p>
            <w:pPr>
              <w:pStyle w:val="TableNumber"/>
            </w:pPr>
            <w:r>
              <w:t xml:space="preserve">0.267083</w:t>
              <w:br/>
              <w:t xml:space="preserve">0.279172</w:t>
            </w:r>
          </w:p>
        </w:tc>
      </w:tr>
    </w:tbl>
    <w:p>
      <w:pPr>
        <w:pStyle w:val="a"/>
        <w:spacing w:before="160"/>
      </w:pPr>
      <w:r>
        <w:t xml:space="preserve">Coverage is the fraction of realized alpha within q10–q90. Coverage error is |coverage−0.8| in percentage points per horizon; its aggregate is the mean of the 14 errors, not |aggregate coverage−0.8|. Width is mean q90−q10 in alpha log-return units. JSON omits aggregate interval_width; the reported aggregate is the equal-weight mean of the 14 existing widths, not an imputed missing value.</w:t>
      </w:r>
    </w:p>
    <w:p>
      <w:pPr>
        <w:pStyle w:val="a"/>
      </w:pPr>
      <w:r>
        <w:t xml:space="preserve">Calibration uses market/horizon-specific asymmetric tail multipliers, keeping q50 fixed and adjusting distances to q10 and q90. Fit split is validation with 528,315 windows and 116 dates; test in_sample_fit=false. Mean width changes from 0.179182 to 0.186957. Wider intervals can raise coverage; read this with normalized pinball rather than interpreting it as a stronger directional signal.</w:t>
      </w:r>
    </w:p>
    <w:p>
      <w:pPr>
        <w:pStyle w:val="21"/>
      </w:pPr>
      <w:r>
        <w:t xml:space="preserve">6.2b Direction versus the training fixed distribution</w:t>
      </w:r>
    </w:p>
    <w:p>
      <w:pPr>
        <w:pStyle w:val="Decision"/>
      </w:pPr>
      <w:r>
        <w:t xml:space="preserve">Table 8b | Benchmark-relative direction with percentage-point differences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Main model</w:t>
            </w:r>
          </w:p>
        </w:tc>
        <w:tc>
          <w:tcPr>
            <w:tcW w:w="3370" w:type="dxa"/>
            <w:shd w:fill="DCE6F1"/>
            <w:vAlign w:val="center"/>
          </w:tcPr>
          <w:p>
            <w:pPr>
              <w:pStyle w:val="TableHeader"/>
            </w:pPr>
            <w:r>
              <w:t xml:space="preserve">Training-fixed distribution</w:t>
            </w:r>
          </w:p>
        </w:tc>
        <w:tc>
          <w:tcPr>
            <w:tcW w:w="2670" w:type="dxa"/>
            <w:shd w:fill="DCE6F1"/>
            <w:vAlign w:val="center"/>
          </w:tcPr>
          <w:p>
            <w:pPr>
              <w:pStyle w:val="TableHeader"/>
            </w:pPr>
            <w:r>
              <w:t xml:space="preserve">Difference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52.3350%</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-0.0483</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52.3440%</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-0.7097</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53.1044%</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-0.6238</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53.1386%</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-0.9627</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54.0779%</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-0.4986</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54.3227%</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-0.4935</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54.5277%</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-0.4978</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55.1140%</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-0.1321</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55.2894%</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-0.0981</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55.7507%</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+0.0732</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55.8875%</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-0.0028</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56.0692%</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-0.0243</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56.1405%</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-0.2212</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56.4510%</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-0.1503</w:t>
            </w:r>
          </w:p>
        </w:tc>
      </w:tr>
    </w:tbl>
    <w:p>
      <w:pPr>
        <w:pStyle w:val="a"/>
        <w:spacing w:before="160"/>
      </w:pPr>
      <w:r>
        <w:t xml:space="preserve">Direction agreement counts equal signs of predicted q50 and realized alpha, divided by evaluated samples. Difference=(main proportion−baseline proportion)×100. Each horizon has fixed unconditional q10/q50/q90 fitted on training labels and then frozen, reflecting existing sign imbalance. Exceeding 50% alone does not establish incremental prediction.</w:t>
      </w:r>
    </w:p>
    <w:p>
      <w:pPr>
        <w:pStyle w:val="a"/>
      </w:pPr>
      <w:r>
        <w:t xml:space="preserve">always_buy adds its location to training residual quantiles, recovering unconditional training target quantiles. zero_return uses location zero and recovers the same quantiles. Their complete metrics are identical. Keep both raw names for traceability but treat them as one fixed-distribution comparator, not distinct always-bullish and zero-forecast direction strategies. No favorable fixed direction is chosen retrospectively from test.</w:t>
      </w:r>
    </w:p>
    <w:p>
      <w:pPr>
        <w:pStyle w:val="21"/>
      </w:pPr>
      <w:r>
        <w:t xml:space="preserve">6.3 q50 ranking and strategy diagnostics requiring correction</w:t>
      </w:r>
    </w:p>
    <w:p>
      <w:pPr>
        <w:pStyle w:val="Decision"/>
        <w:keepNext/>
        <w:spacing w:after="80"/>
      </w:pPr>
      <w:r>
        <w:t xml:space="preserve">Table 9 | Pooled q50 ranking and legacy diagnostics not reliable strategy performance</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(rank)</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Net log return</w:t>
            </w:r>
          </w:p>
        </w:tc>
        <w:tc>
          <w:tcPr>
            <w:tcW w:w="1650" w:type="dxa"/>
            <w:shd w:val="clear" w:fill="DCE6F1"/>
            <w:vAlign w:val="center"/>
          </w:tcPr>
          <w:p>
            <w:pPr>
              <w:pStyle w:val="TableHeader"/>
            </w:pPr>
            <w:r>
              <w:t>Sharpe (rank)</w:t>
            </w:r>
          </w:p>
        </w:tc>
        <w:tc>
          <w:tcPr>
            <w:tcW w:w="1600" w:type="dxa"/>
            <w:shd w:val="clear" w:fill="DCE6F1"/>
            <w:vAlign w:val="center"/>
          </w:tcPr>
          <w:p>
            <w:pPr>
              <w:pStyle w:val="TableHeader"/>
            </w:pPr>
            <w:r>
              <w:t>MDD (rank)</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0.0844 (1/13)</w:t>
            </w:r>
          </w:p>
        </w:tc>
        <w:tc>
          <w:tcPr>
            <w:tcW w:w="1100" w:type="dxa"/>
            <w:vAlign w:val="center"/>
          </w:tcPr>
          <w:p>
            <w:pPr>
              <w:pStyle w:val="TableNumber"/>
            </w:pPr>
            <w:r>
              <w:t>0.507</w:t>
            </w:r>
          </w:p>
        </w:tc>
        <w:tc>
          <w:tcPr>
            <w:tcW w:w="1500" w:type="dxa"/>
            <w:vAlign w:val="center"/>
          </w:tcPr>
          <w:p>
            <w:pPr>
              <w:pStyle w:val="TableNumber"/>
            </w:pPr>
            <w:r>
              <w:t>0.47%</w:t>
            </w:r>
          </w:p>
        </w:tc>
        <w:tc>
          <w:tcPr>
            <w:tcW w:w="1650" w:type="dxa"/>
            <w:vAlign w:val="center"/>
          </w:tcPr>
          <w:p>
            <w:pPr>
              <w:pStyle w:val="TableNumber"/>
            </w:pPr>
            <w:r>
              <w:t>5.714 (2/13)</w:t>
            </w:r>
          </w:p>
        </w:tc>
        <w:tc>
          <w:tcPr>
            <w:tcW w:w="1600" w:type="dxa"/>
            <w:vAlign w:val="center"/>
          </w:tcPr>
          <w:p>
            <w:pPr>
              <w:pStyle w:val="TableNumber"/>
            </w:pPr>
            <w:r>
              <w:t>-8.20% (7/13)</w:t>
            </w:r>
          </w:p>
        </w:tc>
        <w:tc>
          <w:tcPr>
            <w:tcW w:w="960" w:type="dxa"/>
            <w:vAlign w:val="center"/>
          </w:tcPr>
          <w:p>
            <w:pPr>
              <w:pStyle w:val="TableNumber"/>
            </w:pPr>
            <w:r>
              <w:t>0.329</w:t>
            </w:r>
          </w:p>
        </w:tc>
      </w:tr>
      <w:tr>
        <w:trPr>
          <w:cantSplit/>
        </w:trPr>
        <w:tc>
          <w:tcPr>
            <w:tcW w:w="650" w:type="dxa"/>
            <w:vAlign w:val="center"/>
          </w:tcPr>
          <w:p>
            <w:pPr>
              <w:pStyle w:val="TableText"/>
            </w:pPr>
            <w:r>
              <w:t>2d</w:t>
            </w:r>
          </w:p>
        </w:tc>
        <w:tc>
          <w:tcPr>
            <w:tcW w:w="1900" w:type="dxa"/>
            <w:vAlign w:val="center"/>
          </w:tcPr>
          <w:p>
            <w:pPr>
              <w:pStyle w:val="TableNumber"/>
            </w:pPr>
            <w:r>
              <w:t>0.0894 (1/13)</w:t>
            </w:r>
          </w:p>
        </w:tc>
        <w:tc>
          <w:tcPr>
            <w:tcW w:w="1100" w:type="dxa"/>
            <w:vAlign w:val="center"/>
          </w:tcPr>
          <w:p>
            <w:pPr>
              <w:pStyle w:val="TableNumber"/>
            </w:pPr>
            <w:r>
              <w:t>0.596</w:t>
            </w:r>
          </w:p>
        </w:tc>
        <w:tc>
          <w:tcPr>
            <w:tcW w:w="1500" w:type="dxa"/>
            <w:vAlign w:val="center"/>
          </w:tcPr>
          <w:p>
            <w:pPr>
              <w:pStyle w:val="TableNumber"/>
            </w:pPr>
            <w:r>
              <w:t>0.73%</w:t>
            </w:r>
          </w:p>
        </w:tc>
        <w:tc>
          <w:tcPr>
            <w:tcW w:w="1650" w:type="dxa"/>
            <w:vAlign w:val="center"/>
          </w:tcPr>
          <w:p>
            <w:pPr>
              <w:pStyle w:val="TableNumber"/>
            </w:pPr>
            <w:r>
              <w:t>4.457 (1/13)</w:t>
            </w:r>
          </w:p>
        </w:tc>
        <w:tc>
          <w:tcPr>
            <w:tcW w:w="1600" w:type="dxa"/>
            <w:vAlign w:val="center"/>
          </w:tcPr>
          <w:p>
            <w:pPr>
              <w:pStyle w:val="TableNumber"/>
            </w:pPr>
            <w:r>
              <w:t>-9.16% (5/13)</w:t>
            </w:r>
          </w:p>
        </w:tc>
        <w:tc>
          <w:tcPr>
            <w:tcW w:w="960" w:type="dxa"/>
            <w:vAlign w:val="center"/>
          </w:tcPr>
          <w:p>
            <w:pPr>
              <w:pStyle w:val="TableNumber"/>
            </w:pPr>
            <w:r>
              <w:t>0.341</w:t>
            </w:r>
          </w:p>
        </w:tc>
      </w:tr>
      <w:tr>
        <w:trPr>
          <w:cantSplit/>
        </w:trPr>
        <w:tc>
          <w:tcPr>
            <w:tcW w:w="650" w:type="dxa"/>
            <w:vAlign w:val="center"/>
          </w:tcPr>
          <w:p>
            <w:pPr>
              <w:pStyle w:val="TableText"/>
            </w:pPr>
            <w:r>
              <w:t>3d</w:t>
            </w:r>
          </w:p>
        </w:tc>
        <w:tc>
          <w:tcPr>
            <w:tcW w:w="1900" w:type="dxa"/>
            <w:vAlign w:val="center"/>
          </w:tcPr>
          <w:p>
            <w:pPr>
              <w:pStyle w:val="TableNumber"/>
            </w:pPr>
            <w:r>
              <w:t>0.0953 (1/13)</w:t>
            </w:r>
          </w:p>
        </w:tc>
        <w:tc>
          <w:tcPr>
            <w:tcW w:w="1100" w:type="dxa"/>
            <w:vAlign w:val="center"/>
          </w:tcPr>
          <w:p>
            <w:pPr>
              <w:pStyle w:val="TableNumber"/>
            </w:pPr>
            <w:r>
              <w:t>0.630</w:t>
            </w:r>
          </w:p>
        </w:tc>
        <w:tc>
          <w:tcPr>
            <w:tcW w:w="1500" w:type="dxa"/>
            <w:vAlign w:val="center"/>
          </w:tcPr>
          <w:p>
            <w:pPr>
              <w:pStyle w:val="TableNumber"/>
            </w:pPr>
            <w:r>
              <w:t>0.97%</w:t>
            </w:r>
          </w:p>
        </w:tc>
        <w:tc>
          <w:tcPr>
            <w:tcW w:w="1650" w:type="dxa"/>
            <w:vAlign w:val="center"/>
          </w:tcPr>
          <w:p>
            <w:pPr>
              <w:pStyle w:val="TableNumber"/>
            </w:pPr>
            <w:r>
              <w:t>3.854 (1/13)</w:t>
            </w:r>
          </w:p>
        </w:tc>
        <w:tc>
          <w:tcPr>
            <w:tcW w:w="1600" w:type="dxa"/>
            <w:vAlign w:val="center"/>
          </w:tcPr>
          <w:p>
            <w:pPr>
              <w:pStyle w:val="TableNumber"/>
            </w:pPr>
            <w:r>
              <w:t>-12.95% (5/13)</w:t>
            </w:r>
          </w:p>
        </w:tc>
        <w:tc>
          <w:tcPr>
            <w:tcW w:w="960" w:type="dxa"/>
            <w:vAlign w:val="center"/>
          </w:tcPr>
          <w:p>
            <w:pPr>
              <w:pStyle w:val="TableNumber"/>
            </w:pPr>
            <w:r>
              <w:t>0.338</w:t>
            </w:r>
          </w:p>
        </w:tc>
      </w:tr>
      <w:tr>
        <w:trPr>
          <w:cantSplit/>
        </w:trPr>
        <w:tc>
          <w:tcPr>
            <w:tcW w:w="650" w:type="dxa"/>
            <w:vAlign w:val="center"/>
          </w:tcPr>
          <w:p>
            <w:pPr>
              <w:pStyle w:val="TableText"/>
            </w:pPr>
            <w:r>
              <w:t>4d</w:t>
            </w:r>
          </w:p>
        </w:tc>
        <w:tc>
          <w:tcPr>
            <w:tcW w:w="1900" w:type="dxa"/>
            <w:vAlign w:val="center"/>
          </w:tcPr>
          <w:p>
            <w:pPr>
              <w:pStyle w:val="TableNumber"/>
            </w:pPr>
            <w:r>
              <w:t>0.1014 (1/13)</w:t>
            </w:r>
          </w:p>
        </w:tc>
        <w:tc>
          <w:tcPr>
            <w:tcW w:w="1100" w:type="dxa"/>
            <w:vAlign w:val="center"/>
          </w:tcPr>
          <w:p>
            <w:pPr>
              <w:pStyle w:val="TableNumber"/>
            </w:pPr>
            <w:r>
              <w:t>0.648</w:t>
            </w:r>
          </w:p>
        </w:tc>
        <w:tc>
          <w:tcPr>
            <w:tcW w:w="1500" w:type="dxa"/>
            <w:vAlign w:val="center"/>
          </w:tcPr>
          <w:p>
            <w:pPr>
              <w:pStyle w:val="TableNumber"/>
            </w:pPr>
            <w:r>
              <w:t>1.20%</w:t>
            </w:r>
          </w:p>
        </w:tc>
        <w:tc>
          <w:tcPr>
            <w:tcW w:w="1650" w:type="dxa"/>
            <w:vAlign w:val="center"/>
          </w:tcPr>
          <w:p>
            <w:pPr>
              <w:pStyle w:val="TableNumber"/>
            </w:pPr>
            <w:r>
              <w:t>3.447 (1/13)</w:t>
            </w:r>
          </w:p>
        </w:tc>
        <w:tc>
          <w:tcPr>
            <w:tcW w:w="1600" w:type="dxa"/>
            <w:vAlign w:val="center"/>
          </w:tcPr>
          <w:p>
            <w:pPr>
              <w:pStyle w:val="TableNumber"/>
            </w:pPr>
            <w:r>
              <w:t>-16.52% (6/13)</w:t>
            </w:r>
          </w:p>
        </w:tc>
        <w:tc>
          <w:tcPr>
            <w:tcW w:w="960" w:type="dxa"/>
            <w:vAlign w:val="center"/>
          </w:tcPr>
          <w:p>
            <w:pPr>
              <w:pStyle w:val="TableNumber"/>
            </w:pPr>
            <w:r>
              <w:t>0.337</w:t>
            </w:r>
          </w:p>
        </w:tc>
      </w:tr>
      <w:tr>
        <w:trPr>
          <w:cantSplit/>
        </w:trPr>
        <w:tc>
          <w:tcPr>
            <w:tcW w:w="650" w:type="dxa"/>
            <w:vAlign w:val="center"/>
          </w:tcPr>
          <w:p>
            <w:pPr>
              <w:pStyle w:val="TableText"/>
            </w:pPr>
            <w:r>
              <w:t>5d</w:t>
            </w:r>
          </w:p>
        </w:tc>
        <w:tc>
          <w:tcPr>
            <w:tcW w:w="1900" w:type="dxa"/>
            <w:vAlign w:val="center"/>
          </w:tcPr>
          <w:p>
            <w:pPr>
              <w:pStyle w:val="TableNumber"/>
            </w:pPr>
            <w:r>
              <w:t>0.1070 (1/13)</w:t>
            </w:r>
          </w:p>
        </w:tc>
        <w:tc>
          <w:tcPr>
            <w:tcW w:w="1100" w:type="dxa"/>
            <w:vAlign w:val="center"/>
          </w:tcPr>
          <w:p>
            <w:pPr>
              <w:pStyle w:val="TableNumber"/>
            </w:pPr>
            <w:r>
              <w:t>0.694</w:t>
            </w:r>
          </w:p>
        </w:tc>
        <w:tc>
          <w:tcPr>
            <w:tcW w:w="1500" w:type="dxa"/>
            <w:vAlign w:val="center"/>
          </w:tcPr>
          <w:p>
            <w:pPr>
              <w:pStyle w:val="TableNumber"/>
            </w:pPr>
            <w:r>
              <w:t>1.39%</w:t>
            </w:r>
          </w:p>
        </w:tc>
        <w:tc>
          <w:tcPr>
            <w:tcW w:w="1650" w:type="dxa"/>
            <w:vAlign w:val="center"/>
          </w:tcPr>
          <w:p>
            <w:pPr>
              <w:pStyle w:val="TableNumber"/>
            </w:pPr>
            <w:r>
              <w:t>3.122 (1/13)</w:t>
            </w:r>
          </w:p>
        </w:tc>
        <w:tc>
          <w:tcPr>
            <w:tcW w:w="1600" w:type="dxa"/>
            <w:vAlign w:val="center"/>
          </w:tcPr>
          <w:p>
            <w:pPr>
              <w:pStyle w:val="TableNumber"/>
            </w:pPr>
            <w:r>
              <w:t>-17.87% (5/13)</w:t>
            </w:r>
          </w:p>
        </w:tc>
        <w:tc>
          <w:tcPr>
            <w:tcW w:w="960" w:type="dxa"/>
            <w:vAlign w:val="center"/>
          </w:tcPr>
          <w:p>
            <w:pPr>
              <w:pStyle w:val="TableNumber"/>
            </w:pPr>
            <w:r>
              <w:t>0.339</w:t>
            </w:r>
          </w:p>
        </w:tc>
      </w:tr>
      <w:tr>
        <w:trPr>
          <w:cantSplit/>
        </w:trPr>
        <w:tc>
          <w:tcPr>
            <w:tcW w:w="650" w:type="dxa"/>
            <w:vAlign w:val="center"/>
          </w:tcPr>
          <w:p>
            <w:pPr>
              <w:pStyle w:val="TableText"/>
            </w:pPr>
            <w:r>
              <w:t>6d</w:t>
            </w:r>
          </w:p>
        </w:tc>
        <w:tc>
          <w:tcPr>
            <w:tcW w:w="1900" w:type="dxa"/>
            <w:vAlign w:val="center"/>
          </w:tcPr>
          <w:p>
            <w:pPr>
              <w:pStyle w:val="TableNumber"/>
            </w:pPr>
            <w:r>
              <w:t>0.1110 (1/13)</w:t>
            </w:r>
          </w:p>
        </w:tc>
        <w:tc>
          <w:tcPr>
            <w:tcW w:w="1100" w:type="dxa"/>
            <w:vAlign w:val="center"/>
          </w:tcPr>
          <w:p>
            <w:pPr>
              <w:pStyle w:val="TableNumber"/>
            </w:pPr>
            <w:r>
              <w:t>0.718</w:t>
            </w:r>
          </w:p>
        </w:tc>
        <w:tc>
          <w:tcPr>
            <w:tcW w:w="1500" w:type="dxa"/>
            <w:vAlign w:val="center"/>
          </w:tcPr>
          <w:p>
            <w:pPr>
              <w:pStyle w:val="TableNumber"/>
            </w:pPr>
            <w:r>
              <w:t>1.61%</w:t>
            </w:r>
          </w:p>
        </w:tc>
        <w:tc>
          <w:tcPr>
            <w:tcW w:w="1650" w:type="dxa"/>
            <w:vAlign w:val="center"/>
          </w:tcPr>
          <w:p>
            <w:pPr>
              <w:pStyle w:val="TableNumber"/>
            </w:pPr>
            <w:r>
              <w:t>2.927 (1/13)</w:t>
            </w:r>
          </w:p>
        </w:tc>
        <w:tc>
          <w:tcPr>
            <w:tcW w:w="1600" w:type="dxa"/>
            <w:vAlign w:val="center"/>
          </w:tcPr>
          <w:p>
            <w:pPr>
              <w:pStyle w:val="TableNumber"/>
            </w:pPr>
            <w:r>
              <w:t>-22.36% (6/13)</w:t>
            </w:r>
          </w:p>
        </w:tc>
        <w:tc>
          <w:tcPr>
            <w:tcW w:w="960" w:type="dxa"/>
            <w:vAlign w:val="center"/>
          </w:tcPr>
          <w:p>
            <w:pPr>
              <w:pStyle w:val="TableNumber"/>
            </w:pPr>
            <w:r>
              <w:t>0.341</w:t>
            </w:r>
          </w:p>
        </w:tc>
      </w:tr>
      <w:tr>
        <w:trPr>
          <w:cantSplit/>
        </w:trPr>
        <w:tc>
          <w:tcPr>
            <w:tcW w:w="650" w:type="dxa"/>
            <w:vAlign w:val="center"/>
          </w:tcPr>
          <w:p>
            <w:pPr>
              <w:pStyle w:val="TableText"/>
            </w:pPr>
            <w:r>
              <w:t>7d</w:t>
            </w:r>
          </w:p>
        </w:tc>
        <w:tc>
          <w:tcPr>
            <w:tcW w:w="1900" w:type="dxa"/>
            <w:vAlign w:val="center"/>
          </w:tcPr>
          <w:p>
            <w:pPr>
              <w:pStyle w:val="TableNumber"/>
            </w:pPr>
            <w:r>
              <w:t>0.1132 (1/13)</w:t>
            </w:r>
          </w:p>
        </w:tc>
        <w:tc>
          <w:tcPr>
            <w:tcW w:w="1100" w:type="dxa"/>
            <w:vAlign w:val="center"/>
          </w:tcPr>
          <w:p>
            <w:pPr>
              <w:pStyle w:val="TableNumber"/>
            </w:pPr>
            <w:r>
              <w:t>0.744</w:t>
            </w:r>
          </w:p>
        </w:tc>
        <w:tc>
          <w:tcPr>
            <w:tcW w:w="1500" w:type="dxa"/>
            <w:vAlign w:val="center"/>
          </w:tcPr>
          <w:p>
            <w:pPr>
              <w:pStyle w:val="TableNumber"/>
            </w:pPr>
            <w:r>
              <w:t>1.80%</w:t>
            </w:r>
          </w:p>
        </w:tc>
        <w:tc>
          <w:tcPr>
            <w:tcW w:w="1650" w:type="dxa"/>
            <w:vAlign w:val="center"/>
          </w:tcPr>
          <w:p>
            <w:pPr>
              <w:pStyle w:val="TableNumber"/>
            </w:pPr>
            <w:r>
              <w:t>2.826 (1/13)</w:t>
            </w:r>
          </w:p>
        </w:tc>
        <w:tc>
          <w:tcPr>
            <w:tcW w:w="1600" w:type="dxa"/>
            <w:vAlign w:val="center"/>
          </w:tcPr>
          <w:p>
            <w:pPr>
              <w:pStyle w:val="TableNumber"/>
            </w:pPr>
            <w:r>
              <w:t>-24.64% (5/13)</w:t>
            </w:r>
          </w:p>
        </w:tc>
        <w:tc>
          <w:tcPr>
            <w:tcW w:w="960" w:type="dxa"/>
            <w:vAlign w:val="center"/>
          </w:tcPr>
          <w:p>
            <w:pPr>
              <w:pStyle w:val="TableNumber"/>
            </w:pPr>
            <w:r>
              <w:t>0.340</w:t>
            </w:r>
          </w:p>
        </w:tc>
      </w:tr>
      <w:tr>
        <w:trPr>
          <w:cantSplit/>
        </w:trPr>
        <w:tc>
          <w:tcPr>
            <w:tcW w:w="650" w:type="dxa"/>
            <w:vAlign w:val="center"/>
          </w:tcPr>
          <w:p>
            <w:pPr>
              <w:pStyle w:val="TableText"/>
            </w:pPr>
            <w:r>
              <w:t>8d</w:t>
            </w:r>
          </w:p>
        </w:tc>
        <w:tc>
          <w:tcPr>
            <w:tcW w:w="1900" w:type="dxa"/>
            <w:vAlign w:val="center"/>
          </w:tcPr>
          <w:p>
            <w:pPr>
              <w:pStyle w:val="TableNumber"/>
            </w:pPr>
            <w:r>
              <w:t>0.1172 (1/13)</w:t>
            </w:r>
          </w:p>
        </w:tc>
        <w:tc>
          <w:tcPr>
            <w:tcW w:w="1100" w:type="dxa"/>
            <w:vAlign w:val="center"/>
          </w:tcPr>
          <w:p>
            <w:pPr>
              <w:pStyle w:val="TableNumber"/>
            </w:pPr>
            <w:r>
              <w:t>0.784</w:t>
            </w:r>
          </w:p>
        </w:tc>
        <w:tc>
          <w:tcPr>
            <w:tcW w:w="1500" w:type="dxa"/>
            <w:vAlign w:val="center"/>
          </w:tcPr>
          <w:p>
            <w:pPr>
              <w:pStyle w:val="TableNumber"/>
            </w:pPr>
            <w:r>
              <w:t>2.09%</w:t>
            </w:r>
          </w:p>
        </w:tc>
        <w:tc>
          <w:tcPr>
            <w:tcW w:w="1650" w:type="dxa"/>
            <w:vAlign w:val="center"/>
          </w:tcPr>
          <w:p>
            <w:pPr>
              <w:pStyle w:val="TableNumber"/>
            </w:pPr>
            <w:r>
              <w:t>2.891 (1/13)</w:t>
            </w:r>
          </w:p>
        </w:tc>
        <w:tc>
          <w:tcPr>
            <w:tcW w:w="1600" w:type="dxa"/>
            <w:vAlign w:val="center"/>
          </w:tcPr>
          <w:p>
            <w:pPr>
              <w:pStyle w:val="TableNumber"/>
            </w:pPr>
            <w:r>
              <w:t>-27.17% (6/13)</w:t>
            </w:r>
          </w:p>
        </w:tc>
        <w:tc>
          <w:tcPr>
            <w:tcW w:w="960" w:type="dxa"/>
            <w:vAlign w:val="center"/>
          </w:tcPr>
          <w:p>
            <w:pPr>
              <w:pStyle w:val="TableNumber"/>
            </w:pPr>
            <w:r>
              <w:t>0.336</w:t>
            </w:r>
          </w:p>
        </w:tc>
      </w:tr>
      <w:tr>
        <w:trPr>
          <w:cantSplit/>
        </w:trPr>
        <w:tc>
          <w:tcPr>
            <w:tcW w:w="650" w:type="dxa"/>
            <w:vAlign w:val="center"/>
          </w:tcPr>
          <w:p>
            <w:pPr>
              <w:pStyle w:val="TableText"/>
            </w:pPr>
            <w:r>
              <w:t>9d</w:t>
            </w:r>
          </w:p>
        </w:tc>
        <w:tc>
          <w:tcPr>
            <w:tcW w:w="1900" w:type="dxa"/>
            <w:vAlign w:val="center"/>
          </w:tcPr>
          <w:p>
            <w:pPr>
              <w:pStyle w:val="TableNumber"/>
            </w:pPr>
            <w:r>
              <w:t>0.1188 (1/13)</w:t>
            </w:r>
          </w:p>
        </w:tc>
        <w:tc>
          <w:tcPr>
            <w:tcW w:w="1100" w:type="dxa"/>
            <w:vAlign w:val="center"/>
          </w:tcPr>
          <w:p>
            <w:pPr>
              <w:pStyle w:val="TableNumber"/>
            </w:pPr>
            <w:r>
              <w:t>0.802</w:t>
            </w:r>
          </w:p>
        </w:tc>
        <w:tc>
          <w:tcPr>
            <w:tcW w:w="1500" w:type="dxa"/>
            <w:vAlign w:val="center"/>
          </w:tcPr>
          <w:p>
            <w:pPr>
              <w:pStyle w:val="TableNumber"/>
            </w:pPr>
            <w:r>
              <w:t>2.31%</w:t>
            </w:r>
          </w:p>
        </w:tc>
        <w:tc>
          <w:tcPr>
            <w:tcW w:w="1650" w:type="dxa"/>
            <w:vAlign w:val="center"/>
          </w:tcPr>
          <w:p>
            <w:pPr>
              <w:pStyle w:val="TableNumber"/>
            </w:pPr>
            <w:r>
              <w:t>2.809 (1/13)</w:t>
            </w:r>
          </w:p>
        </w:tc>
        <w:tc>
          <w:tcPr>
            <w:tcW w:w="1600" w:type="dxa"/>
            <w:vAlign w:val="center"/>
          </w:tcPr>
          <w:p>
            <w:pPr>
              <w:pStyle w:val="TableNumber"/>
            </w:pPr>
            <w:r>
              <w:t>-29.53% (6/13)</w:t>
            </w:r>
          </w:p>
        </w:tc>
        <w:tc>
          <w:tcPr>
            <w:tcW w:w="960" w:type="dxa"/>
            <w:vAlign w:val="center"/>
          </w:tcPr>
          <w:p>
            <w:pPr>
              <w:pStyle w:val="TableNumber"/>
            </w:pPr>
            <w:r>
              <w:t>0.330</w:t>
            </w:r>
          </w:p>
        </w:tc>
      </w:tr>
      <w:tr>
        <w:trPr>
          <w:cantSplit/>
        </w:trPr>
        <w:tc>
          <w:tcPr>
            <w:tcW w:w="650" w:type="dxa"/>
            <w:vAlign w:val="center"/>
          </w:tcPr>
          <w:p>
            <w:pPr>
              <w:pStyle w:val="TableText"/>
            </w:pPr>
            <w:r>
              <w:t>10d</w:t>
            </w:r>
          </w:p>
        </w:tc>
        <w:tc>
          <w:tcPr>
            <w:tcW w:w="1900" w:type="dxa"/>
            <w:vAlign w:val="center"/>
          </w:tcPr>
          <w:p>
            <w:pPr>
              <w:pStyle w:val="TableNumber"/>
            </w:pPr>
            <w:r>
              <w:t>0.1226 (1/13)</w:t>
            </w:r>
          </w:p>
        </w:tc>
        <w:tc>
          <w:tcPr>
            <w:tcW w:w="1100" w:type="dxa"/>
            <w:vAlign w:val="center"/>
          </w:tcPr>
          <w:p>
            <w:pPr>
              <w:pStyle w:val="TableNumber"/>
            </w:pPr>
            <w:r>
              <w:t>0.849</w:t>
            </w:r>
          </w:p>
        </w:tc>
        <w:tc>
          <w:tcPr>
            <w:tcW w:w="1500" w:type="dxa"/>
            <w:vAlign w:val="center"/>
          </w:tcPr>
          <w:p>
            <w:pPr>
              <w:pStyle w:val="TableNumber"/>
            </w:pPr>
            <w:r>
              <w:t>2.56%</w:t>
            </w:r>
          </w:p>
        </w:tc>
        <w:tc>
          <w:tcPr>
            <w:tcW w:w="1650" w:type="dxa"/>
            <w:vAlign w:val="center"/>
          </w:tcPr>
          <w:p>
            <w:pPr>
              <w:pStyle w:val="TableNumber"/>
            </w:pPr>
            <w:r>
              <w:t>2.894 (1/13)</w:t>
            </w:r>
          </w:p>
        </w:tc>
        <w:tc>
          <w:tcPr>
            <w:tcW w:w="1600" w:type="dxa"/>
            <w:vAlign w:val="center"/>
          </w:tcPr>
          <w:p>
            <w:pPr>
              <w:pStyle w:val="TableNumber"/>
            </w:pPr>
            <w:r>
              <w:t>-28.15% (6/13)</w:t>
            </w:r>
          </w:p>
        </w:tc>
        <w:tc>
          <w:tcPr>
            <w:tcW w:w="960" w:type="dxa"/>
            <w:vAlign w:val="center"/>
          </w:tcPr>
          <w:p>
            <w:pPr>
              <w:pStyle w:val="TableNumber"/>
            </w:pPr>
            <w:r>
              <w:t>0.331</w:t>
            </w:r>
          </w:p>
        </w:tc>
      </w:tr>
      <w:tr>
        <w:trPr>
          <w:cantSplit/>
        </w:trPr>
        <w:tc>
          <w:tcPr>
            <w:tcW w:w="650" w:type="dxa"/>
            <w:vAlign w:val="center"/>
          </w:tcPr>
          <w:p>
            <w:pPr>
              <w:pStyle w:val="TableText"/>
            </w:pPr>
            <w:r>
              <w:t>11d</w:t>
            </w:r>
          </w:p>
        </w:tc>
        <w:tc>
          <w:tcPr>
            <w:tcW w:w="1900" w:type="dxa"/>
            <w:vAlign w:val="center"/>
          </w:tcPr>
          <w:p>
            <w:pPr>
              <w:pStyle w:val="TableNumber"/>
            </w:pPr>
            <w:r>
              <w:t>0.1231 (1/13)</w:t>
            </w:r>
          </w:p>
        </w:tc>
        <w:tc>
          <w:tcPr>
            <w:tcW w:w="1100" w:type="dxa"/>
            <w:vAlign w:val="center"/>
          </w:tcPr>
          <w:p>
            <w:pPr>
              <w:pStyle w:val="TableNumber"/>
            </w:pPr>
            <w:r>
              <w:t>0.882</w:t>
            </w:r>
          </w:p>
        </w:tc>
        <w:tc>
          <w:tcPr>
            <w:tcW w:w="1500" w:type="dxa"/>
            <w:vAlign w:val="center"/>
          </w:tcPr>
          <w:p>
            <w:pPr>
              <w:pStyle w:val="TableNumber"/>
            </w:pPr>
            <w:r>
              <w:t>2.73%</w:t>
            </w:r>
          </w:p>
        </w:tc>
        <w:tc>
          <w:tcPr>
            <w:tcW w:w="1650" w:type="dxa"/>
            <w:vAlign w:val="center"/>
          </w:tcPr>
          <w:p>
            <w:pPr>
              <w:pStyle w:val="TableNumber"/>
            </w:pPr>
            <w:r>
              <w:t>2.856 (1/13)</w:t>
            </w:r>
          </w:p>
        </w:tc>
        <w:tc>
          <w:tcPr>
            <w:tcW w:w="1600" w:type="dxa"/>
            <w:vAlign w:val="center"/>
          </w:tcPr>
          <w:p>
            <w:pPr>
              <w:pStyle w:val="TableNumber"/>
            </w:pPr>
            <w:r>
              <w:t>-28.67% (6/13)</w:t>
            </w:r>
          </w:p>
        </w:tc>
        <w:tc>
          <w:tcPr>
            <w:tcW w:w="960" w:type="dxa"/>
            <w:vAlign w:val="center"/>
          </w:tcPr>
          <w:p>
            <w:pPr>
              <w:pStyle w:val="TableNumber"/>
            </w:pPr>
            <w:r>
              <w:t>0.329</w:t>
            </w:r>
          </w:p>
        </w:tc>
      </w:tr>
      <w:tr>
        <w:trPr>
          <w:cantSplit/>
        </w:trPr>
        <w:tc>
          <w:tcPr>
            <w:tcW w:w="650" w:type="dxa"/>
            <w:vAlign w:val="center"/>
          </w:tcPr>
          <w:p>
            <w:pPr>
              <w:pStyle w:val="TableText"/>
            </w:pPr>
            <w:r>
              <w:t>12d</w:t>
            </w:r>
          </w:p>
        </w:tc>
        <w:tc>
          <w:tcPr>
            <w:tcW w:w="1900" w:type="dxa"/>
            <w:vAlign w:val="center"/>
          </w:tcPr>
          <w:p>
            <w:pPr>
              <w:pStyle w:val="TableNumber"/>
            </w:pPr>
            <w:r>
              <w:t>0.1254 (1/13)</w:t>
            </w:r>
          </w:p>
        </w:tc>
        <w:tc>
          <w:tcPr>
            <w:tcW w:w="1100" w:type="dxa"/>
            <w:vAlign w:val="center"/>
          </w:tcPr>
          <w:p>
            <w:pPr>
              <w:pStyle w:val="TableNumber"/>
            </w:pPr>
            <w:r>
              <w:t>0.895</w:t>
            </w:r>
          </w:p>
        </w:tc>
        <w:tc>
          <w:tcPr>
            <w:tcW w:w="1500" w:type="dxa"/>
            <w:vAlign w:val="center"/>
          </w:tcPr>
          <w:p>
            <w:pPr>
              <w:pStyle w:val="TableNumber"/>
            </w:pPr>
            <w:r>
              <w:t>2.96%</w:t>
            </w:r>
          </w:p>
        </w:tc>
        <w:tc>
          <w:tcPr>
            <w:tcW w:w="1650" w:type="dxa"/>
            <w:vAlign w:val="center"/>
          </w:tcPr>
          <w:p>
            <w:pPr>
              <w:pStyle w:val="TableNumber"/>
            </w:pPr>
            <w:r>
              <w:t>2.797 (1/13)</w:t>
            </w:r>
          </w:p>
        </w:tc>
        <w:tc>
          <w:tcPr>
            <w:tcW w:w="1600" w:type="dxa"/>
            <w:vAlign w:val="center"/>
          </w:tcPr>
          <w:p>
            <w:pPr>
              <w:pStyle w:val="TableNumber"/>
            </w:pPr>
            <w:r>
              <w:t>-27.25% (7/13)</w:t>
            </w:r>
          </w:p>
        </w:tc>
        <w:tc>
          <w:tcPr>
            <w:tcW w:w="960" w:type="dxa"/>
            <w:vAlign w:val="center"/>
          </w:tcPr>
          <w:p>
            <w:pPr>
              <w:pStyle w:val="TableNumber"/>
            </w:pPr>
            <w:r>
              <w:t>0.326</w:t>
            </w:r>
          </w:p>
        </w:tc>
      </w:tr>
      <w:tr>
        <w:trPr>
          <w:cantSplit/>
        </w:trPr>
        <w:tc>
          <w:tcPr>
            <w:tcW w:w="650" w:type="dxa"/>
            <w:vAlign w:val="center"/>
          </w:tcPr>
          <w:p>
            <w:pPr>
              <w:pStyle w:val="TableText"/>
            </w:pPr>
            <w:r>
              <w:t>13d</w:t>
            </w:r>
          </w:p>
        </w:tc>
        <w:tc>
          <w:tcPr>
            <w:tcW w:w="1900" w:type="dxa"/>
            <w:vAlign w:val="center"/>
          </w:tcPr>
          <w:p>
            <w:pPr>
              <w:pStyle w:val="TableNumber"/>
            </w:pPr>
            <w:r>
              <w:t>0.1264 (1/13)</w:t>
            </w:r>
          </w:p>
        </w:tc>
        <w:tc>
          <w:tcPr>
            <w:tcW w:w="1100" w:type="dxa"/>
            <w:vAlign w:val="center"/>
          </w:tcPr>
          <w:p>
            <w:pPr>
              <w:pStyle w:val="TableNumber"/>
            </w:pPr>
            <w:r>
              <w:t>0.902</w:t>
            </w:r>
          </w:p>
        </w:tc>
        <w:tc>
          <w:tcPr>
            <w:tcW w:w="1500" w:type="dxa"/>
            <w:vAlign w:val="center"/>
          </w:tcPr>
          <w:p>
            <w:pPr>
              <w:pStyle w:val="TableNumber"/>
            </w:pPr>
            <w:r>
              <w:t>3.10%</w:t>
            </w:r>
          </w:p>
        </w:tc>
        <w:tc>
          <w:tcPr>
            <w:tcW w:w="1650" w:type="dxa"/>
            <w:vAlign w:val="center"/>
          </w:tcPr>
          <w:p>
            <w:pPr>
              <w:pStyle w:val="TableNumber"/>
            </w:pPr>
            <w:r>
              <w:t>2.717 (1/13)</w:t>
            </w:r>
          </w:p>
        </w:tc>
        <w:tc>
          <w:tcPr>
            <w:tcW w:w="1600" w:type="dxa"/>
            <w:vAlign w:val="center"/>
          </w:tcPr>
          <w:p>
            <w:pPr>
              <w:pStyle w:val="TableNumber"/>
            </w:pPr>
            <w:r>
              <w:t>-24.90% (5/13)</w:t>
            </w:r>
          </w:p>
        </w:tc>
        <w:tc>
          <w:tcPr>
            <w:tcW w:w="960" w:type="dxa"/>
            <w:vAlign w:val="center"/>
          </w:tcPr>
          <w:p>
            <w:pPr>
              <w:pStyle w:val="TableNumber"/>
            </w:pPr>
            <w:r>
              <w:t>0.326</w:t>
            </w:r>
          </w:p>
        </w:tc>
      </w:tr>
      <w:tr>
        <w:trPr>
          <w:cantSplit/>
        </w:trPr>
        <w:tc>
          <w:tcPr>
            <w:tcW w:w="650" w:type="dxa"/>
            <w:vAlign w:val="center"/>
          </w:tcPr>
          <w:p>
            <w:pPr>
              <w:pStyle w:val="TableText"/>
            </w:pPr>
            <w:r>
              <w:t>14d</w:t>
            </w:r>
          </w:p>
        </w:tc>
        <w:tc>
          <w:tcPr>
            <w:tcW w:w="1900" w:type="dxa"/>
            <w:vAlign w:val="center"/>
          </w:tcPr>
          <w:p>
            <w:pPr>
              <w:pStyle w:val="TableNumber"/>
            </w:pPr>
            <w:r>
              <w:t>0.1231 (1/13)</w:t>
            </w:r>
          </w:p>
        </w:tc>
        <w:tc>
          <w:tcPr>
            <w:tcW w:w="1100" w:type="dxa"/>
            <w:vAlign w:val="center"/>
          </w:tcPr>
          <w:p>
            <w:pPr>
              <w:pStyle w:val="TableNumber"/>
            </w:pPr>
            <w:r>
              <w:t>0.869</w:t>
            </w:r>
          </w:p>
        </w:tc>
        <w:tc>
          <w:tcPr>
            <w:tcW w:w="1500" w:type="dxa"/>
            <w:vAlign w:val="center"/>
          </w:tcPr>
          <w:p>
            <w:pPr>
              <w:pStyle w:val="TableNumber"/>
            </w:pPr>
            <w:r>
              <w:t>3.18%</w:t>
            </w:r>
          </w:p>
        </w:tc>
        <w:tc>
          <w:tcPr>
            <w:tcW w:w="1650" w:type="dxa"/>
            <w:vAlign w:val="center"/>
          </w:tcPr>
          <w:p>
            <w:pPr>
              <w:pStyle w:val="TableNumber"/>
            </w:pPr>
            <w:r>
              <w:t>2.536 (3/13)</w:t>
            </w:r>
          </w:p>
        </w:tc>
        <w:tc>
          <w:tcPr>
            <w:tcW w:w="1600" w:type="dxa"/>
            <w:vAlign w:val="center"/>
          </w:tcPr>
          <w:p>
            <w:pPr>
              <w:pStyle w:val="TableNumber"/>
            </w:pPr>
            <w:r>
              <w:t>-28.00% (5/13)</w:t>
            </w:r>
          </w:p>
        </w:tc>
        <w:tc>
          <w:tcPr>
            <w:tcW w:w="960" w:type="dxa"/>
            <w:vAlign w:val="center"/>
          </w:tcPr>
          <w:p>
            <w:pPr>
              <w:pStyle w:val="TableNumber"/>
            </w:pPr>
            <w:r>
              <w:t>0.323</w:t>
            </w:r>
          </w:p>
        </w:tc>
      </w:tr>
    </w:tbl>
    <w:p>
      <w:pPr>
        <w:pStyle w:val="a"/>
        <w:spacing w:before="160"/>
      </w:pPr>
      <w:r>
        <w:t xml:space="preserve">q50 RankIC and ICIR in Table 9 measure date-level ordering and are not affected by the capital-scale error. Net log returns, Sharpe, drawdown and original ranks are traceability only. These are legacy simplified diagnostics with inconsistent capital and cost scales, not reliable strategy performance. They cannot establish deployment readiness, stable profit or strategy superiority.</w:t>
      </w:r>
    </w:p>
    <w:p>
      <w:pPr>
        <w:pStyle w:val="Note"/>
      </w:pPr>
      <w:r>
        <w:t xml:space="preserve">Long positions sum to +0.5 and shorts to −0.5; turnover and costs use this scale. Gross return is mean(long)−mean(short), missing the corresponding 0.5. Costs remain 10 bps×turnover and Sharpe uses sqrt(252/h). Do not halve Sharpe or drawdown. Unify positions, returns and costs, then recompute the full sequence. Address overlapping multi-day holdings, alpha/log-return versus realized portfolio PnL, borrow, capacity, slippage, impact and taxes. The limitation also applies to legacy independent-head economics, not pinball, coverage, q50 correlation, direction agreement or RankIC.</w:t>
      </w:r>
    </w:p>
    <w:p>
      <w:pPr>
        <w:pStyle w:val="21"/>
      </w:pPr>
      <w:r>
        <w:t xml:space="preserve">6.3a Market specific stock selection by the independent head</w:t>
      </w:r>
    </w:p>
    <w:p>
      <w:pPr>
        <w:pStyle w:val="Decision"/>
      </w:pPr>
      <w:r>
        <w:t xml:space="preserve">Table 9a | RankIC first line ICIR second line with evaluated dates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Dates</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0.028380</w:t>
              <w:br/>
              <w:t xml:space="preserve">0.180268</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0.063081</w:t>
              <w:br/>
              <w:t xml:space="preserve">0.406292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0.048181</w:t>
              <w:br/>
              <w:t xml:space="preserve">0.391327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0.038058</w:t>
              <w:br/>
              <w:t xml:space="preserve">0.258883</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0.056281</w:t>
              <w:br/>
              <w:t xml:space="preserve">0.370141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0.050473</w:t>
              <w:br/>
              <w:t xml:space="preserve">0.403867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0.049954</w:t>
              <w:br/>
              <w:t xml:space="preserve">0.320013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0.054683</w:t>
              <w:br/>
              <w:t xml:space="preserve">0.392092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0.056166</w:t>
              <w:br/>
              <w:t xml:space="preserve">0.476654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0.058399</w:t>
              <w:br/>
              <w:t xml:space="preserve">0.368551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0.056547</w:t>
              <w:br/>
              <w:t xml:space="preserve">0.395598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0.056800</w:t>
              <w:br/>
              <w:t xml:space="preserve">0.478442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0.063629</w:t>
              <w:br/>
              <w:t xml:space="preserve">0.414693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0.057741</w:t>
              <w:br/>
              <w:t xml:space="preserve">0.394941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0.058586</w:t>
              <w:br/>
              <w:t xml:space="preserve">0.468354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0.071732</w:t>
              <w:br/>
              <w:t xml:space="preserve">0.472187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0.061441</w:t>
              <w:br/>
              <w:t xml:space="preserve">0.445886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0.060742</w:t>
              <w:br/>
              <w:t xml:space="preserve">0.492956</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0.075625</w:t>
              <w:br/>
              <w:t xml:space="preserve">0.498623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0.066456</w:t>
              <w:br/>
              <w:t xml:space="preserve">0.506131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0.061591</w:t>
              <w:br/>
              <w:t xml:space="preserve">0.515931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0.081783</w:t>
              <w:br/>
              <w:t xml:space="preserve">0.548055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0.060488</w:t>
              <w:br/>
              <w:t xml:space="preserve">0.438697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0.058162</w:t>
              <w:br/>
              <w:t xml:space="preserve">0.473368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0.078918</w:t>
              <w:br/>
              <w:t xml:space="preserve">0.561854</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0.058736</w:t>
              <w:br/>
              <w:t xml:space="preserve">0.447391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0.066284</w:t>
              <w:br/>
              <w:t xml:space="preserve">0.559838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0.083984</w:t>
              <w:br/>
              <w:t xml:space="preserve">0.608511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0.059934</w:t>
              <w:br/>
              <w:t xml:space="preserve">0.471604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0.068714</w:t>
              <w:br/>
              <w:t xml:space="preserve">0.593962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0.089255</w:t>
              <w:br/>
              <w:t xml:space="preserve">0.653695</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0.059399</w:t>
              <w:br/>
              <w:t xml:space="preserve">0.475129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0.069263</w:t>
              <w:br/>
              <w:t xml:space="preserve">0.614215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0.088399</w:t>
              <w:br/>
              <w:t xml:space="preserve">0.650175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0.050831</w:t>
              <w:br/>
              <w:t xml:space="preserve">0.386885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0.061033</w:t>
              <w:br/>
              <w:t xml:space="preserve">0.533210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0.083872</w:t>
              <w:br/>
              <w:t xml:space="preserve">0.630507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0.056974</w:t>
              <w:br/>
              <w:t xml:space="preserve">0.447215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0.069650</w:t>
              <w:br/>
              <w:t xml:space="preserve">0.630680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0.087506</w:t>
              <w:br/>
              <w:t xml:space="preserve">0.636215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0.050892</w:t>
              <w:br/>
              <w:t xml:space="preserve">0.387964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0.060462</w:t>
              <w:br/>
              <w:t xml:space="preserve">0.534829</w:t>
            </w:r>
          </w:p>
        </w:tc>
        <w:tc>
          <w:tcPr>
            <w:tcW w:w="890" w:type="dxa"/>
            <w:shd w:fill="F7F9FC"/>
            <w:vAlign w:val="center"/>
          </w:tcPr>
          <w:p>
            <w:pPr>
              <w:pStyle w:val="TableNumber"/>
            </w:pPr>
            <w:r>
              <w:t xml:space="preserve">103</w:t>
            </w:r>
          </w:p>
        </w:tc>
      </w:tr>
    </w:tbl>
    <w:p>
      <w:pPr>
        <w:pStyle w:val="a"/>
        <w:spacing w:before="160"/>
      </w:pPr>
      <w:r>
        <w:t xml:space="preserve">q50 correlation asks whether numerical alpha forecasts co-move with realized alpha. q50 RankIC compares same-date q50 ordering with realized ordering; independent-head RankIC instead uses the dedicated ranking score. Compute Spearman correlation per valid date; rank_ic_mean is its date mean and ICIR is that mean divided by sample standard deviation across dates, without annualization. Positive values indicate ordering association, not profit magnitude.</w:t>
      </w:r>
    </w:p>
    <w:p>
      <w:pPr>
        <w:pStyle w:val="a"/>
      </w:pPr>
      <w:r>
        <w:t xml:space="preserve">The score is dimensionless, not an expected return, and its sign is not a stock-price or alpha direction forecast. Current q50 cross_sectional_by_horizon pools markets, while independent_ranking is market-specific. No fair q50 comparator exists for the same market and valid-date set, so do not claim head superiority. US has 110 dates and TWSE/TPEX 103 each, versus 112 full-test dates. Dates with fewer than three valid stocks, nonfinite inputs or no signal variation are excluded.</w:t>
      </w:r>
    </w:p>
    <w:p>
      <w:pPr>
        <w:pStyle w:val="11"/>
      </w:pPr>
      <w:r>
        <w:t>7. Derived signal distribution across all horizons</w:t>
      </w:r>
    </w:p>
    <w:p>
      <w:pPr>
        <w:pStyle w:val="Decision"/>
        <w:keepNext/>
        <w:spacing w:after="80"/>
      </w:pPr>
      <w:r>
        <w:t>Table 10 | Post-processing labels at threshold zero</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bear / bull (rows)</w:t>
            </w:r>
          </w:p>
        </w:tc>
      </w:tr>
      <w:tr>
        <w:trPr>
          <w:cantSplit/>
        </w:trPr>
        <w:tc>
          <w:tcPr>
            <w:tcW w:w="900" w:type="dxa"/>
            <w:vAlign w:val="center"/>
          </w:tcPr>
          <w:p>
            <w:pPr>
              <w:pStyle w:val="TableText"/>
            </w:pPr>
            <w:r>
              <w:t>1d</w:t>
            </w:r>
          </w:p>
        </w:tc>
        <w:tc>
          <w:tcPr>
            <w:tcW w:w="1800" w:type="dxa"/>
            <w:vAlign w:val="center"/>
          </w:tcPr>
          <w:p>
            <w:pPr>
              <w:pStyle w:val="TableNumber"/>
            </w:pPr>
            <w:r>
              <w:t>80.53%</w:t>
            </w:r>
          </w:p>
        </w:tc>
        <w:tc>
          <w:tcPr>
            <w:tcW w:w="1800" w:type="dxa"/>
            <w:vAlign w:val="center"/>
          </w:tcPr>
          <w:p>
            <w:pPr>
              <w:pStyle w:val="TableNumber"/>
            </w:pPr>
            <w:r>
              <w:t>0.00%</w:t>
            </w:r>
          </w:p>
        </w:tc>
        <w:tc>
          <w:tcPr>
            <w:tcW w:w="1800" w:type="dxa"/>
            <w:vAlign w:val="center"/>
          </w:tcPr>
          <w:p>
            <w:pPr>
              <w:pStyle w:val="TableNumber"/>
            </w:pPr>
            <w:r>
              <w:t>19.47%</w:t>
            </w:r>
          </w:p>
        </w:tc>
        <w:tc>
          <w:tcPr>
            <w:tcW w:w="3060" w:type="dxa"/>
            <w:vAlign w:val="center"/>
          </w:tcPr>
          <w:p>
            <w:pPr>
              <w:pStyle w:val="TableNumber"/>
            </w:pPr>
            <w:r>
              <w:t>0 / 0</w:t>
            </w:r>
          </w:p>
        </w:tc>
      </w:tr>
      <w:tr>
        <w:trPr>
          <w:cantSplit/>
        </w:trPr>
        <w:tc>
          <w:tcPr>
            <w:tcW w:w="900" w:type="dxa"/>
            <w:vAlign w:val="center"/>
          </w:tcPr>
          <w:p>
            <w:pPr>
              <w:pStyle w:val="TableText"/>
            </w:pPr>
            <w:r>
              <w:t>2d</w:t>
            </w:r>
          </w:p>
        </w:tc>
        <w:tc>
          <w:tcPr>
            <w:tcW w:w="1800" w:type="dxa"/>
            <w:vAlign w:val="center"/>
          </w:tcPr>
          <w:p>
            <w:pPr>
              <w:pStyle w:val="TableNumber"/>
            </w:pPr>
            <w:r>
              <w:t>74.62%</w:t>
            </w:r>
          </w:p>
        </w:tc>
        <w:tc>
          <w:tcPr>
            <w:tcW w:w="1800" w:type="dxa"/>
            <w:vAlign w:val="center"/>
          </w:tcPr>
          <w:p>
            <w:pPr>
              <w:pStyle w:val="TableNumber"/>
            </w:pPr>
            <w:r>
              <w:t>0.00%</w:t>
            </w:r>
          </w:p>
        </w:tc>
        <w:tc>
          <w:tcPr>
            <w:tcW w:w="1800" w:type="dxa"/>
            <w:vAlign w:val="center"/>
          </w:tcPr>
          <w:p>
            <w:pPr>
              <w:pStyle w:val="TableNumber"/>
            </w:pPr>
            <w:r>
              <w:t>25.38%</w:t>
            </w:r>
          </w:p>
        </w:tc>
        <w:tc>
          <w:tcPr>
            <w:tcW w:w="3060" w:type="dxa"/>
            <w:vAlign w:val="center"/>
          </w:tcPr>
          <w:p>
            <w:pPr>
              <w:pStyle w:val="TableNumber"/>
            </w:pPr>
            <w:r>
              <w:t>0 / 0</w:t>
            </w:r>
          </w:p>
        </w:tc>
      </w:tr>
      <w:tr>
        <w:trPr>
          <w:cantSplit/>
        </w:trPr>
        <w:tc>
          <w:tcPr>
            <w:tcW w:w="900" w:type="dxa"/>
            <w:vAlign w:val="center"/>
          </w:tcPr>
          <w:p>
            <w:pPr>
              <w:pStyle w:val="TableText"/>
            </w:pPr>
            <w:r>
              <w:t>3d</w:t>
            </w:r>
          </w:p>
        </w:tc>
        <w:tc>
          <w:tcPr>
            <w:tcW w:w="1800" w:type="dxa"/>
            <w:vAlign w:val="center"/>
          </w:tcPr>
          <w:p>
            <w:pPr>
              <w:pStyle w:val="TableNumber"/>
            </w:pPr>
            <w:r>
              <w:t>82.25%</w:t>
            </w:r>
          </w:p>
        </w:tc>
        <w:tc>
          <w:tcPr>
            <w:tcW w:w="1800" w:type="dxa"/>
            <w:vAlign w:val="center"/>
          </w:tcPr>
          <w:p>
            <w:pPr>
              <w:pStyle w:val="TableNumber"/>
            </w:pPr>
            <w:r>
              <w:t>0.00%</w:t>
            </w:r>
          </w:p>
        </w:tc>
        <w:tc>
          <w:tcPr>
            <w:tcW w:w="1800" w:type="dxa"/>
            <w:vAlign w:val="center"/>
          </w:tcPr>
          <w:p>
            <w:pPr>
              <w:pStyle w:val="TableNumber"/>
            </w:pPr>
            <w:r>
              <w:t>17.75%</w:t>
            </w:r>
          </w:p>
        </w:tc>
        <w:tc>
          <w:tcPr>
            <w:tcW w:w="3060" w:type="dxa"/>
            <w:vAlign w:val="center"/>
          </w:tcPr>
          <w:p>
            <w:pPr>
              <w:pStyle w:val="TableNumber"/>
            </w:pPr>
            <w:r>
              <w:t>0 / 0</w:t>
            </w:r>
          </w:p>
        </w:tc>
      </w:tr>
      <w:tr>
        <w:trPr>
          <w:cantSplit/>
        </w:trPr>
        <w:tc>
          <w:tcPr>
            <w:tcW w:w="900" w:type="dxa"/>
            <w:vAlign w:val="center"/>
          </w:tcPr>
          <w:p>
            <w:pPr>
              <w:pStyle w:val="TableText"/>
            </w:pPr>
            <w:r>
              <w:t>4d</w:t>
            </w:r>
          </w:p>
        </w:tc>
        <w:tc>
          <w:tcPr>
            <w:tcW w:w="1800" w:type="dxa"/>
            <w:vAlign w:val="center"/>
          </w:tcPr>
          <w:p>
            <w:pPr>
              <w:pStyle w:val="TableNumber"/>
            </w:pPr>
            <w:r>
              <w:t>80.71%</w:t>
            </w:r>
          </w:p>
        </w:tc>
        <w:tc>
          <w:tcPr>
            <w:tcW w:w="1800" w:type="dxa"/>
            <w:vAlign w:val="center"/>
          </w:tcPr>
          <w:p>
            <w:pPr>
              <w:pStyle w:val="TableNumber"/>
            </w:pPr>
            <w:r>
              <w:t>0.00%</w:t>
            </w:r>
          </w:p>
        </w:tc>
        <w:tc>
          <w:tcPr>
            <w:tcW w:w="1800" w:type="dxa"/>
            <w:vAlign w:val="center"/>
          </w:tcPr>
          <w:p>
            <w:pPr>
              <w:pStyle w:val="TableNumber"/>
            </w:pPr>
            <w:r>
              <w:t>19.29%</w:t>
            </w:r>
          </w:p>
        </w:tc>
        <w:tc>
          <w:tcPr>
            <w:tcW w:w="3060" w:type="dxa"/>
            <w:vAlign w:val="center"/>
          </w:tcPr>
          <w:p>
            <w:pPr>
              <w:pStyle w:val="TableNumber"/>
            </w:pPr>
            <w:r>
              <w:t>0 / 0</w:t>
            </w:r>
          </w:p>
        </w:tc>
      </w:tr>
      <w:tr>
        <w:trPr>
          <w:cantSplit/>
        </w:trPr>
        <w:tc>
          <w:tcPr>
            <w:tcW w:w="900" w:type="dxa"/>
            <w:vAlign w:val="center"/>
          </w:tcPr>
          <w:p>
            <w:pPr>
              <w:pStyle w:val="TableText"/>
            </w:pPr>
            <w:r>
              <w:t>5d</w:t>
            </w:r>
          </w:p>
        </w:tc>
        <w:tc>
          <w:tcPr>
            <w:tcW w:w="1800" w:type="dxa"/>
            <w:vAlign w:val="center"/>
          </w:tcPr>
          <w:p>
            <w:pPr>
              <w:pStyle w:val="TableNumber"/>
            </w:pPr>
            <w:r>
              <w:t>81.29%</w:t>
            </w:r>
          </w:p>
        </w:tc>
        <w:tc>
          <w:tcPr>
            <w:tcW w:w="1800" w:type="dxa"/>
            <w:vAlign w:val="center"/>
          </w:tcPr>
          <w:p>
            <w:pPr>
              <w:pStyle w:val="TableNumber"/>
            </w:pPr>
            <w:r>
              <w:t>0.00%</w:t>
            </w:r>
          </w:p>
        </w:tc>
        <w:tc>
          <w:tcPr>
            <w:tcW w:w="1800" w:type="dxa"/>
            <w:vAlign w:val="center"/>
          </w:tcPr>
          <w:p>
            <w:pPr>
              <w:pStyle w:val="TableNumber"/>
            </w:pPr>
            <w:r>
              <w:t>18.71%</w:t>
            </w:r>
          </w:p>
        </w:tc>
        <w:tc>
          <w:tcPr>
            <w:tcW w:w="3060" w:type="dxa"/>
            <w:vAlign w:val="center"/>
          </w:tcPr>
          <w:p>
            <w:pPr>
              <w:pStyle w:val="TableNumber"/>
            </w:pPr>
            <w:r>
              <w:t>0 / 4</w:t>
            </w:r>
          </w:p>
        </w:tc>
      </w:tr>
      <w:tr>
        <w:trPr>
          <w:cantSplit/>
        </w:trPr>
        <w:tc>
          <w:tcPr>
            <w:tcW w:w="900" w:type="dxa"/>
            <w:vAlign w:val="center"/>
          </w:tcPr>
          <w:p>
            <w:pPr>
              <w:pStyle w:val="TableText"/>
            </w:pPr>
            <w:r>
              <w:t>6d</w:t>
            </w:r>
          </w:p>
        </w:tc>
        <w:tc>
          <w:tcPr>
            <w:tcW w:w="1800" w:type="dxa"/>
            <w:vAlign w:val="center"/>
          </w:tcPr>
          <w:p>
            <w:pPr>
              <w:pStyle w:val="TableNumber"/>
            </w:pPr>
            <w:r>
              <w:t>79.79%</w:t>
            </w:r>
          </w:p>
        </w:tc>
        <w:tc>
          <w:tcPr>
            <w:tcW w:w="1800" w:type="dxa"/>
            <w:vAlign w:val="center"/>
          </w:tcPr>
          <w:p>
            <w:pPr>
              <w:pStyle w:val="TableNumber"/>
            </w:pPr>
            <w:r>
              <w:t>0.00%</w:t>
            </w:r>
          </w:p>
        </w:tc>
        <w:tc>
          <w:tcPr>
            <w:tcW w:w="1800" w:type="dxa"/>
            <w:vAlign w:val="center"/>
          </w:tcPr>
          <w:p>
            <w:pPr>
              <w:pStyle w:val="TableNumber"/>
            </w:pPr>
            <w:r>
              <w:t>20.21%</w:t>
            </w:r>
          </w:p>
        </w:tc>
        <w:tc>
          <w:tcPr>
            <w:tcW w:w="3060" w:type="dxa"/>
            <w:vAlign w:val="center"/>
          </w:tcPr>
          <w:p>
            <w:pPr>
              <w:pStyle w:val="TableNumber"/>
            </w:pPr>
            <w:r>
              <w:t>3 / 6</w:t>
            </w:r>
          </w:p>
        </w:tc>
      </w:tr>
      <w:tr>
        <w:trPr>
          <w:cantSplit/>
        </w:trPr>
        <w:tc>
          <w:tcPr>
            <w:tcW w:w="900" w:type="dxa"/>
            <w:vAlign w:val="center"/>
          </w:tcPr>
          <w:p>
            <w:pPr>
              <w:pStyle w:val="TableText"/>
            </w:pPr>
            <w:r>
              <w:t>7d</w:t>
            </w:r>
          </w:p>
        </w:tc>
        <w:tc>
          <w:tcPr>
            <w:tcW w:w="1800" w:type="dxa"/>
            <w:vAlign w:val="center"/>
          </w:tcPr>
          <w:p>
            <w:pPr>
              <w:pStyle w:val="TableNumber"/>
            </w:pPr>
            <w:r>
              <w:t>76.86%</w:t>
            </w:r>
          </w:p>
        </w:tc>
        <w:tc>
          <w:tcPr>
            <w:tcW w:w="1800" w:type="dxa"/>
            <w:vAlign w:val="center"/>
          </w:tcPr>
          <w:p>
            <w:pPr>
              <w:pStyle w:val="TableNumber"/>
            </w:pPr>
            <w:r>
              <w:t>0.00%</w:t>
            </w:r>
          </w:p>
        </w:tc>
        <w:tc>
          <w:tcPr>
            <w:tcW w:w="1800" w:type="dxa"/>
            <w:vAlign w:val="center"/>
          </w:tcPr>
          <w:p>
            <w:pPr>
              <w:pStyle w:val="TableNumber"/>
            </w:pPr>
            <w:r>
              <w:t>23.14%</w:t>
            </w:r>
          </w:p>
        </w:tc>
        <w:tc>
          <w:tcPr>
            <w:tcW w:w="3060" w:type="dxa"/>
            <w:vAlign w:val="center"/>
          </w:tcPr>
          <w:p>
            <w:pPr>
              <w:pStyle w:val="TableNumber"/>
            </w:pPr>
            <w:r>
              <w:t>13 / 15</w:t>
            </w:r>
          </w:p>
        </w:tc>
      </w:tr>
      <w:tr>
        <w:trPr>
          <w:cantSplit/>
        </w:trPr>
        <w:tc>
          <w:tcPr>
            <w:tcW w:w="900" w:type="dxa"/>
            <w:vAlign w:val="center"/>
          </w:tcPr>
          <w:p>
            <w:pPr>
              <w:pStyle w:val="TableText"/>
            </w:pPr>
            <w:r>
              <w:t>8d</w:t>
            </w:r>
          </w:p>
        </w:tc>
        <w:tc>
          <w:tcPr>
            <w:tcW w:w="1800" w:type="dxa"/>
            <w:vAlign w:val="center"/>
          </w:tcPr>
          <w:p>
            <w:pPr>
              <w:pStyle w:val="TableNumber"/>
            </w:pPr>
            <w:r>
              <w:t>79.51%</w:t>
            </w:r>
          </w:p>
        </w:tc>
        <w:tc>
          <w:tcPr>
            <w:tcW w:w="1800" w:type="dxa"/>
            <w:vAlign w:val="center"/>
          </w:tcPr>
          <w:p>
            <w:pPr>
              <w:pStyle w:val="TableNumber"/>
            </w:pPr>
            <w:r>
              <w:t>0.00%</w:t>
            </w:r>
          </w:p>
        </w:tc>
        <w:tc>
          <w:tcPr>
            <w:tcW w:w="1800" w:type="dxa"/>
            <w:vAlign w:val="center"/>
          </w:tcPr>
          <w:p>
            <w:pPr>
              <w:pStyle w:val="TableNumber"/>
            </w:pPr>
            <w:r>
              <w:t>20.49%</w:t>
            </w:r>
          </w:p>
        </w:tc>
        <w:tc>
          <w:tcPr>
            <w:tcW w:w="3060" w:type="dxa"/>
            <w:vAlign w:val="center"/>
          </w:tcPr>
          <w:p>
            <w:pPr>
              <w:pStyle w:val="TableNumber"/>
            </w:pPr>
            <w:r>
              <w:t>22 / 8</w:t>
            </w:r>
          </w:p>
        </w:tc>
      </w:tr>
      <w:tr>
        <w:trPr>
          <w:cantSplit/>
        </w:trPr>
        <w:tc>
          <w:tcPr>
            <w:tcW w:w="900" w:type="dxa"/>
            <w:vAlign w:val="center"/>
          </w:tcPr>
          <w:p>
            <w:pPr>
              <w:pStyle w:val="TableText"/>
            </w:pPr>
            <w:r>
              <w:t>9d</w:t>
            </w:r>
          </w:p>
        </w:tc>
        <w:tc>
          <w:tcPr>
            <w:tcW w:w="1800" w:type="dxa"/>
            <w:vAlign w:val="center"/>
          </w:tcPr>
          <w:p>
            <w:pPr>
              <w:pStyle w:val="TableNumber"/>
            </w:pPr>
            <w:r>
              <w:t>80.81%</w:t>
            </w:r>
          </w:p>
        </w:tc>
        <w:tc>
          <w:tcPr>
            <w:tcW w:w="1800" w:type="dxa"/>
            <w:vAlign w:val="center"/>
          </w:tcPr>
          <w:p>
            <w:pPr>
              <w:pStyle w:val="TableNumber"/>
            </w:pPr>
            <w:r>
              <w:t>0.00%</w:t>
            </w:r>
          </w:p>
        </w:tc>
        <w:tc>
          <w:tcPr>
            <w:tcW w:w="1800" w:type="dxa"/>
            <w:vAlign w:val="center"/>
          </w:tcPr>
          <w:p>
            <w:pPr>
              <w:pStyle w:val="TableNumber"/>
            </w:pPr>
            <w:r>
              <w:t>19.19%</w:t>
            </w:r>
          </w:p>
        </w:tc>
        <w:tc>
          <w:tcPr>
            <w:tcW w:w="3060" w:type="dxa"/>
            <w:vAlign w:val="center"/>
          </w:tcPr>
          <w:p>
            <w:pPr>
              <w:pStyle w:val="TableNumber"/>
            </w:pPr>
            <w:r>
              <w:t>28 / 11</w:t>
            </w:r>
          </w:p>
        </w:tc>
      </w:tr>
      <w:tr>
        <w:trPr>
          <w:cantSplit/>
        </w:trPr>
        <w:tc>
          <w:tcPr>
            <w:tcW w:w="900" w:type="dxa"/>
            <w:vAlign w:val="center"/>
          </w:tcPr>
          <w:p>
            <w:pPr>
              <w:pStyle w:val="TableText"/>
            </w:pPr>
            <w:r>
              <w:t>10d</w:t>
            </w:r>
          </w:p>
        </w:tc>
        <w:tc>
          <w:tcPr>
            <w:tcW w:w="1800" w:type="dxa"/>
            <w:vAlign w:val="center"/>
          </w:tcPr>
          <w:p>
            <w:pPr>
              <w:pStyle w:val="TableNumber"/>
            </w:pPr>
            <w:r>
              <w:t>82.44%</w:t>
            </w:r>
          </w:p>
        </w:tc>
        <w:tc>
          <w:tcPr>
            <w:tcW w:w="1800" w:type="dxa"/>
            <w:vAlign w:val="center"/>
          </w:tcPr>
          <w:p>
            <w:pPr>
              <w:pStyle w:val="TableNumber"/>
            </w:pPr>
            <w:r>
              <w:t>0.00%</w:t>
            </w:r>
          </w:p>
        </w:tc>
        <w:tc>
          <w:tcPr>
            <w:tcW w:w="1800" w:type="dxa"/>
            <w:vAlign w:val="center"/>
          </w:tcPr>
          <w:p>
            <w:pPr>
              <w:pStyle w:val="TableNumber"/>
            </w:pPr>
            <w:r>
              <w:t>17.56%</w:t>
            </w:r>
          </w:p>
        </w:tc>
        <w:tc>
          <w:tcPr>
            <w:tcW w:w="3060" w:type="dxa"/>
            <w:vAlign w:val="center"/>
          </w:tcPr>
          <w:p>
            <w:pPr>
              <w:pStyle w:val="TableNumber"/>
            </w:pPr>
            <w:r>
              <w:t>51 / 12</w:t>
            </w:r>
          </w:p>
        </w:tc>
      </w:tr>
      <w:tr>
        <w:trPr>
          <w:cantSplit/>
        </w:trPr>
        <w:tc>
          <w:tcPr>
            <w:tcW w:w="900" w:type="dxa"/>
            <w:vAlign w:val="center"/>
          </w:tcPr>
          <w:p>
            <w:pPr>
              <w:pStyle w:val="TableText"/>
            </w:pPr>
            <w:r>
              <w:t>11d</w:t>
            </w:r>
          </w:p>
        </w:tc>
        <w:tc>
          <w:tcPr>
            <w:tcW w:w="1800" w:type="dxa"/>
            <w:vAlign w:val="center"/>
          </w:tcPr>
          <w:p>
            <w:pPr>
              <w:pStyle w:val="TableNumber"/>
            </w:pPr>
            <w:r>
              <w:t>80.49%</w:t>
            </w:r>
          </w:p>
        </w:tc>
        <w:tc>
          <w:tcPr>
            <w:tcW w:w="1800" w:type="dxa"/>
            <w:vAlign w:val="center"/>
          </w:tcPr>
          <w:p>
            <w:pPr>
              <w:pStyle w:val="TableNumber"/>
            </w:pPr>
            <w:r>
              <w:t>0.00%</w:t>
            </w:r>
          </w:p>
        </w:tc>
        <w:tc>
          <w:tcPr>
            <w:tcW w:w="1800" w:type="dxa"/>
            <w:vAlign w:val="center"/>
          </w:tcPr>
          <w:p>
            <w:pPr>
              <w:pStyle w:val="TableNumber"/>
            </w:pPr>
            <w:r>
              <w:t>19.51%</w:t>
            </w:r>
          </w:p>
        </w:tc>
        <w:tc>
          <w:tcPr>
            <w:tcW w:w="3060" w:type="dxa"/>
            <w:vAlign w:val="center"/>
          </w:tcPr>
          <w:p>
            <w:pPr>
              <w:pStyle w:val="TableNumber"/>
            </w:pPr>
            <w:r>
              <w:t>61 / 31</w:t>
            </w:r>
          </w:p>
        </w:tc>
      </w:tr>
      <w:tr>
        <w:trPr>
          <w:cantSplit/>
        </w:trPr>
        <w:tc>
          <w:tcPr>
            <w:tcW w:w="900" w:type="dxa"/>
            <w:vAlign w:val="center"/>
          </w:tcPr>
          <w:p>
            <w:pPr>
              <w:pStyle w:val="TableText"/>
            </w:pPr>
            <w:r>
              <w:t>12d</w:t>
            </w:r>
          </w:p>
        </w:tc>
        <w:tc>
          <w:tcPr>
            <w:tcW w:w="1800" w:type="dxa"/>
            <w:vAlign w:val="center"/>
          </w:tcPr>
          <w:p>
            <w:pPr>
              <w:pStyle w:val="TableNumber"/>
            </w:pPr>
            <w:r>
              <w:t>80.23%</w:t>
            </w:r>
          </w:p>
        </w:tc>
        <w:tc>
          <w:tcPr>
            <w:tcW w:w="1800" w:type="dxa"/>
            <w:vAlign w:val="center"/>
          </w:tcPr>
          <w:p>
            <w:pPr>
              <w:pStyle w:val="TableNumber"/>
            </w:pPr>
            <w:r>
              <w:t>0.00%</w:t>
            </w:r>
          </w:p>
        </w:tc>
        <w:tc>
          <w:tcPr>
            <w:tcW w:w="1800" w:type="dxa"/>
            <w:vAlign w:val="center"/>
          </w:tcPr>
          <w:p>
            <w:pPr>
              <w:pStyle w:val="TableNumber"/>
            </w:pPr>
            <w:r>
              <w:t>19.77%</w:t>
            </w:r>
          </w:p>
        </w:tc>
        <w:tc>
          <w:tcPr>
            <w:tcW w:w="3060" w:type="dxa"/>
            <w:vAlign w:val="center"/>
          </w:tcPr>
          <w:p>
            <w:pPr>
              <w:pStyle w:val="TableNumber"/>
            </w:pPr>
            <w:r>
              <w:t>57 / 21</w:t>
            </w:r>
          </w:p>
        </w:tc>
      </w:tr>
      <w:tr>
        <w:trPr>
          <w:cantSplit/>
        </w:trPr>
        <w:tc>
          <w:tcPr>
            <w:tcW w:w="900" w:type="dxa"/>
            <w:vAlign w:val="center"/>
          </w:tcPr>
          <w:p>
            <w:pPr>
              <w:pStyle w:val="TableText"/>
            </w:pPr>
            <w:r>
              <w:t>13d</w:t>
            </w:r>
          </w:p>
        </w:tc>
        <w:tc>
          <w:tcPr>
            <w:tcW w:w="1800" w:type="dxa"/>
            <w:vAlign w:val="center"/>
          </w:tcPr>
          <w:p>
            <w:pPr>
              <w:pStyle w:val="TableNumber"/>
            </w:pPr>
            <w:r>
              <w:t>80.06%</w:t>
            </w:r>
          </w:p>
        </w:tc>
        <w:tc>
          <w:tcPr>
            <w:tcW w:w="1800" w:type="dxa"/>
            <w:vAlign w:val="center"/>
          </w:tcPr>
          <w:p>
            <w:pPr>
              <w:pStyle w:val="TableNumber"/>
            </w:pPr>
            <w:r>
              <w:t>0.00%</w:t>
            </w:r>
          </w:p>
        </w:tc>
        <w:tc>
          <w:tcPr>
            <w:tcW w:w="1800" w:type="dxa"/>
            <w:vAlign w:val="center"/>
          </w:tcPr>
          <w:p>
            <w:pPr>
              <w:pStyle w:val="TableNumber"/>
            </w:pPr>
            <w:r>
              <w:t>19.94%</w:t>
            </w:r>
          </w:p>
        </w:tc>
        <w:tc>
          <w:tcPr>
            <w:tcW w:w="3060" w:type="dxa"/>
            <w:vAlign w:val="center"/>
          </w:tcPr>
          <w:p>
            <w:pPr>
              <w:pStyle w:val="TableNumber"/>
            </w:pPr>
            <w:r>
              <w:t>68 / 24</w:t>
            </w:r>
          </w:p>
        </w:tc>
      </w:tr>
      <w:tr>
        <w:trPr>
          <w:cantSplit/>
        </w:trPr>
        <w:tc>
          <w:tcPr>
            <w:tcW w:w="900" w:type="dxa"/>
            <w:vAlign w:val="center"/>
          </w:tcPr>
          <w:p>
            <w:pPr>
              <w:pStyle w:val="TableText"/>
            </w:pPr>
            <w:r>
              <w:t>14d</w:t>
            </w:r>
          </w:p>
        </w:tc>
        <w:tc>
          <w:tcPr>
            <w:tcW w:w="1800" w:type="dxa"/>
            <w:vAlign w:val="center"/>
          </w:tcPr>
          <w:p>
            <w:pPr>
              <w:pStyle w:val="TableNumber"/>
            </w:pPr>
            <w:r>
              <w:t>82.30%</w:t>
            </w:r>
          </w:p>
        </w:tc>
        <w:tc>
          <w:tcPr>
            <w:tcW w:w="1800" w:type="dxa"/>
            <w:vAlign w:val="center"/>
          </w:tcPr>
          <w:p>
            <w:pPr>
              <w:pStyle w:val="TableNumber"/>
            </w:pPr>
            <w:r>
              <w:t>0.00%</w:t>
            </w:r>
          </w:p>
        </w:tc>
        <w:tc>
          <w:tcPr>
            <w:tcW w:w="1800" w:type="dxa"/>
            <w:vAlign w:val="center"/>
          </w:tcPr>
          <w:p>
            <w:pPr>
              <w:pStyle w:val="TableNumber"/>
            </w:pPr>
            <w:r>
              <w:t>17.70%</w:t>
            </w:r>
          </w:p>
        </w:tc>
        <w:tc>
          <w:tcPr>
            <w:tcW w:w="3060" w:type="dxa"/>
            <w:vAlign w:val="center"/>
          </w:tcPr>
          <w:p>
            <w:pPr>
              <w:pStyle w:val="TableNumber"/>
            </w:pPr>
            <w:r>
              <w:t>95 / 25</w:t>
            </w:r>
          </w:p>
        </w:tc>
      </w:tr>
    </w:tbl>
    <w:p>
      <w:pPr>
        <w:pStyle w:val="a"/>
        <w:spacing w:before="160"/>
      </w:pPr>
      <w:r>
        <w:t>Bearish labels range from 74.62% to 82.44%; neutral labels range from 0.00% to 0.00%. Across 14 horizons, 398 / 157 strong-bearish and strong-bullish labels were assigned. These are rule-based labels from q10, q50, and q90 relative to zero, not probabilities of a rise or decline.</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010" w:type="dxa"/>
            <w:shd w:val="clear" w:fill="DCE6F1"/>
            <w:vAlign w:val="center"/>
          </w:tcPr>
          <w:p>
            <w:pPr>
              <w:pStyle w:val="TableHeader"/>
            </w:pPr>
            <w:r>
              <w:t>Mean coverage</w:t>
            </w:r>
          </w:p>
        </w:tc>
      </w:tr>
      <w:tr>
        <w:trPr>
          <w:cantSplit/>
        </w:trPr>
        <w:tc>
          <w:tcPr>
            <w:tcW w:w="1500" w:type="dxa"/>
            <w:vAlign w:val="center"/>
          </w:tcPr>
          <w:p>
            <w:pPr>
              <w:pStyle w:val="TableText"/>
            </w:pPr>
            <w:r>
              <w:t>EODHD / US</w:t>
            </w:r>
          </w:p>
        </w:tc>
        <w:tc>
          <w:tcPr>
            <w:tcW w:w="1100" w:type="dxa"/>
            <w:vAlign w:val="center"/>
          </w:tcPr>
          <w:p>
            <w:pPr>
              <w:pStyle w:val="TableNumber"/>
            </w:pPr>
            <w:r>
              <w:t>439,729</w:t>
            </w:r>
          </w:p>
        </w:tc>
        <w:tc>
          <w:tcPr>
            <w:tcW w:w="1300" w:type="dxa"/>
            <w:vAlign w:val="center"/>
          </w:tcPr>
          <w:p>
            <w:pPr>
              <w:pStyle w:val="TableNumber"/>
            </w:pPr>
            <w:r>
              <w:t>0.291245</w:t>
            </w:r>
          </w:p>
        </w:tc>
        <w:tc>
          <w:tcPr>
            <w:tcW w:w="1400" w:type="dxa"/>
            <w:vAlign w:val="center"/>
          </w:tcPr>
          <w:p>
            <w:pPr>
              <w:pStyle w:val="TableNumber"/>
            </w:pPr>
            <w:r>
              <w:t>0.1022</w:t>
            </w:r>
          </w:p>
        </w:tc>
        <w:tc>
          <w:tcPr>
            <w:tcW w:w="1800" w:type="dxa"/>
            <w:vAlign w:val="center"/>
          </w:tcPr>
          <w:p>
            <w:pPr>
              <w:pStyle w:val="TableNumber"/>
            </w:pPr>
            <w:r>
              <w:t>0.0408 to 0.1324</w:t>
            </w:r>
          </w:p>
        </w:tc>
        <w:tc>
          <w:tcPr>
            <w:tcW w:w="1250" w:type="dxa"/>
            <w:vAlign w:val="center"/>
          </w:tcPr>
          <w:p>
            <w:pPr>
              <w:pStyle w:val="TableNumber"/>
            </w:pPr>
            <w:r>
              <w:t>52.10%</w:t>
            </w:r>
          </w:p>
        </w:tc>
        <w:tc>
          <w:tcPr>
            <w:tcW w:w="1010" w:type="dxa"/>
            <w:vAlign w:val="center"/>
          </w:tcPr>
          <w:p>
            <w:pPr>
              <w:pStyle w:val="TableNumber"/>
            </w:pPr>
            <w:r>
              <w:t>79.41%</w:t>
            </w:r>
          </w:p>
        </w:tc>
      </w:tr>
      <w:tr>
        <w:trPr>
          <w:cantSplit/>
        </w:trPr>
        <w:tc>
          <w:tcPr>
            <w:tcW w:w="1500" w:type="dxa"/>
            <w:vAlign w:val="center"/>
          </w:tcPr>
          <w:p>
            <w:pPr>
              <w:pStyle w:val="TableText"/>
            </w:pPr>
            <w:r>
              <w:t>TPEx</w:t>
            </w:r>
          </w:p>
        </w:tc>
        <w:tc>
          <w:tcPr>
            <w:tcW w:w="1100" w:type="dxa"/>
            <w:vAlign w:val="center"/>
          </w:tcPr>
          <w:p>
            <w:pPr>
              <w:pStyle w:val="TableNumber"/>
            </w:pPr>
            <w:r>
              <w:t>31,285</w:t>
            </w:r>
          </w:p>
        </w:tc>
        <w:tc>
          <w:tcPr>
            <w:tcW w:w="1300" w:type="dxa"/>
            <w:vAlign w:val="center"/>
          </w:tcPr>
          <w:p>
            <w:pPr>
              <w:pStyle w:val="TableNumber"/>
            </w:pPr>
            <w:r>
              <w:t>0.316772</w:t>
            </w:r>
          </w:p>
        </w:tc>
        <w:tc>
          <w:tcPr>
            <w:tcW w:w="1400" w:type="dxa"/>
            <w:vAlign w:val="center"/>
          </w:tcPr>
          <w:p>
            <w:pPr>
              <w:pStyle w:val="TableNumber"/>
            </w:pPr>
            <w:r>
              <w:t>0.0474</w:t>
            </w:r>
          </w:p>
        </w:tc>
        <w:tc>
          <w:tcPr>
            <w:tcW w:w="1800" w:type="dxa"/>
            <w:vAlign w:val="center"/>
          </w:tcPr>
          <w:p>
            <w:pPr>
              <w:pStyle w:val="TableNumber"/>
            </w:pPr>
            <w:r>
              <w:t>0.0391 to 0.0534</w:t>
            </w:r>
          </w:p>
        </w:tc>
        <w:tc>
          <w:tcPr>
            <w:tcW w:w="1250" w:type="dxa"/>
            <w:vAlign w:val="center"/>
          </w:tcPr>
          <w:p>
            <w:pPr>
              <w:pStyle w:val="TableNumber"/>
            </w:pPr>
            <w:r>
              <w:t>66.48%</w:t>
            </w:r>
          </w:p>
        </w:tc>
        <w:tc>
          <w:tcPr>
            <w:tcW w:w="1010" w:type="dxa"/>
            <w:vAlign w:val="center"/>
          </w:tcPr>
          <w:p>
            <w:pPr>
              <w:pStyle w:val="TableNumber"/>
            </w:pPr>
            <w:r>
              <w:t>70.73%</w:t>
            </w:r>
          </w:p>
        </w:tc>
      </w:tr>
      <w:tr>
        <w:trPr>
          <w:cantSplit/>
        </w:trPr>
        <w:tc>
          <w:tcPr>
            <w:tcW w:w="1500" w:type="dxa"/>
            <w:vAlign w:val="center"/>
          </w:tcPr>
          <w:p>
            <w:pPr>
              <w:pStyle w:val="TableText"/>
            </w:pPr>
            <w:r>
              <w:t>TWSE</w:t>
            </w:r>
          </w:p>
        </w:tc>
        <w:tc>
          <w:tcPr>
            <w:tcW w:w="1100" w:type="dxa"/>
            <w:vAlign w:val="center"/>
          </w:tcPr>
          <w:p>
            <w:pPr>
              <w:pStyle w:val="TableNumber"/>
            </w:pPr>
            <w:r>
              <w:t>63,313</w:t>
            </w:r>
          </w:p>
        </w:tc>
        <w:tc>
          <w:tcPr>
            <w:tcW w:w="1300" w:type="dxa"/>
            <w:vAlign w:val="center"/>
          </w:tcPr>
          <w:p>
            <w:pPr>
              <w:pStyle w:val="TableNumber"/>
            </w:pPr>
            <w:r>
              <w:t>0.281697</w:t>
            </w:r>
          </w:p>
        </w:tc>
        <w:tc>
          <w:tcPr>
            <w:tcW w:w="1400" w:type="dxa"/>
            <w:vAlign w:val="center"/>
          </w:tcPr>
          <w:p>
            <w:pPr>
              <w:pStyle w:val="TableNumber"/>
            </w:pPr>
            <w:r>
              <w:t>0.0298</w:t>
            </w:r>
          </w:p>
        </w:tc>
        <w:tc>
          <w:tcPr>
            <w:tcW w:w="1800" w:type="dxa"/>
            <w:vAlign w:val="center"/>
          </w:tcPr>
          <w:p>
            <w:pPr>
              <w:pStyle w:val="TableNumber"/>
            </w:pPr>
            <w:r>
              <w:t>-0.0000 to 0.0509</w:t>
            </w:r>
          </w:p>
        </w:tc>
        <w:tc>
          <w:tcPr>
            <w:tcW w:w="1250" w:type="dxa"/>
            <w:vAlign w:val="center"/>
          </w:tcPr>
          <w:p>
            <w:pPr>
              <w:pStyle w:val="TableNumber"/>
            </w:pPr>
            <w:r>
              <w:t>66.19%</w:t>
            </w:r>
          </w:p>
        </w:tc>
        <w:tc>
          <w:tcPr>
            <w:tcW w:w="1010" w:type="dxa"/>
            <w:vAlign w:val="center"/>
          </w:tcPr>
          <w:p>
            <w:pPr>
              <w:pStyle w:val="TableNumber"/>
            </w:pPr>
            <w:r>
              <w:t>70.11%</w:t>
            </w:r>
          </w:p>
        </w:tc>
      </w:tr>
    </w:tbl>
    <w:p>
      <w:pPr>
        <w:pStyle w:val="a"/>
        <w:spacing w:before="160"/>
      </w:pPr>
      <w:r>
        <w:t>Provider slices differ in sample size, exchange, and asset composition. Mean coverage ranges from 70.11% to 79.41%; differences in mean q50 correlation, direction agreement, and score are stability diagnostics only and do not prove that one market is easier to predict.</w:t>
      </w:r>
    </w:p>
    <w:p>
      <w:pPr>
        <w:pStyle w:val="21"/>
      </w:pPr>
      <w:r>
        <w:t xml:space="preserve">8.1a Complete market raw and calibrated comparison</w:t>
      </w:r>
    </w:p>
    <w:p>
      <w:pPr>
        <w:pStyle w:val="a"/>
      </w:pPr>
      <w:r>
        <w:t xml:space="preserve">Market data come from subgroups.market and calibrated.by_market, not inferred provider labels. Overall statistics are sample-weighted; US contributes 82.30%, so inspect Taiwan coverage separately. Each cell shows raw first and calibrated second; the All row averages 14 horizons within that market.</w:t>
      </w:r>
    </w:p>
    <w:p>
      <w:pPr>
        <w:pStyle w:val="Decision"/>
      </w:pPr>
      <w:r>
        <w:t xml:space="preserve">Table 10a | 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0.291245</w:t>
              <w:br/>
              <w:t xml:space="preserve">0.291265</w:t>
            </w:r>
          </w:p>
        </w:tc>
        <w:tc>
          <w:tcPr>
            <w:tcW w:w="2075" w:type="dxa"/>
            <w:shd w:fill="FFFFFF"/>
            <w:vAlign w:val="center"/>
          </w:tcPr>
          <w:p>
            <w:pPr>
              <w:pStyle w:val="TableNumber"/>
            </w:pPr>
            <w:r>
              <w:t xml:space="preserve">79.4127%</w:t>
              <w:br/>
              <w:t xml:space="preserve">80.6468%</w:t>
            </w:r>
          </w:p>
        </w:tc>
        <w:tc>
          <w:tcPr>
            <w:tcW w:w="2200" w:type="dxa"/>
            <w:shd w:fill="FFFFFF"/>
            <w:vAlign w:val="center"/>
          </w:tcPr>
          <w:p>
            <w:pPr>
              <w:pStyle w:val="TableNumber"/>
            </w:pPr>
            <w:r>
              <w:t xml:space="preserve">0.6756</w:t>
              <w:br/>
              <w:t xml:space="preserve">0.6468</w:t>
            </w:r>
          </w:p>
        </w:tc>
        <w:tc>
          <w:tcPr>
            <w:tcW w:w="2360" w:type="dxa"/>
            <w:shd w:fill="FFFFFF"/>
            <w:vAlign w:val="center"/>
          </w:tcPr>
          <w:p>
            <w:pPr>
              <w:pStyle w:val="TableNumber"/>
            </w:pPr>
            <w:r>
              <w:t xml:space="preserve">0.183494</w:t>
              <w:br/>
              <w:t xml:space="preserve">0.190184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0.285550</w:t>
              <w:br/>
              <w:t xml:space="preserve">0.285409</w:t>
            </w:r>
          </w:p>
        </w:tc>
        <w:tc>
          <w:tcPr>
            <w:tcW w:w="2075" w:type="dxa"/>
            <w:shd w:fill="F7F9FC"/>
            <w:vAlign w:val="center"/>
          </w:tcPr>
          <w:p>
            <w:pPr>
              <w:pStyle w:val="TableNumber"/>
            </w:pPr>
            <w:r>
              <w:t xml:space="preserve">80.5392%</w:t>
              <w:br/>
              <w:t xml:space="preserve">81.2582%</w:t>
            </w:r>
          </w:p>
        </w:tc>
        <w:tc>
          <w:tcPr>
            <w:tcW w:w="2200" w:type="dxa"/>
            <w:shd w:fill="F7F9FC"/>
            <w:vAlign w:val="center"/>
          </w:tcPr>
          <w:p>
            <w:pPr>
              <w:pStyle w:val="TableNumber"/>
            </w:pPr>
            <w:r>
              <w:t xml:space="preserve">0.5392</w:t>
              <w:br/>
              <w:t xml:space="preserve">1.2582</w:t>
            </w:r>
          </w:p>
        </w:tc>
        <w:tc>
          <w:tcPr>
            <w:tcW w:w="2360" w:type="dxa"/>
            <w:shd w:fill="F7F9FC"/>
            <w:vAlign w:val="center"/>
          </w:tcPr>
          <w:p>
            <w:pPr>
              <w:pStyle w:val="TableNumber"/>
            </w:pPr>
            <w:r>
              <w:t xml:space="preserve">0.060618</w:t>
              <w:br/>
              <w:t xml:space="preserve">0.061781</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0.290265</w:t>
              <w:br/>
              <w:t xml:space="preserve">0.290231</w:t>
            </w:r>
          </w:p>
        </w:tc>
        <w:tc>
          <w:tcPr>
            <w:tcW w:w="2075" w:type="dxa"/>
            <w:shd w:fill="FFFFFF"/>
            <w:vAlign w:val="center"/>
          </w:tcPr>
          <w:p>
            <w:pPr>
              <w:pStyle w:val="TableNumber"/>
            </w:pPr>
            <w:r>
              <w:t xml:space="preserve">79.7764%</w:t>
              <w:br/>
              <w:t xml:space="preserve">80.7195%</w:t>
            </w:r>
          </w:p>
        </w:tc>
        <w:tc>
          <w:tcPr>
            <w:tcW w:w="2200" w:type="dxa"/>
            <w:shd w:fill="FFFFFF"/>
            <w:vAlign w:val="center"/>
          </w:tcPr>
          <w:p>
            <w:pPr>
              <w:pStyle w:val="TableNumber"/>
            </w:pPr>
            <w:r>
              <w:t xml:space="preserve">0.2236</w:t>
              <w:br/>
              <w:t xml:space="preserve">0.7195</w:t>
            </w:r>
          </w:p>
        </w:tc>
        <w:tc>
          <w:tcPr>
            <w:tcW w:w="2360" w:type="dxa"/>
            <w:shd w:fill="FFFFFF"/>
            <w:vAlign w:val="center"/>
          </w:tcPr>
          <w:p>
            <w:pPr>
              <w:pStyle w:val="TableNumber"/>
            </w:pPr>
            <w:r>
              <w:t xml:space="preserve">0.090205</w:t>
              <w:br/>
              <w:t xml:space="preserve">0.092549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0.292630</w:t>
              <w:br/>
              <w:t xml:space="preserve">0.292556</w:t>
            </w:r>
          </w:p>
        </w:tc>
        <w:tc>
          <w:tcPr>
            <w:tcW w:w="2075" w:type="dxa"/>
            <w:shd w:fill="F7F9FC"/>
            <w:vAlign w:val="center"/>
          </w:tcPr>
          <w:p>
            <w:pPr>
              <w:pStyle w:val="TableNumber"/>
            </w:pPr>
            <w:r>
              <w:t xml:space="preserve">80.0368%</w:t>
              <w:br/>
              <w:t xml:space="preserve">80.3929%</w:t>
            </w:r>
          </w:p>
        </w:tc>
        <w:tc>
          <w:tcPr>
            <w:tcW w:w="2200" w:type="dxa"/>
            <w:shd w:fill="F7F9FC"/>
            <w:vAlign w:val="center"/>
          </w:tcPr>
          <w:p>
            <w:pPr>
              <w:pStyle w:val="TableNumber"/>
            </w:pPr>
            <w:r>
              <w:t xml:space="preserve">0.0368</w:t>
              <w:br/>
              <w:t xml:space="preserve">0.3929</w:t>
            </w:r>
          </w:p>
        </w:tc>
        <w:tc>
          <w:tcPr>
            <w:tcW w:w="2360" w:type="dxa"/>
            <w:shd w:fill="F7F9FC"/>
            <w:vAlign w:val="center"/>
          </w:tcPr>
          <w:p>
            <w:pPr>
              <w:pStyle w:val="TableNumber"/>
            </w:pPr>
            <w:r>
              <w:t xml:space="preserve">0.115186</w:t>
              <w:br/>
              <w:t xml:space="preserve">0.116251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0.290854</w:t>
              <w:br/>
              <w:t xml:space="preserve">0.290881</w:t>
            </w:r>
          </w:p>
        </w:tc>
        <w:tc>
          <w:tcPr>
            <w:tcW w:w="2075" w:type="dxa"/>
            <w:shd w:fill="FFFFFF"/>
            <w:vAlign w:val="center"/>
          </w:tcPr>
          <w:p>
            <w:pPr>
              <w:pStyle w:val="TableNumber"/>
            </w:pPr>
            <w:r>
              <w:t xml:space="preserve">80.0423%</w:t>
              <w:br/>
              <w:t xml:space="preserve">80.4061%</w:t>
            </w:r>
          </w:p>
        </w:tc>
        <w:tc>
          <w:tcPr>
            <w:tcW w:w="2200" w:type="dxa"/>
            <w:shd w:fill="FFFFFF"/>
            <w:vAlign w:val="center"/>
          </w:tcPr>
          <w:p>
            <w:pPr>
              <w:pStyle w:val="TableNumber"/>
            </w:pPr>
            <w:r>
              <w:t xml:space="preserve">0.0423</w:t>
              <w:br/>
              <w:t xml:space="preserve">0.4061</w:t>
            </w:r>
          </w:p>
        </w:tc>
        <w:tc>
          <w:tcPr>
            <w:tcW w:w="2360" w:type="dxa"/>
            <w:shd w:fill="FFFFFF"/>
            <w:vAlign w:val="center"/>
          </w:tcPr>
          <w:p>
            <w:pPr>
              <w:pStyle w:val="TableNumber"/>
            </w:pPr>
            <w:r>
              <w:t xml:space="preserve">0.135561</w:t>
              <w:br/>
              <w:t xml:space="preserve">0.136887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0.289359</w:t>
              <w:br/>
              <w:t xml:space="preserve">0.289384</w:t>
            </w:r>
          </w:p>
        </w:tc>
        <w:tc>
          <w:tcPr>
            <w:tcW w:w="2075" w:type="dxa"/>
            <w:shd w:fill="F7F9FC"/>
            <w:vAlign w:val="center"/>
          </w:tcPr>
          <w:p>
            <w:pPr>
              <w:pStyle w:val="TableNumber"/>
            </w:pPr>
            <w:r>
              <w:t xml:space="preserve">79.6429%</w:t>
              <w:br/>
              <w:t xml:space="preserve">80.6767%</w:t>
            </w:r>
          </w:p>
        </w:tc>
        <w:tc>
          <w:tcPr>
            <w:tcW w:w="2200" w:type="dxa"/>
            <w:shd w:fill="F7F9FC"/>
            <w:vAlign w:val="center"/>
          </w:tcPr>
          <w:p>
            <w:pPr>
              <w:pStyle w:val="TableNumber"/>
            </w:pPr>
            <w:r>
              <w:t xml:space="preserve">0.3571</w:t>
              <w:br/>
              <w:t xml:space="preserve">0.6767</w:t>
            </w:r>
          </w:p>
        </w:tc>
        <w:tc>
          <w:tcPr>
            <w:tcW w:w="2360" w:type="dxa"/>
            <w:shd w:fill="F7F9FC"/>
            <w:vAlign w:val="center"/>
          </w:tcPr>
          <w:p>
            <w:pPr>
              <w:pStyle w:val="TableNumber"/>
            </w:pPr>
            <w:r>
              <w:t xml:space="preserve">0.153284</w:t>
              <w:br/>
              <w:t xml:space="preserve">0.157505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0.291847</w:t>
              <w:br/>
              <w:t xml:space="preserve">0.291959</w:t>
            </w:r>
          </w:p>
        </w:tc>
        <w:tc>
          <w:tcPr>
            <w:tcW w:w="2075" w:type="dxa"/>
            <w:shd w:fill="FFFFFF"/>
            <w:vAlign w:val="center"/>
          </w:tcPr>
          <w:p>
            <w:pPr>
              <w:pStyle w:val="TableNumber"/>
            </w:pPr>
            <w:r>
              <w:t xml:space="preserve">79.5831%</w:t>
              <w:br/>
              <w:t xml:space="preserve">80.7111%</w:t>
            </w:r>
          </w:p>
        </w:tc>
        <w:tc>
          <w:tcPr>
            <w:tcW w:w="2200" w:type="dxa"/>
            <w:shd w:fill="FFFFFF"/>
            <w:vAlign w:val="center"/>
          </w:tcPr>
          <w:p>
            <w:pPr>
              <w:pStyle w:val="TableNumber"/>
            </w:pPr>
            <w:r>
              <w:t xml:space="preserve">0.4169</w:t>
              <w:br/>
              <w:t xml:space="preserve">0.7111</w:t>
            </w:r>
          </w:p>
        </w:tc>
        <w:tc>
          <w:tcPr>
            <w:tcW w:w="2360" w:type="dxa"/>
            <w:shd w:fill="FFFFFF"/>
            <w:vAlign w:val="center"/>
          </w:tcPr>
          <w:p>
            <w:pPr>
              <w:pStyle w:val="TableNumber"/>
            </w:pPr>
            <w:r>
              <w:t xml:space="preserve">0.170050</w:t>
              <w:br/>
              <w:t xml:space="preserve">0.175474</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0.292374</w:t>
              <w:br/>
              <w:t xml:space="preserve">0.292545</w:t>
            </w:r>
          </w:p>
        </w:tc>
        <w:tc>
          <w:tcPr>
            <w:tcW w:w="2075" w:type="dxa"/>
            <w:shd w:fill="F7F9FC"/>
            <w:vAlign w:val="center"/>
          </w:tcPr>
          <w:p>
            <w:pPr>
              <w:pStyle w:val="TableNumber"/>
            </w:pPr>
            <w:r>
              <w:t xml:space="preserve">78.8029%</w:t>
              <w:br/>
              <w:t xml:space="preserve">80.4291%</w:t>
            </w:r>
          </w:p>
        </w:tc>
        <w:tc>
          <w:tcPr>
            <w:tcW w:w="2200" w:type="dxa"/>
            <w:shd w:fill="F7F9FC"/>
            <w:vAlign w:val="center"/>
          </w:tcPr>
          <w:p>
            <w:pPr>
              <w:pStyle w:val="TableNumber"/>
            </w:pPr>
            <w:r>
              <w:t xml:space="preserve">1.1971</w:t>
              <w:br/>
              <w:t xml:space="preserve">0.4291</w:t>
            </w:r>
          </w:p>
        </w:tc>
        <w:tc>
          <w:tcPr>
            <w:tcW w:w="2360" w:type="dxa"/>
            <w:shd w:fill="F7F9FC"/>
            <w:vAlign w:val="center"/>
          </w:tcPr>
          <w:p>
            <w:pPr>
              <w:pStyle w:val="TableNumber"/>
            </w:pPr>
            <w:r>
              <w:t xml:space="preserve">0.182765</w:t>
              <w:br/>
              <w:t xml:space="preserve">0.190767</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0.292565</w:t>
              <w:br/>
              <w:t xml:space="preserve">0.292704</w:t>
            </w:r>
          </w:p>
        </w:tc>
        <w:tc>
          <w:tcPr>
            <w:tcW w:w="2075" w:type="dxa"/>
            <w:shd w:fill="FFFFFF"/>
            <w:vAlign w:val="center"/>
          </w:tcPr>
          <w:p>
            <w:pPr>
              <w:pStyle w:val="TableNumber"/>
            </w:pPr>
            <w:r>
              <w:t xml:space="preserve">79.4451%</w:t>
              <w:br/>
              <w:t xml:space="preserve">80.8127%</w:t>
            </w:r>
          </w:p>
        </w:tc>
        <w:tc>
          <w:tcPr>
            <w:tcW w:w="2200" w:type="dxa"/>
            <w:shd w:fill="FFFFFF"/>
            <w:vAlign w:val="center"/>
          </w:tcPr>
          <w:p>
            <w:pPr>
              <w:pStyle w:val="TableNumber"/>
            </w:pPr>
            <w:r>
              <w:t xml:space="preserve">0.5549</w:t>
              <w:br/>
              <w:t xml:space="preserve">0.8127</w:t>
            </w:r>
          </w:p>
        </w:tc>
        <w:tc>
          <w:tcPr>
            <w:tcW w:w="2360" w:type="dxa"/>
            <w:shd w:fill="FFFFFF"/>
            <w:vAlign w:val="center"/>
          </w:tcPr>
          <w:p>
            <w:pPr>
              <w:pStyle w:val="TableNumber"/>
            </w:pPr>
            <w:r>
              <w:t xml:space="preserve">0.200024</w:t>
              <w:br/>
              <w:t xml:space="preserve">0.207548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0.293235</w:t>
              <w:br/>
              <w:t xml:space="preserve">0.293470</w:t>
            </w:r>
          </w:p>
        </w:tc>
        <w:tc>
          <w:tcPr>
            <w:tcW w:w="2075" w:type="dxa"/>
            <w:shd w:fill="F7F9FC"/>
            <w:vAlign w:val="center"/>
          </w:tcPr>
          <w:p>
            <w:pPr>
              <w:pStyle w:val="TableNumber"/>
            </w:pPr>
            <w:r>
              <w:t xml:space="preserve">78.7801%</w:t>
              <w:br/>
              <w:t xml:space="preserve">80.7632%</w:t>
            </w:r>
          </w:p>
        </w:tc>
        <w:tc>
          <w:tcPr>
            <w:tcW w:w="2200" w:type="dxa"/>
            <w:shd w:fill="F7F9FC"/>
            <w:vAlign w:val="center"/>
          </w:tcPr>
          <w:p>
            <w:pPr>
              <w:pStyle w:val="TableNumber"/>
            </w:pPr>
            <w:r>
              <w:t xml:space="preserve">1.2199</w:t>
              <w:br/>
              <w:t xml:space="preserve">0.7632</w:t>
            </w:r>
          </w:p>
        </w:tc>
        <w:tc>
          <w:tcPr>
            <w:tcW w:w="2360" w:type="dxa"/>
            <w:shd w:fill="F7F9FC"/>
            <w:vAlign w:val="center"/>
          </w:tcPr>
          <w:p>
            <w:pPr>
              <w:pStyle w:val="TableNumber"/>
            </w:pPr>
            <w:r>
              <w:t xml:space="preserve">0.210851</w:t>
              <w:br/>
              <w:t xml:space="preserve">0.222468</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0.292262</w:t>
              <w:br/>
              <w:t xml:space="preserve">0.292301</w:t>
            </w:r>
          </w:p>
        </w:tc>
        <w:tc>
          <w:tcPr>
            <w:tcW w:w="2075" w:type="dxa"/>
            <w:shd w:fill="FFFFFF"/>
            <w:vAlign w:val="center"/>
          </w:tcPr>
          <w:p>
            <w:pPr>
              <w:pStyle w:val="TableNumber"/>
            </w:pPr>
            <w:r>
              <w:t xml:space="preserve">79.3741%</w:t>
              <w:br/>
              <w:t xml:space="preserve">80.7020%</w:t>
            </w:r>
          </w:p>
        </w:tc>
        <w:tc>
          <w:tcPr>
            <w:tcW w:w="2200" w:type="dxa"/>
            <w:shd w:fill="FFFFFF"/>
            <w:vAlign w:val="center"/>
          </w:tcPr>
          <w:p>
            <w:pPr>
              <w:pStyle w:val="TableNumber"/>
            </w:pPr>
            <w:r>
              <w:t xml:space="preserve">0.6259</w:t>
              <w:br/>
              <w:t xml:space="preserve">0.7020</w:t>
            </w:r>
          </w:p>
        </w:tc>
        <w:tc>
          <w:tcPr>
            <w:tcW w:w="2360" w:type="dxa"/>
            <w:shd w:fill="FFFFFF"/>
            <w:vAlign w:val="center"/>
          </w:tcPr>
          <w:p>
            <w:pPr>
              <w:pStyle w:val="TableNumber"/>
            </w:pPr>
            <w:r>
              <w:t xml:space="preserve">0.227006</w:t>
              <w:br/>
              <w:t xml:space="preserve">0.235126</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0.293013</w:t>
              <w:br/>
              <w:t xml:space="preserve">0.293021</w:t>
            </w:r>
          </w:p>
        </w:tc>
        <w:tc>
          <w:tcPr>
            <w:tcW w:w="2075" w:type="dxa"/>
            <w:shd w:fill="F7F9FC"/>
            <w:vAlign w:val="center"/>
          </w:tcPr>
          <w:p>
            <w:pPr>
              <w:pStyle w:val="TableNumber"/>
            </w:pPr>
            <w:r>
              <w:t xml:space="preserve">78.8270%</w:t>
              <w:br/>
              <w:t xml:space="preserve">80.5705%</w:t>
            </w:r>
          </w:p>
        </w:tc>
        <w:tc>
          <w:tcPr>
            <w:tcW w:w="2200" w:type="dxa"/>
            <w:shd w:fill="F7F9FC"/>
            <w:vAlign w:val="center"/>
          </w:tcPr>
          <w:p>
            <w:pPr>
              <w:pStyle w:val="TableNumber"/>
            </w:pPr>
            <w:r>
              <w:t xml:space="preserve">1.1730</w:t>
              <w:br/>
              <w:t xml:space="preserve">0.5705</w:t>
            </w:r>
          </w:p>
        </w:tc>
        <w:tc>
          <w:tcPr>
            <w:tcW w:w="2360" w:type="dxa"/>
            <w:shd w:fill="F7F9FC"/>
            <w:vAlign w:val="center"/>
          </w:tcPr>
          <w:p>
            <w:pPr>
              <w:pStyle w:val="TableNumber"/>
            </w:pPr>
            <w:r>
              <w:t xml:space="preserve">0.236408</w:t>
              <w:br/>
              <w:t xml:space="preserve">0.247709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0.291497</w:t>
              <w:br/>
              <w:t xml:space="preserve">0.291370</w:t>
            </w:r>
          </w:p>
        </w:tc>
        <w:tc>
          <w:tcPr>
            <w:tcW w:w="2075" w:type="dxa"/>
            <w:shd w:fill="FFFFFF"/>
            <w:vAlign w:val="center"/>
          </w:tcPr>
          <w:p>
            <w:pPr>
              <w:pStyle w:val="TableNumber"/>
            </w:pPr>
            <w:r>
              <w:t xml:space="preserve">79.0389%</w:t>
              <w:br/>
              <w:t xml:space="preserve">80.4161%</w:t>
            </w:r>
          </w:p>
        </w:tc>
        <w:tc>
          <w:tcPr>
            <w:tcW w:w="2200" w:type="dxa"/>
            <w:shd w:fill="FFFFFF"/>
            <w:vAlign w:val="center"/>
          </w:tcPr>
          <w:p>
            <w:pPr>
              <w:pStyle w:val="TableNumber"/>
            </w:pPr>
            <w:r>
              <w:t xml:space="preserve">0.9611</w:t>
              <w:br/>
              <w:t xml:space="preserve">0.4161</w:t>
            </w:r>
          </w:p>
        </w:tc>
        <w:tc>
          <w:tcPr>
            <w:tcW w:w="2360" w:type="dxa"/>
            <w:shd w:fill="FFFFFF"/>
            <w:vAlign w:val="center"/>
          </w:tcPr>
          <w:p>
            <w:pPr>
              <w:pStyle w:val="TableNumber"/>
            </w:pPr>
            <w:r>
              <w:t xml:space="preserve">0.250738</w:t>
              <w:br/>
              <w:t xml:space="preserve">0.259425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0.290314</w:t>
              <w:br/>
              <w:t xml:space="preserve">0.290340</w:t>
            </w:r>
          </w:p>
        </w:tc>
        <w:tc>
          <w:tcPr>
            <w:tcW w:w="2075" w:type="dxa"/>
            <w:shd w:fill="F7F9FC"/>
            <w:vAlign w:val="center"/>
          </w:tcPr>
          <w:p>
            <w:pPr>
              <w:pStyle w:val="TableNumber"/>
            </w:pPr>
            <w:r>
              <w:t xml:space="preserve">78.8893%</w:t>
              <w:br/>
              <w:t xml:space="preserve">80.6326%</w:t>
            </w:r>
          </w:p>
        </w:tc>
        <w:tc>
          <w:tcPr>
            <w:tcW w:w="2200" w:type="dxa"/>
            <w:shd w:fill="F7F9FC"/>
            <w:vAlign w:val="center"/>
          </w:tcPr>
          <w:p>
            <w:pPr>
              <w:pStyle w:val="TableNumber"/>
            </w:pPr>
            <w:r>
              <w:t xml:space="preserve">1.1107</w:t>
              <w:br/>
              <w:t xml:space="preserve">0.6326</w:t>
            </w:r>
          </w:p>
        </w:tc>
        <w:tc>
          <w:tcPr>
            <w:tcW w:w="2360" w:type="dxa"/>
            <w:shd w:fill="F7F9FC"/>
            <w:vAlign w:val="center"/>
          </w:tcPr>
          <w:p>
            <w:pPr>
              <w:pStyle w:val="TableNumber"/>
            </w:pPr>
            <w:r>
              <w:t xml:space="preserve">0.262144</w:t>
              <w:br/>
              <w:t xml:space="preserve">0.274269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0.291669</w:t>
              <w:br/>
              <w:t xml:space="preserve">0.291545</w:t>
            </w:r>
          </w:p>
        </w:tc>
        <w:tc>
          <w:tcPr>
            <w:tcW w:w="2075" w:type="dxa"/>
            <w:shd w:fill="FFFFFF"/>
            <w:vAlign w:val="center"/>
          </w:tcPr>
          <w:p>
            <w:pPr>
              <w:pStyle w:val="TableNumber"/>
            </w:pPr>
            <w:r>
              <w:t xml:space="preserve">79.0000%</w:t>
              <w:br/>
              <w:t xml:space="preserve">80.5639%</w:t>
            </w:r>
          </w:p>
        </w:tc>
        <w:tc>
          <w:tcPr>
            <w:tcW w:w="2200" w:type="dxa"/>
            <w:shd w:fill="FFFFFF"/>
            <w:vAlign w:val="center"/>
          </w:tcPr>
          <w:p>
            <w:pPr>
              <w:pStyle w:val="TableNumber"/>
            </w:pPr>
            <w:r>
              <w:t xml:space="preserve">1.0000</w:t>
              <w:br/>
              <w:t xml:space="preserve">0.5639</w:t>
            </w:r>
          </w:p>
        </w:tc>
        <w:tc>
          <w:tcPr>
            <w:tcW w:w="2360" w:type="dxa"/>
            <w:shd w:fill="FFFFFF"/>
            <w:vAlign w:val="center"/>
          </w:tcPr>
          <w:p>
            <w:pPr>
              <w:pStyle w:val="TableNumber"/>
            </w:pPr>
            <w:r>
              <w:t xml:space="preserve">0.274070</w:t>
              <w:br/>
              <w:t xml:space="preserve">0.284823</w:t>
            </w:r>
          </w:p>
        </w:tc>
      </w:tr>
    </w:tbl>
    <w:p>
      <w:pPr>
        <w:pStyle w:val="a"/>
        <w:spacing w:before="160"/>
      </w:pPr>
      <w:r>
        <w:t xml:space="preserve">US all-horizon coverage 79.4127% → 80.6468%; normalized pinball 0.291245 → 0.291265.</w:t>
      </w:r>
    </w:p>
    <w:p>
      <w:pPr>
        <w:pStyle w:val="Decision"/>
      </w:pPr>
      <w:r>
        <w:t xml:space="preserve">Table 10b | 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0.281697</w:t>
              <w:br/>
              <w:t xml:space="preserve">0.279246</w:t>
            </w:r>
          </w:p>
        </w:tc>
        <w:tc>
          <w:tcPr>
            <w:tcW w:w="2075" w:type="dxa"/>
            <w:shd w:fill="FFFFFF"/>
            <w:vAlign w:val="center"/>
          </w:tcPr>
          <w:p>
            <w:pPr>
              <w:pStyle w:val="TableNumber"/>
            </w:pPr>
            <w:r>
              <w:t xml:space="preserve">70.1051%</w:t>
              <w:br/>
              <w:t xml:space="preserve">74.3200%</w:t>
            </w:r>
          </w:p>
        </w:tc>
        <w:tc>
          <w:tcPr>
            <w:tcW w:w="2200" w:type="dxa"/>
            <w:shd w:fill="FFFFFF"/>
            <w:vAlign w:val="center"/>
          </w:tcPr>
          <w:p>
            <w:pPr>
              <w:pStyle w:val="TableNumber"/>
            </w:pPr>
            <w:r>
              <w:t xml:space="preserve">9.8949</w:t>
              <w:br/>
              <w:t xml:space="preserve">5.6800</w:t>
            </w:r>
          </w:p>
        </w:tc>
        <w:tc>
          <w:tcPr>
            <w:tcW w:w="2360" w:type="dxa"/>
            <w:shd w:fill="FFFFFF"/>
            <w:vAlign w:val="center"/>
          </w:tcPr>
          <w:p>
            <w:pPr>
              <w:pStyle w:val="TableNumber"/>
            </w:pPr>
            <w:r>
              <w:t xml:space="preserve">0.152119</w:t>
              <w:br/>
              <w:t xml:space="preserve">0.165114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0.290397</w:t>
              <w:br/>
              <w:t xml:space="preserve">0.289746</w:t>
            </w:r>
          </w:p>
        </w:tc>
        <w:tc>
          <w:tcPr>
            <w:tcW w:w="2075" w:type="dxa"/>
            <w:shd w:fill="F7F9FC"/>
            <w:vAlign w:val="center"/>
          </w:tcPr>
          <w:p>
            <w:pPr>
              <w:pStyle w:val="TableNumber"/>
            </w:pPr>
            <w:r>
              <w:t xml:space="preserve">72.0658%</w:t>
              <w:br/>
              <w:t xml:space="preserve">73.7905%</w:t>
            </w:r>
          </w:p>
        </w:tc>
        <w:tc>
          <w:tcPr>
            <w:tcW w:w="2200" w:type="dxa"/>
            <w:shd w:fill="F7F9FC"/>
            <w:vAlign w:val="center"/>
          </w:tcPr>
          <w:p>
            <w:pPr>
              <w:pStyle w:val="TableNumber"/>
            </w:pPr>
            <w:r>
              <w:t xml:space="preserve">7.9342</w:t>
              <w:br/>
              <w:t xml:space="preserve">6.2095</w:t>
            </w:r>
          </w:p>
        </w:tc>
        <w:tc>
          <w:tcPr>
            <w:tcW w:w="2360" w:type="dxa"/>
            <w:shd w:fill="F7F9FC"/>
            <w:vAlign w:val="center"/>
          </w:tcPr>
          <w:p>
            <w:pPr>
              <w:pStyle w:val="TableNumber"/>
            </w:pPr>
            <w:r>
              <w:t xml:space="preserve">0.053836</w:t>
              <w:br/>
              <w:t xml:space="preserve">0.056464</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0.284963</w:t>
              <w:br/>
              <w:t xml:space="preserve">0.283094</w:t>
            </w:r>
          </w:p>
        </w:tc>
        <w:tc>
          <w:tcPr>
            <w:tcW w:w="2075" w:type="dxa"/>
            <w:shd w:fill="FFFFFF"/>
            <w:vAlign w:val="center"/>
          </w:tcPr>
          <w:p>
            <w:pPr>
              <w:pStyle w:val="TableNumber"/>
            </w:pPr>
            <w:r>
              <w:t xml:space="preserve">71.5145%</w:t>
              <w:br/>
              <w:t xml:space="preserve">74.9641%</w:t>
            </w:r>
          </w:p>
        </w:tc>
        <w:tc>
          <w:tcPr>
            <w:tcW w:w="2200" w:type="dxa"/>
            <w:shd w:fill="FFFFFF"/>
            <w:vAlign w:val="center"/>
          </w:tcPr>
          <w:p>
            <w:pPr>
              <w:pStyle w:val="TableNumber"/>
            </w:pPr>
            <w:r>
              <w:t xml:space="preserve">8.4855</w:t>
              <w:br/>
              <w:t xml:space="preserve">5.0359</w:t>
            </w:r>
          </w:p>
        </w:tc>
        <w:tc>
          <w:tcPr>
            <w:tcW w:w="2360" w:type="dxa"/>
            <w:shd w:fill="FFFFFF"/>
            <w:vAlign w:val="center"/>
          </w:tcPr>
          <w:p>
            <w:pPr>
              <w:pStyle w:val="TableNumber"/>
            </w:pPr>
            <w:r>
              <w:t xml:space="preserve">0.077935</w:t>
              <w:br/>
              <w:t xml:space="preserve">0.084709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0.284318</w:t>
              <w:br/>
              <w:t xml:space="preserve">0.282684</w:t>
            </w:r>
          </w:p>
        </w:tc>
        <w:tc>
          <w:tcPr>
            <w:tcW w:w="2075" w:type="dxa"/>
            <w:shd w:fill="F7F9FC"/>
            <w:vAlign w:val="center"/>
          </w:tcPr>
          <w:p>
            <w:pPr>
              <w:pStyle w:val="TableNumber"/>
            </w:pPr>
            <w:r>
              <w:t xml:space="preserve">72.0342%</w:t>
              <w:br/>
              <w:t xml:space="preserve">75.2752%</w:t>
            </w:r>
          </w:p>
        </w:tc>
        <w:tc>
          <w:tcPr>
            <w:tcW w:w="2200" w:type="dxa"/>
            <w:shd w:fill="F7F9FC"/>
            <w:vAlign w:val="center"/>
          </w:tcPr>
          <w:p>
            <w:pPr>
              <w:pStyle w:val="TableNumber"/>
            </w:pPr>
            <w:r>
              <w:t xml:space="preserve">7.9658</w:t>
              <w:br/>
              <w:t xml:space="preserve">4.7248</w:t>
            </w:r>
          </w:p>
        </w:tc>
        <w:tc>
          <w:tcPr>
            <w:tcW w:w="2360" w:type="dxa"/>
            <w:shd w:fill="F7F9FC"/>
            <w:vAlign w:val="center"/>
          </w:tcPr>
          <w:p>
            <w:pPr>
              <w:pStyle w:val="TableNumber"/>
            </w:pPr>
            <w:r>
              <w:t xml:space="preserve">0.097587</w:t>
              <w:br/>
              <w:t xml:space="preserve">0.105361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0.280675</w:t>
              <w:br/>
              <w:t xml:space="preserve">0.279077</w:t>
            </w:r>
          </w:p>
        </w:tc>
        <w:tc>
          <w:tcPr>
            <w:tcW w:w="2075" w:type="dxa"/>
            <w:shd w:fill="FFFFFF"/>
            <w:vAlign w:val="center"/>
          </w:tcPr>
          <w:p>
            <w:pPr>
              <w:pStyle w:val="TableNumber"/>
            </w:pPr>
            <w:r>
              <w:t xml:space="preserve">72.0247%</w:t>
              <w:br/>
              <w:t xml:space="preserve">75.1110%</w:t>
            </w:r>
          </w:p>
        </w:tc>
        <w:tc>
          <w:tcPr>
            <w:tcW w:w="2200" w:type="dxa"/>
            <w:shd w:fill="FFFFFF"/>
            <w:vAlign w:val="center"/>
          </w:tcPr>
          <w:p>
            <w:pPr>
              <w:pStyle w:val="TableNumber"/>
            </w:pPr>
            <w:r>
              <w:t xml:space="preserve">7.9753</w:t>
              <w:br/>
              <w:t xml:space="preserve">4.8890</w:t>
            </w:r>
          </w:p>
        </w:tc>
        <w:tc>
          <w:tcPr>
            <w:tcW w:w="2360" w:type="dxa"/>
            <w:shd w:fill="FFFFFF"/>
            <w:vAlign w:val="center"/>
          </w:tcPr>
          <w:p>
            <w:pPr>
              <w:pStyle w:val="TableNumber"/>
            </w:pPr>
            <w:r>
              <w:t xml:space="preserve">0.114433</w:t>
              <w:br/>
              <w:t xml:space="preserve">0.122838</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0.277488</w:t>
              <w:br/>
              <w:t xml:space="preserve">0.275603</w:t>
            </w:r>
          </w:p>
        </w:tc>
        <w:tc>
          <w:tcPr>
            <w:tcW w:w="2075" w:type="dxa"/>
            <w:shd w:fill="F7F9FC"/>
            <w:vAlign w:val="center"/>
          </w:tcPr>
          <w:p>
            <w:pPr>
              <w:pStyle w:val="TableNumber"/>
            </w:pPr>
            <w:r>
              <w:t xml:space="preserve">71.3866%</w:t>
              <w:br/>
              <w:t xml:space="preserve">75.0778%</w:t>
            </w:r>
          </w:p>
        </w:tc>
        <w:tc>
          <w:tcPr>
            <w:tcW w:w="2200" w:type="dxa"/>
            <w:shd w:fill="F7F9FC"/>
            <w:vAlign w:val="center"/>
          </w:tcPr>
          <w:p>
            <w:pPr>
              <w:pStyle w:val="TableNumber"/>
            </w:pPr>
            <w:r>
              <w:t xml:space="preserve">8.6134</w:t>
              <w:br/>
              <w:t xml:space="preserve">4.9222</w:t>
            </w:r>
          </w:p>
        </w:tc>
        <w:tc>
          <w:tcPr>
            <w:tcW w:w="2360" w:type="dxa"/>
            <w:shd w:fill="F7F9FC"/>
            <w:vAlign w:val="center"/>
          </w:tcPr>
          <w:p>
            <w:pPr>
              <w:pStyle w:val="TableNumber"/>
            </w:pPr>
            <w:r>
              <w:t xml:space="preserve">0.127692</w:t>
              <w:br/>
              <w:t xml:space="preserve">0.138262</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0.278787</w:t>
              <w:br/>
              <w:t xml:space="preserve">0.276770</w:t>
            </w:r>
          </w:p>
        </w:tc>
        <w:tc>
          <w:tcPr>
            <w:tcW w:w="2075" w:type="dxa"/>
            <w:shd w:fill="FFFFFF"/>
            <w:vAlign w:val="center"/>
          </w:tcPr>
          <w:p>
            <w:pPr>
              <w:pStyle w:val="TableNumber"/>
            </w:pPr>
            <w:r>
              <w:t xml:space="preserve">70.9112%</w:t>
              <w:br/>
              <w:t xml:space="preserve">74.9925%</w:t>
            </w:r>
          </w:p>
        </w:tc>
        <w:tc>
          <w:tcPr>
            <w:tcW w:w="2200" w:type="dxa"/>
            <w:shd w:fill="FFFFFF"/>
            <w:vAlign w:val="center"/>
          </w:tcPr>
          <w:p>
            <w:pPr>
              <w:pStyle w:val="TableNumber"/>
            </w:pPr>
            <w:r>
              <w:t xml:space="preserve">9.0888</w:t>
              <w:br/>
              <w:t xml:space="preserve">5.0075</w:t>
            </w:r>
          </w:p>
        </w:tc>
        <w:tc>
          <w:tcPr>
            <w:tcW w:w="2360" w:type="dxa"/>
            <w:shd w:fill="FFFFFF"/>
            <w:vAlign w:val="center"/>
          </w:tcPr>
          <w:p>
            <w:pPr>
              <w:pStyle w:val="TableNumber"/>
            </w:pPr>
            <w:r>
              <w:t xml:space="preserve">0.141905</w:t>
              <w:br/>
              <w:t xml:space="preserve">0.153929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0.278463</w:t>
              <w:br/>
              <w:t xml:space="preserve">0.276230</w:t>
            </w:r>
          </w:p>
        </w:tc>
        <w:tc>
          <w:tcPr>
            <w:tcW w:w="2075" w:type="dxa"/>
            <w:shd w:fill="F7F9FC"/>
            <w:vAlign w:val="center"/>
          </w:tcPr>
          <w:p>
            <w:pPr>
              <w:pStyle w:val="TableNumber"/>
            </w:pPr>
            <w:r>
              <w:t xml:space="preserve">70.1799%</w:t>
              <w:br/>
              <w:t xml:space="preserve">74.2802%</w:t>
            </w:r>
          </w:p>
        </w:tc>
        <w:tc>
          <w:tcPr>
            <w:tcW w:w="2200" w:type="dxa"/>
            <w:shd w:fill="F7F9FC"/>
            <w:vAlign w:val="center"/>
          </w:tcPr>
          <w:p>
            <w:pPr>
              <w:pStyle w:val="TableNumber"/>
            </w:pPr>
            <w:r>
              <w:t xml:space="preserve">9.8201</w:t>
              <w:br/>
              <w:t xml:space="preserve">5.7198</w:t>
            </w:r>
          </w:p>
        </w:tc>
        <w:tc>
          <w:tcPr>
            <w:tcW w:w="2360" w:type="dxa"/>
            <w:shd w:fill="F7F9FC"/>
            <w:vAlign w:val="center"/>
          </w:tcPr>
          <w:p>
            <w:pPr>
              <w:pStyle w:val="TableNumber"/>
            </w:pPr>
            <w:r>
              <w:t xml:space="preserve">0.153116</w:t>
              <w:br/>
              <w:t xml:space="preserve">0.165545</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0.278320</w:t>
              <w:br/>
              <w:t xml:space="preserve">0.275831</w:t>
            </w:r>
          </w:p>
        </w:tc>
        <w:tc>
          <w:tcPr>
            <w:tcW w:w="2075" w:type="dxa"/>
            <w:shd w:fill="FFFFFF"/>
            <w:vAlign w:val="center"/>
          </w:tcPr>
          <w:p>
            <w:pPr>
              <w:pStyle w:val="TableNumber"/>
            </w:pPr>
            <w:r>
              <w:t xml:space="preserve">69.7914%</w:t>
              <w:br/>
              <w:t xml:space="preserve">74.5929%</w:t>
            </w:r>
          </w:p>
        </w:tc>
        <w:tc>
          <w:tcPr>
            <w:tcW w:w="2200" w:type="dxa"/>
            <w:shd w:fill="FFFFFF"/>
            <w:vAlign w:val="center"/>
          </w:tcPr>
          <w:p>
            <w:pPr>
              <w:pStyle w:val="TableNumber"/>
            </w:pPr>
            <w:r>
              <w:t xml:space="preserve">10.2086</w:t>
              <w:br/>
              <w:t xml:space="preserve">5.4071</w:t>
            </w:r>
          </w:p>
        </w:tc>
        <w:tc>
          <w:tcPr>
            <w:tcW w:w="2360" w:type="dxa"/>
            <w:shd w:fill="FFFFFF"/>
            <w:vAlign w:val="center"/>
          </w:tcPr>
          <w:p>
            <w:pPr>
              <w:pStyle w:val="TableNumber"/>
            </w:pPr>
            <w:r>
              <w:t xml:space="preserve">0.165064</w:t>
              <w:br/>
              <w:t xml:space="preserve">0.179370</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0.280512</w:t>
              <w:br/>
              <w:t xml:space="preserve">0.277623</w:t>
            </w:r>
          </w:p>
        </w:tc>
        <w:tc>
          <w:tcPr>
            <w:tcW w:w="2075" w:type="dxa"/>
            <w:shd w:fill="F7F9FC"/>
            <w:vAlign w:val="center"/>
          </w:tcPr>
          <w:p>
            <w:pPr>
              <w:pStyle w:val="TableNumber"/>
            </w:pPr>
            <w:r>
              <w:t xml:space="preserve">69.0301%</w:t>
              <w:br/>
              <w:t xml:space="preserve">73.9611%</w:t>
            </w:r>
          </w:p>
        </w:tc>
        <w:tc>
          <w:tcPr>
            <w:tcW w:w="2200" w:type="dxa"/>
            <w:shd w:fill="F7F9FC"/>
            <w:vAlign w:val="center"/>
          </w:tcPr>
          <w:p>
            <w:pPr>
              <w:pStyle w:val="TableNumber"/>
            </w:pPr>
            <w:r>
              <w:t xml:space="preserve">10.9699</w:t>
              <w:br/>
              <w:t xml:space="preserve">6.0389</w:t>
            </w:r>
          </w:p>
        </w:tc>
        <w:tc>
          <w:tcPr>
            <w:tcW w:w="2360" w:type="dxa"/>
            <w:shd w:fill="F7F9FC"/>
            <w:vAlign w:val="center"/>
          </w:tcPr>
          <w:p>
            <w:pPr>
              <w:pStyle w:val="TableNumber"/>
            </w:pPr>
            <w:r>
              <w:t xml:space="preserve">0.174617</w:t>
              <w:br/>
              <w:t xml:space="preserve">0.190409</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0.279703</w:t>
              <w:br/>
              <w:t xml:space="preserve">0.277163</w:t>
            </w:r>
          </w:p>
        </w:tc>
        <w:tc>
          <w:tcPr>
            <w:tcW w:w="2075" w:type="dxa"/>
            <w:shd w:fill="FFFFFF"/>
            <w:vAlign w:val="center"/>
          </w:tcPr>
          <w:p>
            <w:pPr>
              <w:pStyle w:val="TableNumber"/>
            </w:pPr>
            <w:r>
              <w:t xml:space="preserve">69.8435%</w:t>
              <w:br/>
              <w:t xml:space="preserve">74.0954%</w:t>
            </w:r>
          </w:p>
        </w:tc>
        <w:tc>
          <w:tcPr>
            <w:tcW w:w="2200" w:type="dxa"/>
            <w:shd w:fill="FFFFFF"/>
            <w:vAlign w:val="center"/>
          </w:tcPr>
          <w:p>
            <w:pPr>
              <w:pStyle w:val="TableNumber"/>
            </w:pPr>
            <w:r>
              <w:t xml:space="preserve">10.1565</w:t>
              <w:br/>
              <w:t xml:space="preserve">5.9046</w:t>
            </w:r>
          </w:p>
        </w:tc>
        <w:tc>
          <w:tcPr>
            <w:tcW w:w="2360" w:type="dxa"/>
            <w:shd w:fill="FFFFFF"/>
            <w:vAlign w:val="center"/>
          </w:tcPr>
          <w:p>
            <w:pPr>
              <w:pStyle w:val="TableNumber"/>
            </w:pPr>
            <w:r>
              <w:t xml:space="preserve">0.187321</w:t>
              <w:br/>
              <w:t xml:space="preserve">0.202767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0.282251</w:t>
              <w:br/>
              <w:t xml:space="preserve">0.278912</w:t>
            </w:r>
          </w:p>
        </w:tc>
        <w:tc>
          <w:tcPr>
            <w:tcW w:w="2075" w:type="dxa"/>
            <w:shd w:fill="F7F9FC"/>
            <w:vAlign w:val="center"/>
          </w:tcPr>
          <w:p>
            <w:pPr>
              <w:pStyle w:val="TableNumber"/>
            </w:pPr>
            <w:r>
              <w:t xml:space="preserve">68.5689%</w:t>
              <w:br/>
              <w:t xml:space="preserve">73.8126%</w:t>
            </w:r>
          </w:p>
        </w:tc>
        <w:tc>
          <w:tcPr>
            <w:tcW w:w="2200" w:type="dxa"/>
            <w:shd w:fill="F7F9FC"/>
            <w:vAlign w:val="center"/>
          </w:tcPr>
          <w:p>
            <w:pPr>
              <w:pStyle w:val="TableNumber"/>
            </w:pPr>
            <w:r>
              <w:t xml:space="preserve">11.4311</w:t>
              <w:br/>
              <w:t xml:space="preserve">6.1874</w:t>
            </w:r>
          </w:p>
        </w:tc>
        <w:tc>
          <w:tcPr>
            <w:tcW w:w="2360" w:type="dxa"/>
            <w:shd w:fill="F7F9FC"/>
            <w:vAlign w:val="center"/>
          </w:tcPr>
          <w:p>
            <w:pPr>
              <w:pStyle w:val="TableNumber"/>
            </w:pPr>
            <w:r>
              <w:t xml:space="preserve">0.194495</w:t>
              <w:br/>
              <w:t xml:space="preserve">0.212696</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0.281745</w:t>
              <w:br/>
              <w:t xml:space="preserve">0.278167</w:t>
            </w:r>
          </w:p>
        </w:tc>
        <w:tc>
          <w:tcPr>
            <w:tcW w:w="2075" w:type="dxa"/>
            <w:shd w:fill="FFFFFF"/>
            <w:vAlign w:val="center"/>
          </w:tcPr>
          <w:p>
            <w:pPr>
              <w:pStyle w:val="TableNumber"/>
            </w:pPr>
            <w:r>
              <w:t xml:space="preserve">68.0950%</w:t>
              <w:br/>
              <w:t xml:space="preserve">73.6089%</w:t>
            </w:r>
          </w:p>
        </w:tc>
        <w:tc>
          <w:tcPr>
            <w:tcW w:w="2200" w:type="dxa"/>
            <w:shd w:fill="FFFFFF"/>
            <w:vAlign w:val="center"/>
          </w:tcPr>
          <w:p>
            <w:pPr>
              <w:pStyle w:val="TableNumber"/>
            </w:pPr>
            <w:r>
              <w:t xml:space="preserve">11.9050</w:t>
              <w:br/>
              <w:t xml:space="preserve">6.3911</w:t>
            </w:r>
          </w:p>
        </w:tc>
        <w:tc>
          <w:tcPr>
            <w:tcW w:w="2360" w:type="dxa"/>
            <w:shd w:fill="FFFFFF"/>
            <w:vAlign w:val="center"/>
          </w:tcPr>
          <w:p>
            <w:pPr>
              <w:pStyle w:val="TableNumber"/>
            </w:pPr>
            <w:r>
              <w:t xml:space="preserve">0.203756</w:t>
              <w:br/>
              <w:t xml:space="preserve">0.223025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0.281537</w:t>
              <w:br/>
              <w:t xml:space="preserve">0.277707</w:t>
            </w:r>
          </w:p>
        </w:tc>
        <w:tc>
          <w:tcPr>
            <w:tcW w:w="2075" w:type="dxa"/>
            <w:shd w:fill="F7F9FC"/>
            <w:vAlign w:val="center"/>
          </w:tcPr>
          <w:p>
            <w:pPr>
              <w:pStyle w:val="TableNumber"/>
            </w:pPr>
            <w:r>
              <w:t xml:space="preserve">67.9086%</w:t>
              <w:br/>
              <w:t xml:space="preserve">73.5268%</w:t>
            </w:r>
          </w:p>
        </w:tc>
        <w:tc>
          <w:tcPr>
            <w:tcW w:w="2200" w:type="dxa"/>
            <w:shd w:fill="F7F9FC"/>
            <w:vAlign w:val="center"/>
          </w:tcPr>
          <w:p>
            <w:pPr>
              <w:pStyle w:val="TableNumber"/>
            </w:pPr>
            <w:r>
              <w:t xml:space="preserve">12.0914</w:t>
              <w:br/>
              <w:t xml:space="preserve">6.4732</w:t>
            </w:r>
          </w:p>
        </w:tc>
        <w:tc>
          <w:tcPr>
            <w:tcW w:w="2360" w:type="dxa"/>
            <w:shd w:fill="F7F9FC"/>
            <w:vAlign w:val="center"/>
          </w:tcPr>
          <w:p>
            <w:pPr>
              <w:pStyle w:val="TableNumber"/>
            </w:pPr>
            <w:r>
              <w:t xml:space="preserve">0.213579</w:t>
              <w:br/>
              <w:t xml:space="preserve">0.233060</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0.284600</w:t>
              <w:br/>
              <w:t xml:space="preserve">0.280834</w:t>
            </w:r>
          </w:p>
        </w:tc>
        <w:tc>
          <w:tcPr>
            <w:tcW w:w="2075" w:type="dxa"/>
            <w:shd w:fill="FFFFFF"/>
            <w:vAlign w:val="center"/>
          </w:tcPr>
          <w:p>
            <w:pPr>
              <w:pStyle w:val="TableNumber"/>
            </w:pPr>
            <w:r>
              <w:t xml:space="preserve">68.1171%</w:t>
              <w:br/>
              <w:t xml:space="preserve">73.3909%</w:t>
            </w:r>
          </w:p>
        </w:tc>
        <w:tc>
          <w:tcPr>
            <w:tcW w:w="2200" w:type="dxa"/>
            <w:shd w:fill="FFFFFF"/>
            <w:vAlign w:val="center"/>
          </w:tcPr>
          <w:p>
            <w:pPr>
              <w:pStyle w:val="TableNumber"/>
            </w:pPr>
            <w:r>
              <w:t xml:space="preserve">11.8829</w:t>
              <w:br/>
              <w:t xml:space="preserve">6.6091</w:t>
            </w:r>
          </w:p>
        </w:tc>
        <w:tc>
          <w:tcPr>
            <w:tcW w:w="2360" w:type="dxa"/>
            <w:shd w:fill="FFFFFF"/>
            <w:vAlign w:val="center"/>
          </w:tcPr>
          <w:p>
            <w:pPr>
              <w:pStyle w:val="TableNumber"/>
            </w:pPr>
            <w:r>
              <w:t xml:space="preserve">0.224330</w:t>
              <w:br/>
              <w:t xml:space="preserve">0.243161</w:t>
            </w:r>
          </w:p>
        </w:tc>
      </w:tr>
    </w:tbl>
    <w:p>
      <w:pPr>
        <w:pStyle w:val="a"/>
        <w:spacing w:before="160"/>
      </w:pPr>
      <w:r>
        <w:t xml:space="preserve">TWSE all-horizon coverage 70.1051% → 74.3200%; normalized pinball 0.281697 → 0.279246.</w:t>
      </w:r>
    </w:p>
    <w:p>
      <w:pPr>
        <w:pStyle w:val="Decision"/>
      </w:pPr>
      <w:r>
        <w:t xml:space="preserve">Table 10c | 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0.316772</w:t>
              <w:br/>
              <w:t xml:space="preserve">0.315218</w:t>
            </w:r>
          </w:p>
        </w:tc>
        <w:tc>
          <w:tcPr>
            <w:tcW w:w="2075" w:type="dxa"/>
            <w:shd w:fill="FFFFFF"/>
            <w:vAlign w:val="center"/>
          </w:tcPr>
          <w:p>
            <w:pPr>
              <w:pStyle w:val="TableNumber"/>
            </w:pPr>
            <w:r>
              <w:t xml:space="preserve">70.7311%</w:t>
              <w:br/>
              <w:t xml:space="preserve">73.2069%</w:t>
            </w:r>
          </w:p>
        </w:tc>
        <w:tc>
          <w:tcPr>
            <w:tcW w:w="2200" w:type="dxa"/>
            <w:shd w:fill="FFFFFF"/>
            <w:vAlign w:val="center"/>
          </w:tcPr>
          <w:p>
            <w:pPr>
              <w:pStyle w:val="TableNumber"/>
            </w:pPr>
            <w:r>
              <w:t xml:space="preserve">9.2689</w:t>
              <w:br/>
              <w:t xml:space="preserve">6.7931</w:t>
            </w:r>
          </w:p>
        </w:tc>
        <w:tc>
          <w:tcPr>
            <w:tcW w:w="2360" w:type="dxa"/>
            <w:shd w:fill="FFFFFF"/>
            <w:vAlign w:val="center"/>
          </w:tcPr>
          <w:p>
            <w:pPr>
              <w:pStyle w:val="TableNumber"/>
            </w:pPr>
            <w:r>
              <w:t xml:space="preserve">0.173344</w:t>
              <w:br/>
              <w:t xml:space="preserve">0.185805</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0.326694</w:t>
              <w:br/>
              <w:t xml:space="preserve">0.325751</w:t>
            </w:r>
          </w:p>
        </w:tc>
        <w:tc>
          <w:tcPr>
            <w:tcW w:w="2075" w:type="dxa"/>
            <w:shd w:fill="F7F9FC"/>
            <w:vAlign w:val="center"/>
          </w:tcPr>
          <w:p>
            <w:pPr>
              <w:pStyle w:val="TableNumber"/>
            </w:pPr>
            <w:r>
              <w:t xml:space="preserve">72.4948%</w:t>
              <w:br/>
              <w:t xml:space="preserve">74.0738%</w:t>
            </w:r>
          </w:p>
        </w:tc>
        <w:tc>
          <w:tcPr>
            <w:tcW w:w="2200" w:type="dxa"/>
            <w:shd w:fill="F7F9FC"/>
            <w:vAlign w:val="center"/>
          </w:tcPr>
          <w:p>
            <w:pPr>
              <w:pStyle w:val="TableNumber"/>
            </w:pPr>
            <w:r>
              <w:t xml:space="preserve">7.5052</w:t>
              <w:br/>
              <w:t xml:space="preserve">5.9262</w:t>
            </w:r>
          </w:p>
        </w:tc>
        <w:tc>
          <w:tcPr>
            <w:tcW w:w="2360" w:type="dxa"/>
            <w:shd w:fill="F7F9FC"/>
            <w:vAlign w:val="center"/>
          </w:tcPr>
          <w:p>
            <w:pPr>
              <w:pStyle w:val="TableNumber"/>
            </w:pPr>
            <w:r>
              <w:t xml:space="preserve">0.061461</w:t>
              <w:br/>
              <w:t xml:space="preserve">0.064186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0.320552</w:t>
              <w:br/>
              <w:t xml:space="preserve">0.319203</w:t>
            </w:r>
          </w:p>
        </w:tc>
        <w:tc>
          <w:tcPr>
            <w:tcW w:w="2075" w:type="dxa"/>
            <w:shd w:fill="FFFFFF"/>
            <w:vAlign w:val="center"/>
          </w:tcPr>
          <w:p>
            <w:pPr>
              <w:pStyle w:val="TableNumber"/>
            </w:pPr>
            <w:r>
              <w:t xml:space="preserve">71.7213%</w:t>
              <w:br/>
              <w:t xml:space="preserve">73.5336%</w:t>
            </w:r>
          </w:p>
        </w:tc>
        <w:tc>
          <w:tcPr>
            <w:tcW w:w="2200" w:type="dxa"/>
            <w:shd w:fill="FFFFFF"/>
            <w:vAlign w:val="center"/>
          </w:tcPr>
          <w:p>
            <w:pPr>
              <w:pStyle w:val="TableNumber"/>
            </w:pPr>
            <w:r>
              <w:t xml:space="preserve">8.2787</w:t>
              <w:br/>
              <w:t xml:space="preserve">6.4664</w:t>
            </w:r>
          </w:p>
        </w:tc>
        <w:tc>
          <w:tcPr>
            <w:tcW w:w="2360" w:type="dxa"/>
            <w:shd w:fill="FFFFFF"/>
            <w:vAlign w:val="center"/>
          </w:tcPr>
          <w:p>
            <w:pPr>
              <w:pStyle w:val="TableNumber"/>
            </w:pPr>
            <w:r>
              <w:t xml:space="preserve">0.088987</w:t>
              <w:br/>
              <w:t xml:space="preserve">0.094137</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0.318258</w:t>
              <w:br/>
              <w:t xml:space="preserve">0.317196</w:t>
            </w:r>
          </w:p>
        </w:tc>
        <w:tc>
          <w:tcPr>
            <w:tcW w:w="2075" w:type="dxa"/>
            <w:shd w:fill="F7F9FC"/>
            <w:vAlign w:val="center"/>
          </w:tcPr>
          <w:p>
            <w:pPr>
              <w:pStyle w:val="TableNumber"/>
            </w:pPr>
            <w:r>
              <w:t xml:space="preserve">71.8012%</w:t>
              <w:br/>
              <w:t xml:space="preserve">73.5336%</w:t>
            </w:r>
          </w:p>
        </w:tc>
        <w:tc>
          <w:tcPr>
            <w:tcW w:w="2200" w:type="dxa"/>
            <w:shd w:fill="F7F9FC"/>
            <w:vAlign w:val="center"/>
          </w:tcPr>
          <w:p>
            <w:pPr>
              <w:pStyle w:val="TableNumber"/>
            </w:pPr>
            <w:r>
              <w:t xml:space="preserve">8.1988</w:t>
              <w:br/>
              <w:t xml:space="preserve">6.4664</w:t>
            </w:r>
          </w:p>
        </w:tc>
        <w:tc>
          <w:tcPr>
            <w:tcW w:w="2360" w:type="dxa"/>
            <w:shd w:fill="F7F9FC"/>
            <w:vAlign w:val="center"/>
          </w:tcPr>
          <w:p>
            <w:pPr>
              <w:pStyle w:val="TableNumber"/>
            </w:pPr>
            <w:r>
              <w:t xml:space="preserve">0.111049</w:t>
              <w:br/>
              <w:t xml:space="preserve">0.117381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0.315648</w:t>
              <w:br/>
              <w:t xml:space="preserve">0.314634</w:t>
            </w:r>
          </w:p>
        </w:tc>
        <w:tc>
          <w:tcPr>
            <w:tcW w:w="2075" w:type="dxa"/>
            <w:shd w:fill="FFFFFF"/>
            <w:vAlign w:val="center"/>
          </w:tcPr>
          <w:p>
            <w:pPr>
              <w:pStyle w:val="TableNumber"/>
            </w:pPr>
            <w:r>
              <w:t xml:space="preserve">72.1528%</w:t>
              <w:br/>
              <w:t xml:space="preserve">73.7062%</w:t>
            </w:r>
          </w:p>
        </w:tc>
        <w:tc>
          <w:tcPr>
            <w:tcW w:w="2200" w:type="dxa"/>
            <w:shd w:fill="FFFFFF"/>
            <w:vAlign w:val="center"/>
          </w:tcPr>
          <w:p>
            <w:pPr>
              <w:pStyle w:val="TableNumber"/>
            </w:pPr>
            <w:r>
              <w:t xml:space="preserve">7.8472</w:t>
              <w:br/>
              <w:t xml:space="preserve">6.2938</w:t>
            </w:r>
          </w:p>
        </w:tc>
        <w:tc>
          <w:tcPr>
            <w:tcW w:w="2360" w:type="dxa"/>
            <w:shd w:fill="FFFFFF"/>
            <w:vAlign w:val="center"/>
          </w:tcPr>
          <w:p>
            <w:pPr>
              <w:pStyle w:val="TableNumber"/>
            </w:pPr>
            <w:r>
              <w:t xml:space="preserve">0.129975</w:t>
              <w:br/>
              <w:t xml:space="preserve">0.137304</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0.311965</w:t>
              <w:br/>
              <w:t xml:space="preserve">0.310534</w:t>
            </w:r>
          </w:p>
        </w:tc>
        <w:tc>
          <w:tcPr>
            <w:tcW w:w="2075" w:type="dxa"/>
            <w:shd w:fill="F7F9FC"/>
            <w:vAlign w:val="center"/>
          </w:tcPr>
          <w:p>
            <w:pPr>
              <w:pStyle w:val="TableNumber"/>
            </w:pPr>
            <w:r>
              <w:t xml:space="preserve">71.3920%</w:t>
              <w:br/>
              <w:t xml:space="preserve">73.5592%</w:t>
            </w:r>
          </w:p>
        </w:tc>
        <w:tc>
          <w:tcPr>
            <w:tcW w:w="2200" w:type="dxa"/>
            <w:shd w:fill="F7F9FC"/>
            <w:vAlign w:val="center"/>
          </w:tcPr>
          <w:p>
            <w:pPr>
              <w:pStyle w:val="TableNumber"/>
            </w:pPr>
            <w:r>
              <w:t xml:space="preserve">8.6080</w:t>
              <w:br/>
              <w:t xml:space="preserve">6.4408</w:t>
            </w:r>
          </w:p>
        </w:tc>
        <w:tc>
          <w:tcPr>
            <w:tcW w:w="2360" w:type="dxa"/>
            <w:shd w:fill="F7F9FC"/>
            <w:vAlign w:val="center"/>
          </w:tcPr>
          <w:p>
            <w:pPr>
              <w:pStyle w:val="TableNumber"/>
            </w:pPr>
            <w:r>
              <w:t xml:space="preserve">0.145364</w:t>
              <w:br/>
              <w:t xml:space="preserve">0.155717</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0.312965</w:t>
              <w:br/>
              <w:t xml:space="preserve">0.311499</w:t>
            </w:r>
          </w:p>
        </w:tc>
        <w:tc>
          <w:tcPr>
            <w:tcW w:w="2075" w:type="dxa"/>
            <w:shd w:fill="FFFFFF"/>
            <w:vAlign w:val="center"/>
          </w:tcPr>
          <w:p>
            <w:pPr>
              <w:pStyle w:val="TableNumber"/>
            </w:pPr>
            <w:r>
              <w:t xml:space="preserve">71.5327%</w:t>
              <w:br/>
              <w:t xml:space="preserve">73.9747%</w:t>
            </w:r>
          </w:p>
        </w:tc>
        <w:tc>
          <w:tcPr>
            <w:tcW w:w="2200" w:type="dxa"/>
            <w:shd w:fill="FFFFFF"/>
            <w:vAlign w:val="center"/>
          </w:tcPr>
          <w:p>
            <w:pPr>
              <w:pStyle w:val="TableNumber"/>
            </w:pPr>
            <w:r>
              <w:t xml:space="preserve">8.4673</w:t>
              <w:br/>
              <w:t xml:space="preserve">6.0253</w:t>
            </w:r>
          </w:p>
        </w:tc>
        <w:tc>
          <w:tcPr>
            <w:tcW w:w="2360" w:type="dxa"/>
            <w:shd w:fill="FFFFFF"/>
            <w:vAlign w:val="center"/>
          </w:tcPr>
          <w:p>
            <w:pPr>
              <w:pStyle w:val="TableNumber"/>
            </w:pPr>
            <w:r>
              <w:t xml:space="preserve">0.161546</w:t>
              <w:br/>
              <w:t xml:space="preserve">0.173256</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0.313570</w:t>
              <w:br/>
              <w:t xml:space="preserve">0.311986</w:t>
            </w:r>
          </w:p>
        </w:tc>
        <w:tc>
          <w:tcPr>
            <w:tcW w:w="2075" w:type="dxa"/>
            <w:shd w:fill="F7F9FC"/>
            <w:vAlign w:val="center"/>
          </w:tcPr>
          <w:p>
            <w:pPr>
              <w:pStyle w:val="TableNumber"/>
            </w:pPr>
            <w:r>
              <w:t xml:space="preserve">70.6345%</w:t>
              <w:br/>
              <w:t xml:space="preserve">73.2619%</w:t>
            </w:r>
          </w:p>
        </w:tc>
        <w:tc>
          <w:tcPr>
            <w:tcW w:w="2200" w:type="dxa"/>
            <w:shd w:fill="F7F9FC"/>
            <w:vAlign w:val="center"/>
          </w:tcPr>
          <w:p>
            <w:pPr>
              <w:pStyle w:val="TableNumber"/>
            </w:pPr>
            <w:r>
              <w:t xml:space="preserve">9.3655</w:t>
              <w:br/>
              <w:t xml:space="preserve">6.7381</w:t>
            </w:r>
          </w:p>
        </w:tc>
        <w:tc>
          <w:tcPr>
            <w:tcW w:w="2360" w:type="dxa"/>
            <w:shd w:fill="F7F9FC"/>
            <w:vAlign w:val="center"/>
          </w:tcPr>
          <w:p>
            <w:pPr>
              <w:pStyle w:val="TableNumber"/>
            </w:pPr>
            <w:r>
              <w:t xml:space="preserve">0.174214</w:t>
              <w:br/>
              <w:t xml:space="preserve">0.186756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0.313980</w:t>
              <w:br/>
              <w:t xml:space="preserve">0.312233</w:t>
            </w:r>
          </w:p>
        </w:tc>
        <w:tc>
          <w:tcPr>
            <w:tcW w:w="2075" w:type="dxa"/>
            <w:shd w:fill="FFFFFF"/>
            <w:vAlign w:val="center"/>
          </w:tcPr>
          <w:p>
            <w:pPr>
              <w:pStyle w:val="TableNumber"/>
            </w:pPr>
            <w:r>
              <w:t xml:space="preserve">70.6025%</w:t>
              <w:br/>
              <w:t xml:space="preserve">73.6072%</w:t>
            </w:r>
          </w:p>
        </w:tc>
        <w:tc>
          <w:tcPr>
            <w:tcW w:w="2200" w:type="dxa"/>
            <w:shd w:fill="FFFFFF"/>
            <w:vAlign w:val="center"/>
          </w:tcPr>
          <w:p>
            <w:pPr>
              <w:pStyle w:val="TableNumber"/>
            </w:pPr>
            <w:r>
              <w:t xml:space="preserve">9.3975</w:t>
              <w:br/>
              <w:t xml:space="preserve">6.3928</w:t>
            </w:r>
          </w:p>
        </w:tc>
        <w:tc>
          <w:tcPr>
            <w:tcW w:w="2360" w:type="dxa"/>
            <w:shd w:fill="FFFFFF"/>
            <w:vAlign w:val="center"/>
          </w:tcPr>
          <w:p>
            <w:pPr>
              <w:pStyle w:val="TableNumber"/>
            </w:pPr>
            <w:r>
              <w:t xml:space="preserve">0.188238</w:t>
              <w:br/>
              <w:t xml:space="preserve">0.203058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0.315414</w:t>
              <w:br/>
              <w:t xml:space="preserve">0.313553</w:t>
            </w:r>
          </w:p>
        </w:tc>
        <w:tc>
          <w:tcPr>
            <w:tcW w:w="2075" w:type="dxa"/>
            <w:shd w:fill="F7F9FC"/>
            <w:vAlign w:val="center"/>
          </w:tcPr>
          <w:p>
            <w:pPr>
              <w:pStyle w:val="TableNumber"/>
            </w:pPr>
            <w:r>
              <w:t xml:space="preserve">70.2797%</w:t>
              <w:br/>
              <w:t xml:space="preserve">73.3003%</w:t>
            </w:r>
          </w:p>
        </w:tc>
        <w:tc>
          <w:tcPr>
            <w:tcW w:w="2200" w:type="dxa"/>
            <w:shd w:fill="F7F9FC"/>
            <w:vAlign w:val="center"/>
          </w:tcPr>
          <w:p>
            <w:pPr>
              <w:pStyle w:val="TableNumber"/>
            </w:pPr>
            <w:r>
              <w:t xml:space="preserve">9.7203</w:t>
              <w:br/>
              <w:t xml:space="preserve">6.6997</w:t>
            </w:r>
          </w:p>
        </w:tc>
        <w:tc>
          <w:tcPr>
            <w:tcW w:w="2360" w:type="dxa"/>
            <w:shd w:fill="F7F9FC"/>
            <w:vAlign w:val="center"/>
          </w:tcPr>
          <w:p>
            <w:pPr>
              <w:pStyle w:val="TableNumber"/>
            </w:pPr>
            <w:r>
              <w:t xml:space="preserve">0.199216</w:t>
              <w:br/>
              <w:t xml:space="preserve">0.215360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0.314592</w:t>
              <w:br/>
              <w:t xml:space="preserve">0.313118</w:t>
            </w:r>
          </w:p>
        </w:tc>
        <w:tc>
          <w:tcPr>
            <w:tcW w:w="2075" w:type="dxa"/>
            <w:shd w:fill="FFFFFF"/>
            <w:vAlign w:val="center"/>
          </w:tcPr>
          <w:p>
            <w:pPr>
              <w:pStyle w:val="TableNumber"/>
            </w:pPr>
            <w:r>
              <w:t xml:space="preserve">70.8966%</w:t>
              <w:br/>
              <w:t xml:space="preserve">73.3291%</w:t>
            </w:r>
          </w:p>
        </w:tc>
        <w:tc>
          <w:tcPr>
            <w:tcW w:w="2200" w:type="dxa"/>
            <w:shd w:fill="FFFFFF"/>
            <w:vAlign w:val="center"/>
          </w:tcPr>
          <w:p>
            <w:pPr>
              <w:pStyle w:val="TableNumber"/>
            </w:pPr>
            <w:r>
              <w:t xml:space="preserve">9.1034</w:t>
              <w:br/>
              <w:t xml:space="preserve">6.6709</w:t>
            </w:r>
          </w:p>
        </w:tc>
        <w:tc>
          <w:tcPr>
            <w:tcW w:w="2360" w:type="dxa"/>
            <w:shd w:fill="FFFFFF"/>
            <w:vAlign w:val="center"/>
          </w:tcPr>
          <w:p>
            <w:pPr>
              <w:pStyle w:val="TableNumber"/>
            </w:pPr>
            <w:r>
              <w:t xml:space="preserve">0.213486</w:t>
              <w:br/>
              <w:t xml:space="preserve">0.228757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0.317225</w:t>
              <w:br/>
              <w:t xml:space="preserve">0.315349</w:t>
            </w:r>
          </w:p>
        </w:tc>
        <w:tc>
          <w:tcPr>
            <w:tcW w:w="2075" w:type="dxa"/>
            <w:shd w:fill="F7F9FC"/>
            <w:vAlign w:val="center"/>
          </w:tcPr>
          <w:p>
            <w:pPr>
              <w:pStyle w:val="TableNumber"/>
            </w:pPr>
            <w:r>
              <w:t xml:space="preserve">69.9345%</w:t>
              <w:br/>
              <w:t xml:space="preserve">72.9679%</w:t>
            </w:r>
          </w:p>
        </w:tc>
        <w:tc>
          <w:tcPr>
            <w:tcW w:w="2200" w:type="dxa"/>
            <w:shd w:fill="F7F9FC"/>
            <w:vAlign w:val="center"/>
          </w:tcPr>
          <w:p>
            <w:pPr>
              <w:pStyle w:val="TableNumber"/>
            </w:pPr>
            <w:r>
              <w:t xml:space="preserve">10.0655</w:t>
              <w:br/>
              <w:t xml:space="preserve">7.0321</w:t>
            </w:r>
          </w:p>
        </w:tc>
        <w:tc>
          <w:tcPr>
            <w:tcW w:w="2360" w:type="dxa"/>
            <w:shd w:fill="F7F9FC"/>
            <w:vAlign w:val="center"/>
          </w:tcPr>
          <w:p>
            <w:pPr>
              <w:pStyle w:val="TableNumber"/>
            </w:pPr>
            <w:r>
              <w:t xml:space="preserve">0.221404</w:t>
              <w:br/>
              <w:t xml:space="preserve">0.239618</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0.316981</w:t>
              <w:br/>
              <w:t xml:space="preserve">0.314946</w:t>
            </w:r>
          </w:p>
        </w:tc>
        <w:tc>
          <w:tcPr>
            <w:tcW w:w="2075" w:type="dxa"/>
            <w:shd w:fill="FFFFFF"/>
            <w:vAlign w:val="center"/>
          </w:tcPr>
          <w:p>
            <w:pPr>
              <w:pStyle w:val="TableNumber"/>
            </w:pPr>
            <w:r>
              <w:t xml:space="preserve">69.1897%</w:t>
              <w:br/>
              <w:t xml:space="preserve">72.4341%</w:t>
            </w:r>
          </w:p>
        </w:tc>
        <w:tc>
          <w:tcPr>
            <w:tcW w:w="2200" w:type="dxa"/>
            <w:shd w:fill="FFFFFF"/>
            <w:vAlign w:val="center"/>
          </w:tcPr>
          <w:p>
            <w:pPr>
              <w:pStyle w:val="TableNumber"/>
            </w:pPr>
            <w:r>
              <w:t xml:space="preserve">10.8103</w:t>
              <w:br/>
              <w:t xml:space="preserve">7.5659</w:t>
            </w:r>
          </w:p>
        </w:tc>
        <w:tc>
          <w:tcPr>
            <w:tcW w:w="2360" w:type="dxa"/>
            <w:shd w:fill="FFFFFF"/>
            <w:vAlign w:val="center"/>
          </w:tcPr>
          <w:p>
            <w:pPr>
              <w:pStyle w:val="TableNumber"/>
            </w:pPr>
            <w:r>
              <w:t xml:space="preserve">0.232345</w:t>
              <w:br/>
              <w:t xml:space="preserve">0.251121</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0.317001</w:t>
              <w:br/>
              <w:t xml:space="preserve">0.315028</w:t>
            </w:r>
          </w:p>
        </w:tc>
        <w:tc>
          <w:tcPr>
            <w:tcW w:w="2075" w:type="dxa"/>
            <w:shd w:fill="F7F9FC"/>
            <w:vAlign w:val="center"/>
          </w:tcPr>
          <w:p>
            <w:pPr>
              <w:pStyle w:val="TableNumber"/>
            </w:pPr>
            <w:r>
              <w:t xml:space="preserve">68.8669%</w:t>
              <w:br/>
              <w:t xml:space="preserve">72.0121%</w:t>
            </w:r>
          </w:p>
        </w:tc>
        <w:tc>
          <w:tcPr>
            <w:tcW w:w="2200" w:type="dxa"/>
            <w:shd w:fill="F7F9FC"/>
            <w:vAlign w:val="center"/>
          </w:tcPr>
          <w:p>
            <w:pPr>
              <w:pStyle w:val="TableNumber"/>
            </w:pPr>
            <w:r>
              <w:t xml:space="preserve">11.1331</w:t>
              <w:br/>
              <w:t xml:space="preserve">7.9879</w:t>
            </w:r>
          </w:p>
        </w:tc>
        <w:tc>
          <w:tcPr>
            <w:tcW w:w="2360" w:type="dxa"/>
            <w:shd w:fill="F7F9FC"/>
            <w:vAlign w:val="center"/>
          </w:tcPr>
          <w:p>
            <w:pPr>
              <w:pStyle w:val="TableNumber"/>
            </w:pPr>
            <w:r>
              <w:t xml:space="preserve">0.244125</w:t>
              <w:br/>
              <w:t xml:space="preserve">0.261996</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0.319970</w:t>
              <w:br/>
              <w:t xml:space="preserve">0.318017</w:t>
            </w:r>
          </w:p>
        </w:tc>
        <w:tc>
          <w:tcPr>
            <w:tcW w:w="2075" w:type="dxa"/>
            <w:shd w:fill="FFFFFF"/>
            <w:vAlign w:val="center"/>
          </w:tcPr>
          <w:p>
            <w:pPr>
              <w:pStyle w:val="TableNumber"/>
            </w:pPr>
            <w:r>
              <w:t xml:space="preserve">68.7358%</w:t>
              <w:br/>
              <w:t xml:space="preserve">71.6030%</w:t>
            </w:r>
          </w:p>
        </w:tc>
        <w:tc>
          <w:tcPr>
            <w:tcW w:w="2200" w:type="dxa"/>
            <w:shd w:fill="FFFFFF"/>
            <w:vAlign w:val="center"/>
          </w:tcPr>
          <w:p>
            <w:pPr>
              <w:pStyle w:val="TableNumber"/>
            </w:pPr>
            <w:r>
              <w:t xml:space="preserve">11.2642</w:t>
              <w:br/>
              <w:t xml:space="preserve">8.3970</w:t>
            </w:r>
          </w:p>
        </w:tc>
        <w:tc>
          <w:tcPr>
            <w:tcW w:w="2360" w:type="dxa"/>
            <w:shd w:fill="FFFFFF"/>
            <w:vAlign w:val="center"/>
          </w:tcPr>
          <w:p>
            <w:pPr>
              <w:pStyle w:val="TableNumber"/>
            </w:pPr>
            <w:r>
              <w:t xml:space="preserve">0.255405</w:t>
              <w:br/>
              <w:t xml:space="preserve">0.272618</w:t>
            </w:r>
          </w:p>
        </w:tc>
      </w:tr>
    </w:tbl>
    <w:p>
      <w:pPr>
        <w:pStyle w:val="a"/>
        <w:spacing w:before="160"/>
      </w:pPr>
      <w:r>
        <w:t xml:space="preserve">TPEX all-horizon coverage 70.7311% → 73.2069%; normalized pinball 0.316772 → 0.315218.</w:t>
      </w:r>
    </w:p>
    <w:p>
      <w:pPr>
        <w:pStyle w:val="a"/>
      </w:pPr>
      <w:r>
        <w:t xml:space="preserve">Market coverage can increase, decrease or exceed 80%. Read coverage error and width together; aggregate proximity does not establish calibration in every subgroup. These calibrated JSONs omit by_month, by_market_month and provider-specific calibration. Original provider/year slices remain raw; missing calibrated slices are not filled with zeros or estimates.</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Year</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00" w:type="dxa"/>
            <w:shd w:val="clear" w:fill="DCE6F1"/>
            <w:vAlign w:val="center"/>
          </w:tcPr>
          <w:p>
            <w:pPr>
              <w:pStyle w:val="TableHeader"/>
            </w:pPr>
            <w:r>
              <w:t>Mean direction</w:t>
            </w:r>
          </w:p>
        </w:tc>
        <w:tc>
          <w:tcPr>
            <w:tcW w:w="1060" w:type="dxa"/>
            <w:shd w:val="clear" w:fill="DCE6F1"/>
            <w:vAlign w:val="center"/>
          </w:tcPr>
          <w:p>
            <w:pPr>
              <w:pStyle w:val="TableHeader"/>
            </w:pPr>
            <w:r>
              <w:t>Mean coverage</w:t>
            </w:r>
          </w:p>
        </w:tc>
      </w:tr>
      <w:tr>
        <w:trPr>
          <w:cantSplit/>
        </w:trPr>
        <w:tc>
          <w:tcPr>
            <w:tcW w:w="1300" w:type="dxa"/>
            <w:vAlign w:val="center"/>
          </w:tcPr>
          <w:p>
            <w:pPr>
              <w:pStyle w:val="TableText"/>
            </w:pPr>
            <w:r>
              <w:t>2025</w:t>
            </w:r>
          </w:p>
        </w:tc>
        <w:tc>
          <w:tcPr>
            <w:tcW w:w="1200" w:type="dxa"/>
            <w:vAlign w:val="center"/>
          </w:tcPr>
          <w:p>
            <w:pPr>
              <w:pStyle w:val="TableNumber"/>
            </w:pPr>
            <w:r>
              <w:t>106,394</w:t>
            </w:r>
          </w:p>
        </w:tc>
        <w:tc>
          <w:tcPr>
            <w:tcW w:w="1400" w:type="dxa"/>
            <w:vAlign w:val="center"/>
          </w:tcPr>
          <w:p>
            <w:pPr>
              <w:pStyle w:val="TableNumber"/>
            </w:pPr>
            <w:r>
              <w:t>0.253629</w:t>
            </w:r>
          </w:p>
        </w:tc>
        <w:tc>
          <w:tcPr>
            <w:tcW w:w="1400" w:type="dxa"/>
            <w:vAlign w:val="center"/>
          </w:tcPr>
          <w:p>
            <w:pPr>
              <w:pStyle w:val="TableNumber"/>
            </w:pPr>
            <w:r>
              <w:t>0.1146</w:t>
            </w:r>
          </w:p>
        </w:tc>
        <w:tc>
          <w:tcPr>
            <w:tcW w:w="1800" w:type="dxa"/>
            <w:vAlign w:val="center"/>
          </w:tcPr>
          <w:p>
            <w:pPr>
              <w:pStyle w:val="TableNumber"/>
            </w:pPr>
            <w:r>
              <w:t>0.0494 to 0.1401</w:t>
            </w:r>
          </w:p>
        </w:tc>
        <w:tc>
          <w:tcPr>
            <w:tcW w:w="1200" w:type="dxa"/>
            <w:vAlign w:val="center"/>
          </w:tcPr>
          <w:p>
            <w:pPr>
              <w:pStyle w:val="TableNumber"/>
            </w:pPr>
            <w:r>
              <w:t>53.81%</w:t>
            </w:r>
          </w:p>
        </w:tc>
        <w:tc>
          <w:tcPr>
            <w:tcW w:w="1060" w:type="dxa"/>
            <w:vAlign w:val="center"/>
          </w:tcPr>
          <w:p>
            <w:pPr>
              <w:pStyle w:val="TableNumber"/>
            </w:pPr>
            <w:r>
              <w:t>81.58%</w:t>
            </w:r>
          </w:p>
        </w:tc>
      </w:tr>
      <w:tr>
        <w:trPr>
          <w:cantSplit/>
        </w:trPr>
        <w:tc>
          <w:tcPr>
            <w:tcW w:w="1300" w:type="dxa"/>
            <w:vAlign w:val="center"/>
          </w:tcPr>
          <w:p>
            <w:pPr>
              <w:pStyle w:val="TableText"/>
            </w:pPr>
            <w:r>
              <w:t>2026</w:t>
            </w:r>
          </w:p>
        </w:tc>
        <w:tc>
          <w:tcPr>
            <w:tcW w:w="1200" w:type="dxa"/>
            <w:vAlign w:val="center"/>
          </w:tcPr>
          <w:p>
            <w:pPr>
              <w:pStyle w:val="TableNumber"/>
            </w:pPr>
            <w:r>
              <w:t>427,933</w:t>
            </w:r>
          </w:p>
        </w:tc>
        <w:tc>
          <w:tcPr>
            <w:tcW w:w="1400" w:type="dxa"/>
            <w:vAlign w:val="center"/>
          </w:tcPr>
          <w:p>
            <w:pPr>
              <w:pStyle w:val="TableNumber"/>
            </w:pPr>
            <w:r>
              <w:t>0.301051</w:t>
            </w:r>
          </w:p>
        </w:tc>
        <w:tc>
          <w:tcPr>
            <w:tcW w:w="1400" w:type="dxa"/>
            <w:vAlign w:val="center"/>
          </w:tcPr>
          <w:p>
            <w:pPr>
              <w:pStyle w:val="TableNumber"/>
            </w:pPr>
            <w:r>
              <w:t>0.1044</w:t>
            </w:r>
          </w:p>
        </w:tc>
        <w:tc>
          <w:tcPr>
            <w:tcW w:w="1800" w:type="dxa"/>
            <w:vAlign w:val="center"/>
          </w:tcPr>
          <w:p>
            <w:pPr>
              <w:pStyle w:val="TableNumber"/>
            </w:pPr>
            <w:r>
              <w:t>0.0754 to 0.1277</w:t>
            </w:r>
          </w:p>
        </w:tc>
        <w:tc>
          <w:tcPr>
            <w:tcW w:w="1200" w:type="dxa"/>
            <w:vAlign w:val="center"/>
          </w:tcPr>
          <w:p>
            <w:pPr>
              <w:pStyle w:val="TableNumber"/>
            </w:pPr>
            <w:r>
              <w:t>54.81%</w:t>
            </w:r>
          </w:p>
        </w:tc>
        <w:tc>
          <w:tcPr>
            <w:tcW w:w="1060" w:type="dxa"/>
            <w:vAlign w:val="center"/>
          </w:tcPr>
          <w:p>
            <w:pPr>
              <w:pStyle w:val="TableNumber"/>
            </w:pPr>
            <w:r>
              <w:t>76.86%</w:t>
            </w:r>
          </w:p>
        </w:tc>
      </w:tr>
    </w:tbl>
    <w:p>
      <w:pPr>
        <w:pStyle w:val="Lead"/>
        <w:spacing w:before="160"/>
      </w:pPr>
      <w:r>
        <w:t>The year slices are 2025 and 2026, with sample counts 2025=106,394; 2026=427,933. Annual score, coverage, and correlation are affected by sample size and market composition; they are diagnostics, not proof of temporal extrapolation.</w:t>
      </w:r>
    </w:p>
    <w:p>
      <w:pPr>
        <w:pStyle w:val="11"/>
      </w:pPr>
      <w:r>
        <w:t>9. Risks and next stage</w:t>
      </w:r>
    </w:p>
    <w:p>
      <w:pPr>
        <w:pStyle w:val="Decision"/>
        <w:keepNext/>
        <w:spacing w:after="80"/>
      </w:pPr>
      <w:r>
        <w:t>Table 11 | Main limitations and required validation</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Risk</w:t>
            </w:r>
          </w:p>
        </w:tc>
        <w:tc>
          <w:tcPr>
            <w:tcW w:w="2900" w:type="dxa"/>
            <w:shd w:val="clear" w:fill="DCE6F1"/>
            <w:vAlign w:val="center"/>
          </w:tcPr>
          <w:p>
            <w:pPr>
              <w:pStyle w:val="TableHeader"/>
            </w:pPr>
            <w:r>
              <w:t>Current evidence</w:t>
            </w:r>
          </w:p>
        </w:tc>
        <w:tc>
          <w:tcPr>
            <w:tcW w:w="3960" w:type="dxa"/>
            <w:shd w:val="clear" w:fill="DCE6F1"/>
            <w:vAlign w:val="center"/>
          </w:tcPr>
          <w:p>
            <w:pPr>
              <w:pStyle w:val="TableHeader"/>
            </w:pPr>
            <w:r>
              <w:t>Next validation</w:t>
            </w:r>
          </w:p>
        </w:tc>
      </w:tr>
      <w:tr>
        <w:trPr>
          <w:cantSplit/>
        </w:trPr>
        <w:tc>
          <w:tcPr>
            <w:tcW w:w="2500" w:type="dxa"/>
            <w:vAlign w:val="center"/>
          </w:tcPr>
          <w:p>
            <w:pPr>
              <w:pStyle w:val="TableText"/>
            </w:pPr>
            <w:r>
              <w:t>Full test holdout</w:t>
            </w:r>
          </w:p>
        </w:tc>
        <w:tc>
          <w:tcPr>
            <w:tcW w:w="2900" w:type="dxa"/>
            <w:vAlign w:val="center"/>
          </w:tcPr>
          <w:p>
            <w:pPr>
              <w:pStyle w:val="TableText"/>
            </w:pPr>
            <w:r>
              <w:t>534,327 rows across 112 dates; checkpoint selected on validation</w:t>
            </w:r>
          </w:p>
        </w:tc>
        <w:tc>
          <w:tcPr>
            <w:tcW w:w="3960" w:type="dxa"/>
            <w:vAlign w:val="center"/>
          </w:tcPr>
          <w:p>
            <w:pPr>
              <w:pStyle w:val="TableText"/>
            </w:pPr>
            <w:r>
              <w:t>Keep the holdout isolated and pre-register membership and protocol</w:t>
            </w:r>
          </w:p>
        </w:tc>
      </w:tr>
      <w:tr>
        <w:trPr>
          <w:cantSplit/>
        </w:trPr>
        <w:tc>
          <w:tcPr>
            <w:tcW w:w="2500" w:type="dxa"/>
            <w:vAlign w:val="center"/>
          </w:tcPr>
          <w:p>
            <w:pPr>
              <w:pStyle w:val="TableText"/>
            </w:pPr>
            <w:r>
              <w:t>Single seed</w:t>
            </w:r>
          </w:p>
        </w:tc>
        <w:tc>
          <w:tcPr>
            <w:tcW w:w="2900" w:type="dxa"/>
            <w:vAlign w:val="center"/>
          </w:tcPr>
          <w:p>
            <w:pPr>
              <w:pStyle w:val="TableText"/>
            </w:pPr>
            <w:r>
              <w:t>seed=42</w:t>
            </w:r>
          </w:p>
        </w:tc>
        <w:tc>
          <w:tcPr>
            <w:tcW w:w="3960" w:type="dxa"/>
            <w:vAlign w:val="center"/>
          </w:tcPr>
          <w:p>
            <w:pPr>
              <w:pStyle w:val="TableText"/>
            </w:pPr>
            <w:r>
              <w:t>Report median, dispersion, and worst result across seeds</w:t>
            </w:r>
          </w:p>
        </w:tc>
      </w:tr>
      <w:tr>
        <w:trPr>
          <w:cantSplit/>
        </w:trPr>
        <w:tc>
          <w:tcPr>
            <w:tcW w:w="2500" w:type="dxa"/>
            <w:vAlign w:val="center"/>
          </w:tcPr>
          <w:p>
            <w:pPr>
              <w:pStyle w:val="TableText"/>
            </w:pPr>
            <w:r>
              <w:t xml:space="preserve">Intervals already calibrated</w:t>
            </w:r>
          </w:p>
        </w:tc>
        <w:tc>
          <w:tcPr>
            <w:tcW w:w="2900" w:type="dxa"/>
            <w:vAlign w:val="center"/>
          </w:tcPr>
          <w:p>
            <w:pPr>
              <w:pStyle w:val="TableText"/>
            </w:pPr>
            <w:r>
              <w:t xml:space="preserve">77.8015% → 79.4615%</w:t>
            </w:r>
          </w:p>
        </w:tc>
        <w:tc>
          <w:tcPr>
            <w:tcW w:w="3960" w:type="dxa"/>
            <w:vAlign w:val="center"/>
          </w:tcPr>
          <w:p>
            <w:pPr>
              <w:pStyle w:val="TableText"/>
            </w:pPr>
            <w:r>
              <w:t xml:space="preserve">Inspect market/horizon error and width; no universal target claim</w:t>
            </w:r>
          </w:p>
        </w:tc>
      </w:tr>
      <w:tr>
        <w:trPr>
          <w:cantSplit/>
        </w:trPr>
        <w:tc>
          <w:tcPr>
            <w:tcW w:w="2500" w:type="dxa"/>
            <w:vAlign w:val="center"/>
          </w:tcPr>
          <w:p>
            <w:pPr>
              <w:pStyle w:val="TableText"/>
            </w:pPr>
            <w:r>
              <w:t>Weak q50 association</w:t>
            </w:r>
          </w:p>
        </w:tc>
        <w:tc>
          <w:tcPr>
            <w:tcW w:w="2900" w:type="dxa"/>
            <w:vAlign w:val="center"/>
          </w:tcPr>
          <w:p>
            <w:pPr>
              <w:pStyle w:val="TableText"/>
            </w:pPr>
            <w:r>
              <w:t>0.0701 to 0.1303</w:t>
            </w:r>
          </w:p>
        </w:tc>
        <w:tc>
          <w:tcPr>
            <w:tcW w:w="3960" w:type="dxa"/>
            <w:vAlign w:val="center"/>
          </w:tcPr>
          <w:p>
            <w:pPr>
              <w:pStyle w:val="TableText"/>
            </w:pPr>
            <w:r>
              <w:t>Check ranking stability by provider, month, and market regime</w:t>
            </w:r>
          </w:p>
        </w:tc>
      </w:tr>
      <w:tr>
        <w:trPr>
          <w:cantSplit/>
        </w:trPr>
        <w:tc>
          <w:tcPr>
            <w:tcW w:w="2500" w:type="dxa"/>
            <w:vAlign w:val="center"/>
          </w:tcPr>
          <w:p>
            <w:pPr>
              <w:pStyle w:val="TableText"/>
            </w:pPr>
            <w:r>
              <w:t>Signal distribution</w:t>
            </w:r>
          </w:p>
        </w:tc>
        <w:tc>
          <w:tcPr>
            <w:tcW w:w="2900" w:type="dxa"/>
            <w:vAlign w:val="center"/>
          </w:tcPr>
          <w:p>
            <w:pPr>
              <w:pStyle w:val="TableText"/>
            </w:pPr>
            <w:r>
              <w:t>bearish 74.62% to 82.44%; neutral 0.00% to 0.00%</w:t>
            </w:r>
          </w:p>
        </w:tc>
        <w:tc>
          <w:tcPr>
            <w:tcW w:w="3960" w:type="dxa"/>
            <w:vAlign w:val="center"/>
          </w:tcPr>
          <w:p>
            <w:pPr>
              <w:pStyle w:val="TableText"/>
            </w:pPr>
            <w:r>
              <w:t>Fix threshold and position mapping per horizon; labels are not probabilities</w:t>
            </w:r>
          </w:p>
        </w:tc>
      </w:tr>
      <w:tr>
        <w:trPr>
          <w:cantSplit/>
        </w:trPr>
        <w:tc>
          <w:tcPr>
            <w:tcW w:w="2500" w:type="dxa"/>
            <w:vAlign w:val="center"/>
          </w:tcPr>
          <w:p>
            <w:pPr>
              <w:pStyle w:val="TableText"/>
            </w:pPr>
            <w:r>
              <w:t xml:space="preserve">Legacy capital-path values</w:t>
            </w:r>
          </w:p>
        </w:tc>
        <w:tc>
          <w:tcPr>
            <w:tcW w:w="2900" w:type="dxa"/>
            <w:vAlign w:val="center"/>
          </w:tcPr>
          <w:p>
            <w:pPr>
              <w:pStyle w:val="TableText"/>
            </w:pPr>
            <w:r>
              <w:t xml:space="preserve">Original drawdown retained in Table 9; scales inconsistent</w:t>
            </w:r>
          </w:p>
        </w:tc>
        <w:tc>
          <w:tcPr>
            <w:tcW w:w="3960" w:type="dxa"/>
            <w:vAlign w:val="center"/>
          </w:tcPr>
          <w:p>
            <w:pPr>
              <w:pStyle w:val="TableText"/>
            </w:pPr>
            <w:r>
              <w:t xml:space="preserve">Correct and recompute before exposure or drawdown gates</w:t>
            </w:r>
          </w:p>
        </w:tc>
      </w:tr>
      <w:tr>
        <w:trPr>
          <w:cantSplit/>
        </w:trPr>
        <w:tc>
          <w:tcPr>
            <w:tcW w:w="2500" w:type="dxa"/>
            <w:vAlign w:val="center"/>
          </w:tcPr>
          <w:p>
            <w:pPr>
              <w:pStyle w:val="TableText"/>
            </w:pPr>
            <w:r>
              <w:t>Provider heterogeneity</w:t>
            </w:r>
          </w:p>
        </w:tc>
        <w:tc>
          <w:tcPr>
            <w:tcW w:w="2900" w:type="dxa"/>
            <w:vAlign w:val="center"/>
          </w:tcPr>
          <w:p>
            <w:pPr>
              <w:pStyle w:val="TableText"/>
            </w:pPr>
            <w:r>
              <w:t>Mean provider coverage ranges from 70.11% to 79.41%</w:t>
            </w:r>
          </w:p>
        </w:tc>
        <w:tc>
          <w:tcPr>
            <w:tcW w:w="3960" w:type="dxa"/>
            <w:vAlign w:val="center"/>
          </w:tcPr>
          <w:p>
            <w:pPr>
              <w:pStyle w:val="TableText"/>
            </w:pPr>
            <w:r>
              <w:t>Audit data, samples, and calibration per provider</w:t>
            </w:r>
          </w:p>
        </w:tc>
      </w:tr>
      <w:tr>
        <w:trPr>
          <w:cantSplit/>
        </w:trPr>
        <w:tc>
          <w:tcPr>
            <w:tcW w:w="2500" w:type="dxa"/>
            <w:vAlign w:val="center"/>
          </w:tcPr>
          <w:p>
            <w:pPr>
              <w:pStyle w:val="TableText"/>
            </w:pPr>
            <w:r>
              <w:t>Uneven year samples</w:t>
            </w:r>
          </w:p>
        </w:tc>
        <w:tc>
          <w:tcPr>
            <w:tcW w:w="2900" w:type="dxa"/>
            <w:vAlign w:val="center"/>
          </w:tcPr>
          <w:p>
            <w:pPr>
              <w:pStyle w:val="TableText"/>
            </w:pPr>
            <w:r>
              <w:t>2025=106,394; 2026=427,933</w:t>
            </w:r>
          </w:p>
        </w:tc>
        <w:tc>
          <w:tcPr>
            <w:tcW w:w="3960" w:type="dxa"/>
            <w:vAlign w:val="center"/>
          </w:tcPr>
          <w:p>
            <w:pPr>
              <w:pStyle w:val="TableText"/>
            </w:pPr>
            <w:r>
              <w:t>Add rolling, regime, and complete-year holdouts</w:t>
            </w:r>
          </w:p>
        </w:tc>
      </w:tr>
      <w:tr>
        <w:trPr>
          <w:cantSplit/>
        </w:trPr>
        <w:tc>
          <w:tcPr>
            <w:tcW w:w="2500" w:type="dxa"/>
            <w:vAlign w:val="center"/>
          </w:tcPr>
          <w:p>
            <w:pPr>
              <w:pStyle w:val="TableText"/>
            </w:pPr>
            <w:r>
              <w:t xml:space="preserve">Return/cost capital scales</w:t>
            </w:r>
          </w:p>
        </w:tc>
        <w:tc>
          <w:tcPr>
            <w:tcW w:w="2900" w:type="dxa"/>
            <w:vAlign w:val="center"/>
          </w:tcPr>
          <w:p>
            <w:pPr>
              <w:pStyle w:val="TableText"/>
            </w:pPr>
            <w:r>
              <w:t xml:space="preserve">+0.5 / −0.5 weights; gross missing 0.5</w:t>
            </w:r>
          </w:p>
        </w:tc>
        <w:tc>
          <w:tcPr>
            <w:tcW w:w="3960" w:type="dxa"/>
            <w:vAlign w:val="center"/>
          </w:tcPr>
          <w:p>
            <w:pPr>
              <w:pStyle w:val="TableText"/>
            </w:pPr>
            <w:r>
              <w:t xml:space="preserve">Recompute sequence, overlaps and realized PnL; do not simply halve</w:t>
            </w:r>
          </w:p>
        </w:tc>
      </w:tr>
      <w:tr>
        <w:trPr>
          <w:cantSplit/>
        </w:trPr>
        <w:tc>
          <w:tcPr>
            <w:tcW w:w="2500" w:type="dxa"/>
            <w:vAlign w:val="center"/>
          </w:tcPr>
          <w:p>
            <w:pPr>
              <w:pStyle w:val="TableText"/>
            </w:pPr>
            <w:r>
              <w:t xml:space="preserve">Direction baseline</w:t>
            </w:r>
          </w:p>
        </w:tc>
        <w:tc>
          <w:tcPr>
            <w:tcW w:w="2900" w:type="dxa"/>
            <w:vAlign w:val="center"/>
          </w:tcPr>
          <w:p>
            <w:pPr>
              <w:pStyle w:val="TableText"/>
            </w:pPr>
            <w:r>
              <w:t xml:space="preserve">always_buy = zero_return training-fixed distribution</w:t>
            </w:r>
          </w:p>
        </w:tc>
        <w:tc>
          <w:tcPr>
            <w:tcW w:w="3960" w:type="dxa"/>
            <w:vAlign w:val="center"/>
          </w:tcPr>
          <w:p>
            <w:pPr>
              <w:pStyle w:val="TableText"/>
            </w:pPr>
            <w:r>
              <w:t xml:space="preserve">Compare percentage-point gaps and future paired intervals</w:t>
            </w:r>
          </w:p>
        </w:tc>
      </w:tr>
      <w:tr>
        <w:trPr>
          <w:cantSplit/>
        </w:trPr>
        <w:tc>
          <w:tcPr>
            <w:tcW w:w="2500" w:type="dxa"/>
            <w:vAlign w:val="center"/>
          </w:tcPr>
          <w:p>
            <w:pPr>
              <w:pStyle w:val="TableText"/>
            </w:pPr>
            <w:r>
              <w:t xml:space="preserve">Fair head comparison</w:t>
            </w:r>
          </w:p>
        </w:tc>
        <w:tc>
          <w:tcPr>
            <w:tcW w:w="2900" w:type="dxa"/>
            <w:vAlign w:val="center"/>
          </w:tcPr>
          <w:p>
            <w:pPr>
              <w:pStyle w:val="TableText"/>
            </w:pPr>
            <w:r>
              <w:t xml:space="preserve">Pooled q50 versus market-specific ranking head</w:t>
            </w:r>
          </w:p>
        </w:tc>
        <w:tc>
          <w:tcPr>
            <w:tcW w:w="3960" w:type="dxa"/>
            <w:vAlign w:val="center"/>
          </w:tcPr>
          <w:p>
            <w:pPr>
              <w:pStyle w:val="TableText"/>
            </w:pPr>
            <w:r>
              <w:t xml:space="preserve">Same-market same-date q50 comparator is missing</w:t>
            </w:r>
          </w:p>
        </w:tc>
      </w:tr>
    </w:tbl>
    <w:p>
      <w:pPr>
        <w:pStyle w:val="Lead"/>
        <w:spacing w:before="160"/>
      </w:pPr>
      <w:r>
        <w:t xml:space="preserve">Final assessment: distribution and interval calibration have descriptive test evidence; direction and ranking require separate judgments. Cost-adjusted strategy metrics are not formal performance until the evaluator is corrected and recomputed. The following four conclusions are independent.</w:t>
      </w:r>
    </w:p>
    <w:p>
      <w:pPr>
        <w:pStyle w:val="21"/>
      </w:pPr>
      <w:r>
        <w:t xml:space="preserve">Has distribution prediction improved</w:t>
      </w:r>
    </w:p>
    <w:p>
      <w:pPr>
        <w:pStyle w:val="a"/>
      </w:pPr>
      <w:r>
        <w:t xml:space="preserve">Raw normalized pinball 0.291608 is 5.78% below the training-fixed distribution 0.309493. Existing interval calibration changes it to 0.291244, and coverage from 77.8015% to 79.4615%. This is descriptive holdout distribution and interval improvement, not proof of calibrated performance in every market or improved direction.</w:t>
      </w:r>
    </w:p>
    <w:p>
      <w:pPr>
        <w:pStyle w:val="21"/>
      </w:pPr>
      <w:r>
        <w:t xml:space="preserve">Does direction beat the fixed baseline</w:t>
      </w:r>
    </w:p>
    <w:p>
      <w:pPr>
        <w:pStyle w:val="a"/>
      </w:pPr>
      <w:r>
        <w:t xml:space="preserve">Only 1/14 horizons exceed the training-fixed unconditional distribution. Differences range from -0.9627 to +0.0732 percentage points. There is no broad directional advantage. No paired confidence intervals establish significance for the small positive differences. Direction is the sign of benchmark-relative alpha, not stock-price movement.</w:t>
      </w:r>
    </w:p>
    <w:p>
      <w:pPr>
        <w:pStyle w:val="21"/>
      </w:pPr>
      <w:r>
        <w:t xml:space="preserve">Is there stock-ranking evidence</w:t>
      </w:r>
    </w:p>
    <w:p>
      <w:pPr>
        <w:pStyle w:val="a"/>
      </w:pPr>
      <w:r>
        <w:t xml:space="preserve">Pooled-market q50 RankIC and market-specific independent-head RankIC show positive mean ordering association. This is descriptive stock-selection evidence. Different grouping populations prevent a head-to-head superiority claim, while one seed and roughly one hundred dates do not establish stable tradability.</w:t>
      </w:r>
    </w:p>
    <w:p>
      <w:pPr>
        <w:pStyle w:val="21"/>
      </w:pPr>
      <w:r>
        <w:t xml:space="preserve">Is strategy performance currently reliable</w:t>
      </w:r>
    </w:p>
    <w:p>
      <w:pPr>
        <w:pStyle w:val="a"/>
      </w:pPr>
      <w:r>
        <w:t xml:space="preserve">No, not as formal strategy performance. Positions and turnover use a different capital scale from gross return, and multi-day forward alpha labels overlap. Correct the evaluator and recompute the complete sequence, then address realized portfolio PnL, overlapping holdings and trading constraints. Existing Sharpe, drawdown and net returns are retained for version traceability only; they do not support deployment or strategy superiority.</w:t>
      </w:r>
    </w:p>
    <w:p>
      <w:pPr>
        <w:pStyle w:val="11"/>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0.291608</w:t>
            </w:r>
          </w:p>
        </w:tc>
        <w:tc>
          <w:tcPr>
            <w:tcW w:w="1330" w:type="dxa"/>
            <w:shd w:val="clear" w:fill="EDF5FC"/>
            <w:vAlign w:val="center"/>
          </w:tcPr>
          <w:p>
            <w:pPr>
              <w:pStyle w:val="TableNumber"/>
            </w:pPr>
            <w:r>
              <w:t xml:space="preserve">77.80%</w:t>
            </w:r>
          </w:p>
        </w:tc>
        <w:tc>
          <w:tcPr>
            <w:tcW w:w="1330" w:type="dxa"/>
            <w:shd w:val="clear" w:fill="EDF5FC"/>
            <w:vAlign w:val="center"/>
          </w:tcPr>
          <w:p>
            <w:pPr>
              <w:pStyle w:val="TableNumber"/>
            </w:pPr>
            <w:r>
              <w:t xml:space="preserve">0.1080</w:t>
            </w:r>
          </w:p>
        </w:tc>
        <w:tc>
          <w:tcPr>
            <w:tcW w:w="1350" w:type="dxa"/>
            <w:shd w:val="clear" w:fill="EDF5FC"/>
            <w:vAlign w:val="center"/>
          </w:tcPr>
          <w:p>
            <w:pPr>
              <w:pStyle w:val="TableNumber"/>
            </w:pPr>
            <w:r>
              <w:t>0.1070</w:t>
            </w:r>
          </w:p>
        </w:tc>
      </w:tr>
      <w:tr>
        <w:trPr>
          <w:cantSplit/>
        </w:trPr>
        <w:tc>
          <w:tcPr>
            <w:tcW w:w="650" w:type="dxa"/>
            <w:vAlign w:val="center"/>
          </w:tcPr>
          <w:p>
            <w:pPr>
              <w:pStyle w:val="TableNumber"/>
            </w:pPr>
            <w:r>
              <w:t>2</w:t>
            </w:r>
          </w:p>
        </w:tc>
        <w:tc>
          <w:tcPr>
            <w:tcW w:w="2800" w:type="dxa"/>
            <w:vAlign w:val="center"/>
          </w:tcPr>
          <w:p>
            <w:pPr>
              <w:pStyle w:val="TableText"/>
            </w:pPr>
            <w:r>
              <w:t>Compact PatchTST</w:t>
            </w:r>
          </w:p>
        </w:tc>
        <w:tc>
          <w:tcPr>
            <w:tcW w:w="1900" w:type="dxa"/>
            <w:vAlign w:val="center"/>
          </w:tcPr>
          <w:p>
            <w:pPr>
              <w:pStyle w:val="TableNumber"/>
            </w:pPr>
            <w:r>
              <w:t>0.293639</w:t>
            </w:r>
          </w:p>
        </w:tc>
        <w:tc>
          <w:tcPr>
            <w:tcW w:w="1330" w:type="dxa"/>
            <w:vAlign w:val="center"/>
          </w:tcPr>
          <w:p>
            <w:pPr>
              <w:pStyle w:val="TableNumber"/>
            </w:pPr>
            <w:r>
              <w:t xml:space="preserve">77.33%</w:t>
            </w:r>
          </w:p>
        </w:tc>
        <w:tc>
          <w:tcPr>
            <w:tcW w:w="1330" w:type="dxa"/>
            <w:vAlign w:val="center"/>
          </w:tcPr>
          <w:p>
            <w:pPr>
              <w:pStyle w:val="TableNumber"/>
            </w:pPr>
            <w:r>
              <w:t xml:space="preserve">0.0858</w:t>
            </w:r>
          </w:p>
        </w:tc>
        <w:tc>
          <w:tcPr>
            <w:tcW w:w="1350" w:type="dxa"/>
            <w:vAlign w:val="center"/>
          </w:tcPr>
          <w:p>
            <w:pPr>
              <w:pStyle w:val="TableNumber"/>
            </w:pPr>
            <w:r>
              <w:t>0.0762</w:t>
            </w:r>
          </w:p>
        </w:tc>
      </w:tr>
      <w:tr>
        <w:trPr>
          <w:cantSplit/>
        </w:trPr>
        <w:tc>
          <w:tcPr>
            <w:tcW w:w="650" w:type="dxa"/>
            <w:vAlign w:val="center"/>
          </w:tcPr>
          <w:p>
            <w:pPr>
              <w:pStyle w:val="TableNumber"/>
            </w:pPr>
            <w:r>
              <w:t>3</w:t>
            </w:r>
          </w:p>
        </w:tc>
        <w:tc>
          <w:tcPr>
            <w:tcW w:w="2800" w:type="dxa"/>
            <w:vAlign w:val="center"/>
          </w:tcPr>
          <w:p>
            <w:pPr>
              <w:pStyle w:val="TableText"/>
            </w:pPr>
            <w:r>
              <w:t>Paired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0.0631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0.0198</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0.0000</w:t>
            </w:r>
          </w:p>
        </w:tc>
      </w:tr>
      <w:tr>
        <w:trPr>
          <w:cantSplit/>
        </w:trPr>
        <w:tc>
          <w:tcPr>
            <w:tcW w:w="650" w:type="dxa"/>
            <w:vAlign w:val="center"/>
          </w:tcPr>
          <w:p>
            <w:pPr>
              <w:pStyle w:val="TableNumber"/>
            </w:pPr>
            <w:r>
              <w:t>7</w:t>
            </w:r>
          </w:p>
        </w:tc>
        <w:tc>
          <w:tcPr>
            <w:tcW w:w="2800" w:type="dxa"/>
            <w:vAlign w:val="center"/>
          </w:tcPr>
          <w:p>
            <w:pPr>
              <w:pStyle w:val="TableText"/>
            </w:pPr>
            <w:r>
              <w:t>MACD rule</w:t>
            </w:r>
          </w:p>
        </w:tc>
        <w:tc>
          <w:tcPr>
            <w:tcW w:w="1900" w:type="dxa"/>
            <w:vAlign w:val="center"/>
          </w:tcPr>
          <w:p>
            <w:pPr>
              <w:pStyle w:val="TableNumber"/>
            </w:pPr>
            <w:r>
              <w:t>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0.0015</w:t>
            </w:r>
          </w:p>
        </w:tc>
      </w:tr>
      <w:tr>
        <w:trPr>
          <w:cantSplit/>
        </w:trPr>
        <w:tc>
          <w:tcPr>
            <w:tcW w:w="650" w:type="dxa"/>
            <w:vAlign w:val="center"/>
          </w:tcPr>
          <w:p>
            <w:pPr>
              <w:pStyle w:val="TableNumber"/>
            </w:pPr>
            <w:r>
              <w:t>8</w:t>
            </w:r>
          </w:p>
        </w:tc>
        <w:tc>
          <w:tcPr>
            <w:tcW w:w="2800" w:type="dxa"/>
            <w:vAlign w:val="center"/>
          </w:tcPr>
          <w:p>
            <w:pPr>
              <w:pStyle w:val="TableText"/>
            </w:pPr>
            <w:r>
              <w:t>DLinear</w:t>
            </w:r>
          </w:p>
        </w:tc>
        <w:tc>
          <w:tcPr>
            <w:tcW w:w="1900" w:type="dxa"/>
            <w:vAlign w:val="center"/>
          </w:tcPr>
          <w:p>
            <w:pPr>
              <w:pStyle w:val="TableNumber"/>
            </w:pPr>
            <w:r>
              <w:t>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0.0123</w:t>
            </w:r>
          </w:p>
        </w:tc>
      </w:tr>
      <w:tr>
        <w:trPr>
          <w:cantSplit/>
        </w:trPr>
        <w:tc>
          <w:tcPr>
            <w:tcW w:w="650" w:type="dxa"/>
            <w:vAlign w:val="center"/>
          </w:tcPr>
          <w:p>
            <w:pPr>
              <w:pStyle w:val="TableNumber"/>
            </w:pPr>
            <w:r>
              <w:t>9</w:t>
            </w:r>
          </w:p>
        </w:tc>
        <w:tc>
          <w:tcPr>
            <w:tcW w:w="2800" w:type="dxa"/>
            <w:vAlign w:val="center"/>
          </w:tcPr>
          <w:p>
            <w:pPr>
              <w:pStyle w:val="TableText"/>
            </w:pPr>
            <w:r>
              <w:t>Moving-average crossover</w:t>
            </w:r>
          </w:p>
        </w:tc>
        <w:tc>
          <w:tcPr>
            <w:tcW w:w="1900" w:type="dxa"/>
            <w:vAlign w:val="center"/>
          </w:tcPr>
          <w:p>
            <w:pPr>
              <w:pStyle w:val="TableNumber"/>
            </w:pPr>
            <w:r>
              <w:t>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0.0427</w:t>
            </w:r>
          </w:p>
        </w:tc>
      </w:tr>
      <w:tr>
        <w:trPr>
          <w:cantSplit/>
        </w:trPr>
        <w:tc>
          <w:tcPr>
            <w:tcW w:w="650" w:type="dxa"/>
            <w:vAlign w:val="center"/>
          </w:tcPr>
          <w:p>
            <w:pPr>
              <w:pStyle w:val="TableNumber"/>
            </w:pPr>
            <w:r>
              <w:t>10</w:t>
            </w:r>
          </w:p>
        </w:tc>
        <w:tc>
          <w:tcPr>
            <w:tcW w:w="2800" w:type="dxa"/>
            <w:vAlign w:val="center"/>
          </w:tcPr>
          <w:p>
            <w:pPr>
              <w:pStyle w:val="TableText"/>
            </w:pPr>
            <w:r>
              <w:t>RSI rule</w:t>
            </w:r>
          </w:p>
        </w:tc>
        <w:tc>
          <w:tcPr>
            <w:tcW w:w="1900" w:type="dxa"/>
            <w:vAlign w:val="center"/>
          </w:tcPr>
          <w:p>
            <w:pPr>
              <w:pStyle w:val="TableNumber"/>
            </w:pPr>
            <w:r>
              <w:t>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-0.0255</w:t>
            </w:r>
          </w:p>
        </w:tc>
      </w:tr>
      <w:tr>
        <w:trPr>
          <w:cantSplit/>
        </w:trPr>
        <w:tc>
          <w:tcPr>
            <w:tcW w:w="650" w:type="dxa"/>
            <w:vAlign w:val="center"/>
          </w:tcPr>
          <w:p>
            <w:pPr>
              <w:pStyle w:val="TableNumber"/>
            </w:pPr>
            <w:r>
              <w:t>11</w:t>
            </w:r>
          </w:p>
        </w:tc>
        <w:tc>
          <w:tcPr>
            <w:tcW w:w="2800" w:type="dxa"/>
            <w:vAlign w:val="center"/>
          </w:tcPr>
          <w:p>
            <w:pPr>
              <w:pStyle w:val="TableText"/>
            </w:pPr>
            <w:r>
              <w:t>Volatility-scaled rule</w:t>
            </w:r>
          </w:p>
        </w:tc>
        <w:tc>
          <w:tcPr>
            <w:tcW w:w="1900" w:type="dxa"/>
            <w:vAlign w:val="center"/>
          </w:tcPr>
          <w:p>
            <w:pPr>
              <w:pStyle w:val="TableNumber"/>
            </w:pPr>
            <w:r>
              <w:t>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0.0185</w:t>
            </w:r>
          </w:p>
        </w:tc>
      </w:tr>
      <w:tr>
        <w:trPr>
          <w:cantSplit/>
        </w:trPr>
        <w:tc>
          <w:tcPr>
            <w:tcW w:w="650" w:type="dxa"/>
            <w:vAlign w:val="center"/>
          </w:tcPr>
          <w:p>
            <w:pPr>
              <w:pStyle w:val="TableNumber"/>
            </w:pPr>
            <w:r>
              <w:t>12</w:t>
            </w:r>
          </w:p>
        </w:tc>
        <w:tc>
          <w:tcPr>
            <w:tcW w:w="2800" w:type="dxa"/>
            <w:vAlign w:val="center"/>
          </w:tcPr>
          <w:p>
            <w:pPr>
              <w:pStyle w:val="TableText"/>
            </w:pPr>
            <w:r>
              <w:t>Five-day momentum</w:t>
            </w:r>
          </w:p>
        </w:tc>
        <w:tc>
          <w:tcPr>
            <w:tcW w:w="1900" w:type="dxa"/>
            <w:vAlign w:val="center"/>
          </w:tcPr>
          <w:p>
            <w:pPr>
              <w:pStyle w:val="TableNumber"/>
            </w:pPr>
            <w:r>
              <w:t>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0.0187</w:t>
            </w:r>
          </w:p>
        </w:tc>
      </w:tr>
      <w:tr>
        <w:trPr>
          <w:cantSplit/>
        </w:trPr>
        <w:tc>
          <w:tcPr>
            <w:tcW w:w="650" w:type="dxa"/>
            <w:vAlign w:val="center"/>
          </w:tcPr>
          <w:p>
            <w:pPr>
              <w:pStyle w:val="TableNumber"/>
            </w:pPr>
            <w:r>
              <w:t>13</w:t>
            </w:r>
          </w:p>
        </w:tc>
        <w:tc>
          <w:tcPr>
            <w:tcW w:w="2800" w:type="dxa"/>
            <w:vAlign w:val="center"/>
          </w:tcPr>
          <w:p>
            <w:pPr>
              <w:pStyle w:val="TableText"/>
            </w:pPr>
            <w:r>
              <w:t>Five-day reversal</w:t>
            </w:r>
          </w:p>
        </w:tc>
        <w:tc>
          <w:tcPr>
            <w:tcW w:w="1900" w:type="dxa"/>
            <w:vAlign w:val="center"/>
          </w:tcPr>
          <w:p>
            <w:pPr>
              <w:pStyle w:val="TableNumber"/>
            </w:pPr>
            <w:r>
              <w:t>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-0.0187</w:t>
            </w:r>
          </w:p>
        </w:tc>
      </w:tr>
    </w:tbl>
    <w:p>
      <w:pPr>
        <w:pStyle w:val="Note"/>
        <w:spacing w:before="160"/>
      </w:pPr>
      <w:r>
        <w:t xml:space="preserve">Learned baselines use seed 42; model rank uses only 14-horizon raw normalized pinball. Coverage is a 14H mean; mean correlation is not a pooled-sample correlation. RankIC retains the five-day pooled-market reference. A fixed forecast has no numerical variance, so correlation is not applicable; JSON zeros are a computational convention, not measured zero correlation.</w:t>
      </w:r>
    </w:p>
    <w:p>
      <w:pPr>
        <w:pStyle w:val="11"/>
      </w:pPr>
      <w:r>
        <w:t>Appendix B Reproducibility and evidence sources</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Evidence</w:t>
            </w:r>
          </w:p>
        </w:tc>
        <w:tc>
          <w:tcPr>
            <w:tcW w:w="6360" w:type="dxa"/>
            <w:shd w:val="clear" w:fill="DCE6F1"/>
            <w:vAlign w:val="center"/>
          </w:tcPr>
          <w:p>
            <w:pPr>
              <w:pStyle w:val="TableHeader"/>
            </w:pPr>
            <w:r>
              <w:t>Value or purpose</w:t>
            </w:r>
          </w:p>
        </w:tc>
      </w:tr>
      <w:tr>
        <w:trPr>
          <w:cantSplit/>
        </w:trPr>
        <w:tc>
          <w:tcPr>
            <w:tcW w:w="3000" w:type="dxa"/>
            <w:vAlign w:val="center"/>
          </w:tcPr>
          <w:p>
            <w:pPr>
              <w:pStyle w:val="TableText"/>
            </w:pPr>
            <w:r>
              <w:t>Run ID</w:t>
            </w:r>
          </w:p>
        </w:tc>
        <w:tc>
          <w:tcPr>
            <w:tcW w:w="6360" w:type="dxa"/>
            <w:vAlign w:val="center"/>
          </w:tcPr>
          <w:p>
            <w:pPr>
              <w:pStyle w:val="TableText"/>
            </w:pPr>
            <w:r>
              <w:t>run-20261007T085627Z-cc5f9ef13b484d90</w:t>
            </w:r>
          </w:p>
        </w:tc>
      </w:tr>
      <w:tr>
        <w:trPr>
          <w:cantSplit/>
        </w:trPr>
        <w:tc>
          <w:tcPr>
            <w:tcW w:w="3000" w:type="dxa"/>
            <w:vAlign w:val="center"/>
          </w:tcPr>
          <w:p>
            <w:pPr>
              <w:pStyle w:val="TableText"/>
            </w:pPr>
            <w:r>
              <w:t>Best checkpoint</w:t>
            </w:r>
          </w:p>
        </w:tc>
        <w:tc>
          <w:tcPr>
            <w:tcW w:w="6360" w:type="dxa"/>
            <w:vAlign w:val="center"/>
          </w:tcPr>
          <w:p>
            <w:pPr>
              <w:pStyle w:val="TableText"/>
            </w:pPr>
            <w:r>
              <w:t>checkpoint-014720; validation monitor 0.261745717706; test score 0.291608468477</w:t>
            </w:r>
          </w:p>
        </w:tc>
      </w:tr>
      <w:tr>
        <w:trPr>
          <w:cantSplit/>
        </w:trPr>
        <w:tc>
          <w:tcPr>
            <w:tcW w:w="3000" w:type="dxa"/>
            <w:vAlign w:val="center"/>
          </w:tcPr>
          <w:p>
            <w:pPr>
              <w:pStyle w:val="TableText"/>
            </w:pPr>
            <w:r>
              <w:t>Model configuration</w:t>
            </w:r>
          </w:p>
        </w:tc>
        <w:tc>
          <w:tcPr>
            <w:tcW w:w="6360" w:type="dxa"/>
            <w:vAlign w:val="center"/>
          </w:tcPr>
          <w:p>
            <w:pPr>
              <w:pStyle w:val="TableText"/>
            </w:pPr>
            <w:r>
              <w:t>a-lora64; LoRA rank=64 / alpha=128; unfreeze last 0 blocks</w:t>
            </w:r>
          </w:p>
        </w:tc>
      </w:tr>
      <w:tr>
        <w:trPr>
          <w:cantSplit/>
        </w:trPr>
        <w:tc>
          <w:tcPr>
            <w:tcW w:w="3000" w:type="dxa"/>
            <w:vAlign w:val="center"/>
          </w:tcPr>
          <w:p>
            <w:pPr>
              <w:pStyle w:val="TableText"/>
            </w:pPr>
            <w:r>
              <w:t>Output schema</w:t>
            </w:r>
          </w:p>
        </w:tc>
        <w:tc>
          <w:tcPr>
            <w:tcW w:w="6360" w:type="dxa"/>
            <w:vAlign w:val="center"/>
          </w:tcPr>
          <w:p>
            <w:pPr>
              <w:pStyle w:val="TableText"/>
            </w:pPr>
            <w:r>
              <w:t>model_output_schema_version=5.0; alpha_quantiles [batch,14,3]; horizons 1–14; q10/q50/q90</w:t>
            </w:r>
          </w:p>
        </w:tc>
      </w:tr>
      <w:tr>
        <w:trPr>
          <w:cantSplit/>
        </w:trPr>
        <w:tc>
          <w:tcPr>
            <w:tcW w:w="3000" w:type="dxa"/>
            <w:vAlign w:val="center"/>
          </w:tcPr>
          <w:p>
            <w:pPr>
              <w:pStyle w:val="TableText"/>
            </w:pPr>
            <w:r>
              <w:t>Evaluation state</w:t>
            </w:r>
          </w:p>
        </w:tc>
        <w:tc>
          <w:tcPr>
            <w:tcW w:w="6360" w:type="dxa"/>
            <w:vAlign w:val="center"/>
          </w:tcPr>
          <w:p>
            <w:pPr>
              <w:pStyle w:val="TableText"/>
            </w:pPr>
            <w:r>
              <w:t>state=ready; split=test; test_unlocked=true; 534,327 rows / 112 dates</w:t>
            </w:r>
          </w:p>
        </w:tc>
      </w:tr>
      <w:tr>
        <w:trPr>
          <w:cantSplit/>
        </w:trPr>
        <w:tc>
          <w:tcPr>
            <w:tcW w:w="3000" w:type="dxa"/>
            <w:vAlign w:val="center"/>
          </w:tcPr>
          <w:p>
            <w:pPr>
              <w:pStyle w:val="TableText"/>
            </w:pPr>
            <w:r>
              <w:t>Training lifecycle</w:t>
            </w:r>
          </w:p>
        </w:tc>
        <w:tc>
          <w:tcPr>
            <w:tcW w:w="6360" w:type="dxa"/>
            <w:vAlign w:val="center"/>
          </w:tcPr>
          <w:p>
            <w:pPr>
              <w:pStyle w:val="TableText"/>
            </w:pPr>
            <w:r>
              <w:t>state=ready; exit_code=0; timed_out=false; training_completed=true</w:t>
            </w:r>
          </w:p>
        </w:tc>
      </w:tr>
      <w:tr>
        <w:trPr>
          <w:cantSplit/>
        </w:trPr>
        <w:tc>
          <w:tcPr>
            <w:tcW w:w="3000" w:type="dxa"/>
            <w:vAlign w:val="center"/>
          </w:tcPr>
          <w:p>
            <w:pPr>
              <w:pStyle w:val="TableText"/>
            </w:pPr>
            <w:r>
              <w:t>Dataset manifest SHA-256</w:t>
            </w:r>
          </w:p>
        </w:tc>
        <w:tc>
          <w:tcPr>
            <w:tcW w:w="6360" w:type="dxa"/>
            <w:vAlign w:val="center"/>
          </w:tcPr>
          <w:p>
            <w:pPr>
              <w:pStyle w:val="TableText"/>
            </w:pPr>
            <w:r>
              <w:t>9f26f1f29cf1dd1a57b368a9b5ace3fcafe9098fb8d2a06a7ba2c39bad7592b6</w:t>
            </w:r>
          </w:p>
        </w:tc>
      </w:tr>
      <w:tr>
        <w:trPr>
          <w:cantSplit/>
        </w:trPr>
        <w:tc>
          <w:tcPr>
            <w:tcW w:w="3000" w:type="dxa"/>
            <w:vAlign w:val="center"/>
          </w:tcPr>
          <w:p>
            <w:pPr>
              <w:pStyle w:val="TableText"/>
            </w:pPr>
            <w:r>
              <w:t>Test membership SHA-256</w:t>
            </w:r>
          </w:p>
        </w:tc>
        <w:tc>
          <w:tcPr>
            <w:tcW w:w="6360" w:type="dxa"/>
            <w:vAlign w:val="center"/>
          </w:tcPr>
          <w:p>
            <w:pPr>
              <w:pStyle w:val="TableText"/>
            </w:pPr>
            <w:r>
              <w:t>93e2e6a0b74edbdce616b82628aed180dad4d004a9bcd24292a78896c240bc0d</w:t>
            </w:r>
          </w:p>
        </w:tc>
      </w:tr>
    </w:tbl>
    <w:p>
      <w:pPr>
        <w:pStyle w:val="Note"/>
        <w:spacing w:before="160"/>
      </w:pPr>
      <w:r>
        <w:t xml:space="preserve">Local evidence root: artifacts/runpod/run-20261007T085627Z-cc5f9ef13b484d90/. This revision changes reports only: no retraining, prepare/baseline rebuilding, evaluator or handbook edits. Field-level provenance follows. Do not mix these completed tests with a-adaptive64 multi-seed training that lacks final test results.</w:t>
      </w:r>
    </w:p>
    <w:p>
      <w:pPr>
        <w:pStyle w:val="11"/>
      </w:pPr>
      <w:r>
        <w:t xml:space="preserve">Appendix C Metric sources and evidence gaps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Item</w:t>
            </w:r>
          </w:p>
        </w:tc>
        <w:tc>
          <w:tcPr>
            <w:tcW w:w="6960" w:type="dxa"/>
            <w:shd w:fill="DCE6F1"/>
            <w:vAlign w:val="center"/>
          </w:tcPr>
          <w:p>
            <w:pPr>
              <w:pStyle w:val="TableHeader"/>
            </w:pPr>
            <w:r>
              <w:t xml:space="preserve">Source field</w:t>
            </w:r>
          </w:p>
        </w:tc>
      </w:tr>
      <w:tr>
        <w:trPr>
          <w:cantSplit/>
        </w:trPr>
        <w:tc>
          <w:tcPr>
            <w:tcW w:w="2400" w:type="dxa"/>
            <w:shd w:fill="FFFFFF"/>
            <w:vAlign w:val="center"/>
          </w:tcPr>
          <w:p>
            <w:pPr>
              <w:pStyle w:val="TableText"/>
            </w:pPr>
            <w:r>
              <w:t xml:space="preserve">Experiment identity</w:t>
            </w:r>
          </w:p>
        </w:tc>
        <w:tc>
          <w:tcPr>
            <w:tcW w:w="6960" w:type="dxa"/>
            <w:shd w:fill="FFFFFF"/>
            <w:vAlign w:val="center"/>
          </w:tcPr>
          <w:p>
            <w:pPr>
              <w:pStyle w:val="TableText"/>
            </w:pPr>
            <w:r>
              <w:t xml:space="preserve">resolved-config.yaml experiment_name；run-manifest.json selection_provenance.stage_config_path</w:t>
            </w:r>
          </w:p>
        </w:tc>
      </w:tr>
      <w:tr>
        <w:trPr>
          <w:cantSplit/>
        </w:trPr>
        <w:tc>
          <w:tcPr>
            <w:tcW w:w="2400" w:type="dxa"/>
            <w:shd w:fill="F7F9FC"/>
            <w:vAlign w:val="center"/>
          </w:tcPr>
          <w:p>
            <w:pPr>
              <w:pStyle w:val="TableText"/>
            </w:pPr>
            <w:r>
              <w:t xml:space="preserve">Raw distributions</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Calibrated distributions</w:t>
            </w:r>
          </w:p>
        </w:tc>
        <w:tc>
          <w:tcPr>
            <w:tcW w:w="6960" w:type="dxa"/>
            <w:shd w:fill="FFFFFF"/>
            <w:vAlign w:val="center"/>
          </w:tcPr>
          <w:p>
            <w:pPr>
              <w:pStyle w:val="TableText"/>
            </w:pPr>
            <w:r>
              <w:t xml:space="preserve">models.kronos_full.metrics.calibrated.aggregate / per_horizon / by_market</w:t>
            </w:r>
          </w:p>
        </w:tc>
      </w:tr>
      <w:tr>
        <w:trPr>
          <w:cantSplit/>
        </w:trPr>
        <w:tc>
          <w:tcPr>
            <w:tcW w:w="2400" w:type="dxa"/>
            <w:shd w:fill="F7F9FC"/>
            <w:vAlign w:val="center"/>
          </w:tcPr>
          <w:p>
            <w:pPr>
              <w:pStyle w:val="TableText"/>
            </w:pPr>
            <w:r>
              <w:t xml:space="preserve">Calibration source</w:t>
            </w:r>
          </w:p>
        </w:tc>
        <w:tc>
          <w:tcPr>
            <w:tcW w:w="6960" w:type="dxa"/>
            <w:shd w:fill="F7F9FC"/>
            <w:vAlign w:val="center"/>
          </w:tcPr>
          <w:p>
            <w:pPr>
              <w:pStyle w:val="TableText"/>
            </w:pPr>
            <w:r>
              <w:t xml:space="preserve">metrics.interval_calibration = interval-calibration.json；fit_split=validation；calibrated.in_sample_fit=false</w:t>
            </w:r>
          </w:p>
        </w:tc>
      </w:tr>
      <w:tr>
        <w:trPr>
          <w:cantSplit/>
        </w:trPr>
        <w:tc>
          <w:tcPr>
            <w:tcW w:w="2400" w:type="dxa"/>
            <w:shd w:fill="FFFFFF"/>
            <w:vAlign w:val="center"/>
          </w:tcPr>
          <w:p>
            <w:pPr>
              <w:pStyle w:val="TableText"/>
            </w:pPr>
            <w:r>
              <w:t xml:space="preserve">Market raw</w:t>
            </w:r>
          </w:p>
        </w:tc>
        <w:tc>
          <w:tcPr>
            <w:tcW w:w="6960" w:type="dxa"/>
            <w:shd w:fill="FFFFFF"/>
            <w:vAlign w:val="center"/>
          </w:tcPr>
          <w:p>
            <w:pPr>
              <w:pStyle w:val="TableText"/>
            </w:pPr>
            <w:r>
              <w:t xml:space="preserve">models.kronos_full.metrics.subgroups.market.&lt;MARKET&gt;.aggregate / per_horizon</w:t>
            </w:r>
          </w:p>
        </w:tc>
      </w:tr>
      <w:tr>
        <w:trPr>
          <w:cantSplit/>
        </w:trPr>
        <w:tc>
          <w:tcPr>
            <w:tcW w:w="2400" w:type="dxa"/>
            <w:shd w:fill="F7F9FC"/>
            <w:vAlign w:val="center"/>
          </w:tcPr>
          <w:p>
            <w:pPr>
              <w:pStyle w:val="TableText"/>
            </w:pPr>
            <w:r>
              <w:t xml:space="preserve">q50 ranking</w:t>
            </w:r>
          </w:p>
        </w:tc>
        <w:tc>
          <w:tcPr>
            <w:tcW w:w="6960" w:type="dxa"/>
            <w:shd w:fill="F7F9FC"/>
            <w:vAlign w:val="center"/>
          </w:tcPr>
          <w:p>
            <w:pPr>
              <w:pStyle w:val="TableText"/>
            </w:pPr>
            <w:r>
              <w:t xml:space="preserve">metrics.cross_sectional_by_horizon.&lt;H&gt;；pooled US TWSE TPEX</w:t>
            </w:r>
          </w:p>
        </w:tc>
      </w:tr>
      <w:tr>
        <w:trPr>
          <w:cantSplit/>
        </w:trPr>
        <w:tc>
          <w:tcPr>
            <w:tcW w:w="2400" w:type="dxa"/>
            <w:shd w:fill="FFFFFF"/>
            <w:vAlign w:val="center"/>
          </w:tcPr>
          <w:p>
            <w:pPr>
              <w:pStyle w:val="TableText"/>
            </w:pPr>
            <w:r>
              <w:t xml:space="preserve">Independent ranking</w:t>
            </w:r>
          </w:p>
        </w:tc>
        <w:tc>
          <w:tcPr>
            <w:tcW w:w="6960" w:type="dxa"/>
            <w:shd w:fill="FFFFFF"/>
            <w:vAlign w:val="center"/>
          </w:tcPr>
          <w:p>
            <w:pPr>
              <w:pStyle w:val="TableText"/>
            </w:pPr>
            <w:r>
              <w:t xml:space="preserve">metrics.independent_ranking.by_market.&lt;MARKET&gt;.&lt;H&gt;.rank_ic_mean / rank_ic_ir / evaluated_dates</w:t>
            </w:r>
          </w:p>
        </w:tc>
      </w:tr>
      <w:tr>
        <w:trPr>
          <w:cantSplit/>
        </w:trPr>
        <w:tc>
          <w:tcPr>
            <w:tcW w:w="2400" w:type="dxa"/>
            <w:shd w:fill="F7F9FC"/>
            <w:vAlign w:val="center"/>
          </w:tcPr>
          <w:p>
            <w:pPr>
              <w:pStyle w:val="TableText"/>
            </w:pPr>
            <w:r>
              <w:t xml:space="preserve">Fixed distributions</w:t>
            </w:r>
          </w:p>
        </w:tc>
        <w:tc>
          <w:tcPr>
            <w:tcW w:w="6960" w:type="dxa"/>
            <w:shd w:fill="F7F9FC"/>
            <w:vAlign w:val="center"/>
          </w:tcPr>
          <w:p>
            <w:pPr>
              <w:pStyle w:val="TableText"/>
            </w:pPr>
            <w:r>
              <w:t xml:space="preserve">models.zero_return.metrics.per_horizon.&lt;H&gt;.median_direction_agreement；equals models.always_buy.metrics</w:t>
            </w:r>
          </w:p>
        </w:tc>
      </w:tr>
      <w:tr>
        <w:trPr>
          <w:cantSplit/>
        </w:trPr>
        <w:tc>
          <w:tcPr>
            <w:tcW w:w="2400" w:type="dxa"/>
            <w:shd w:fill="FFFFFF"/>
            <w:vAlign w:val="center"/>
          </w:tcPr>
          <w:p>
            <w:pPr>
              <w:pStyle w:val="TableText"/>
            </w:pPr>
            <w:r>
              <w:t xml:space="preserve">Checkpoint chronology</w:t>
            </w:r>
          </w:p>
        </w:tc>
        <w:tc>
          <w:tcPr>
            <w:tcW w:w="6960" w:type="dxa"/>
            <w:shd w:fill="FFFFFF"/>
            <w:vAlign w:val="center"/>
          </w:tcPr>
          <w:p>
            <w:pPr>
              <w:pStyle w:val="TableText"/>
            </w:pPr>
            <w:r>
              <w:t xml:space="preserve">metrics.jsonl validation/evaluation_index；best-checkpoint.json；checkpoint-leaderboard.json；trainer-state.json</w:t>
            </w:r>
          </w:p>
        </w:tc>
      </w:tr>
      <w:tr>
        <w:trPr>
          <w:cantSplit/>
        </w:trPr>
        <w:tc>
          <w:tcPr>
            <w:tcW w:w="2400" w:type="dxa"/>
            <w:shd w:fill="F7F9FC"/>
            <w:vAlign w:val="center"/>
          </w:tcPr>
          <w:p>
            <w:pPr>
              <w:pStyle w:val="TableText"/>
            </w:pPr>
            <w:r>
              <w:t xml:space="preserve">Strategy limitation code</w:t>
            </w:r>
          </w:p>
        </w:tc>
        <w:tc>
          <w:tcPr>
            <w:tcW w:w="6960" w:type="dxa"/>
            <w:shd w:fill="F7F9FC"/>
            <w:vAlign w:val="center"/>
          </w:tcPr>
          <w:p>
            <w:pPr>
              <w:pStyle w:val="TableText"/>
            </w:pPr>
            <w:r>
              <w:t xml:space="preserve">src/stock_forecasting/metrics.py cross_sectional_metrics；weights ±0.5 / gross unscaled</w:t>
            </w:r>
          </w:p>
        </w:tc>
      </w:tr>
    </w:tbl>
    <w:p>
      <w:pPr>
        <w:pStyle w:val="a"/>
        <w:spacing w:before="160"/>
      </w:pPr>
      <w:r>
        <w:t xml:space="preserve">Gaps: the three local run directories contain summary artifacts, not complete targets.npy, predictions.npy, membership.npy or ranking-scores.npy sequences. JSON provides neither a same-market same-date q50 RankIC comparator nor a portfolio sequence recomputed at a consistent capital scale. These are not computed or not downloaded, not zero or no improvement. Aggregate report edits cannot replace recomputation.</w:t>
      </w:r>
    </w:p>
    <w:p>
      <w:pPr>
        <w:pStyle w:val="21"/>
      </w:pPr>
      <w:r>
        <w:t xml:space="preserve">Calibration modes and future reporting rules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Field</w:t>
            </w:r>
          </w:p>
        </w:tc>
        <w:tc>
          <w:tcPr>
            <w:tcW w:w="2300" w:type="dxa"/>
            <w:shd w:fill="DCE6F1"/>
            <w:vAlign w:val="center"/>
          </w:tcPr>
          <w:p>
            <w:pPr>
              <w:pStyle w:val="TableHeader"/>
            </w:pPr>
            <w:r>
              <w:t xml:space="preserve">Status here</w:t>
            </w:r>
          </w:p>
        </w:tc>
        <w:tc>
          <w:tcPr>
            <w:tcW w:w="4460" w:type="dxa"/>
            <w:shd w:fill="DCE6F1"/>
            <w:vAlign w:val="center"/>
          </w:tcPr>
          <w:p>
            <w:pPr>
              <w:pStyle w:val="TableHeader"/>
            </w:pPr>
            <w:r>
              <w:t xml:space="preserve">Interpretation</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Present</w:t>
            </w:r>
          </w:p>
        </w:tc>
        <w:tc>
          <w:tcPr>
            <w:tcW w:w="4460" w:type="dxa"/>
            <w:shd w:fill="FFFFFF"/>
            <w:vAlign w:val="center"/>
          </w:tcPr>
          <w:p>
            <w:pPr>
              <w:pStyle w:val="TableText"/>
            </w:pPr>
            <w:r>
              <w:t xml:space="preserve">Raw validation alone selects checkpoints</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Present static calibration</w:t>
            </w:r>
          </w:p>
        </w:tc>
        <w:tc>
          <w:tcPr>
            <w:tcW w:w="4460" w:type="dxa"/>
            <w:shd w:fill="F7F9FC"/>
            <w:vAlign w:val="center"/>
          </w:tcPr>
          <w:p>
            <w:pPr>
              <w:pStyle w:val="TableText"/>
            </w:pPr>
            <w:r>
              <w:t xml:space="preserve">Validation-fitted and frozen on test in these runs</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N/A no separate field</w:t>
            </w:r>
          </w:p>
        </w:tc>
        <w:tc>
          <w:tcPr>
            <w:tcW w:w="4460" w:type="dxa"/>
            <w:shd w:fill="FFFFFF"/>
            <w:vAlign w:val="center"/>
          </w:tcPr>
          <w:p>
            <w:pPr>
              <w:pStyle w:val="TableText"/>
            </w:pPr>
            <w:r>
              <w:t xml:space="preserve">Report separately as the static comparator when available in adaptive runs</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N/A absent</w:t>
            </w:r>
          </w:p>
        </w:tc>
        <w:tc>
          <w:tcPr>
            <w:tcW w:w="4460" w:type="dxa"/>
            <w:shd w:fill="F7F9FC"/>
            <w:vAlign w:val="center"/>
          </w:tcPr>
          <w:p>
            <w:pPr>
              <w:pStyle w:val="TableText"/>
            </w:pPr>
            <w:r>
              <w:t xml:space="preserve">Future delayed matured-label feedback; not a fully frozen holdout</w:t>
            </w:r>
          </w:p>
        </w:tc>
      </w:tr>
    </w:tbl>
    <w:p>
      <w:pPr>
        <w:pStyle w:val="a"/>
        <w:spacing w:before="160"/>
      </w:pPr>
      <w:r>
        <w:t xml:space="preserve">In future adaptive runs, calibrated denotes frozen regime-adaptive calibration, not the static meaning in these runs. Present calibrated_static, calibrated and calibrated_online separately when available, with aggregate/horizon/market and available month pinball, coverage, error and width. State fitting source, label maturity, update timing and checkpoint. Absent modes are N/A and unavailable calculations are not computed, never zeros. Online does not alter model selection, but uses past test feedback and is not a fully frozen test.</w:t>
      </w:r>
    </w:p>
    <w:p>
      <w:pPr>
        <w:pStyle w:val="21"/>
      </w:pPr>
      <w:r>
        <w:t xml:space="preserve">Evidence file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pPr>
            <w:r>
              <w:t xml:space="preserve">File</w:t>
            </w:r>
          </w:p>
        </w:tc>
        <w:tc>
          <w:tcPr>
            <w:tcW w:w="6760" w:type="dxa"/>
            <w:shd w:fill="DCE6F1"/>
            <w:vAlign w:val="center"/>
          </w:tcPr>
          <w:p>
            <w:pPr>
              <w:pStyle w:val="TableHeader"/>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df56a0bc1c0767074b6d48d312aa40b313b933eb529ddb3e241497ff372366f3</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c0d03185afae56f1dec1b0b36481e9420ed01655572918e998c8545906bdd561</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382c28e707fc5ca64fbc2010578a4eb3d696814d7ebd94d30976c43363fe1bec</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746089fc10bb74b541f9cafea952ff6e833a50df324e3b26ab0d1e2fc5be541d</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39ea23dfc6bcb795d2c621fe7ea49ea2a2e00b1b6ee4376f76f1cbbbcc360d45</w:t>
            </w:r>
          </w:p>
        </w:tc>
      </w:tr>
    </w:tbl>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Stage 2 Alpha Forecast Holdout Test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A-LoRA64 model performance report revised 20261009</dc:title>
  <dc:subject>Stage 2 validation report using schema 5.0 outputs</dc:subject>
  <dc:creator>stock_forecasting project</dc:creator>
  <ns0:keywords>Kronos, quantile forecast, benchmark-relative alpha, pinball loss, RankIC, validation</ns0:keywords>
  <dc:description>Bilingual Stage 2 model performance evaluation based on immutable run artifacts.</dc:description>
  <ns0:lastModifiedBy>鷹揚 牧野</ns0:lastModifiedBy>
  <ns0:revision>4</ns0:revision>
  <dcterms:created xsi:type="dcterms:W3CDTF">2026-07-17T00:00:00Z</dcterms:created>
  <dcterms:modified xsi:type="dcterms:W3CDTF">2026-10-09T00:00:00Z</dcterms:modified>
</ns0:coreProperties>
</file>