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ReportTitle"/>
      </w:pPr>
      <w:r>
        <w:t>1 至 14 日 Alpha 預測驗證</w:t>
      </w:r>
    </w:p>
    <w:p>
      <w:pPr>
        <w:pStyle w:val="1"/>
      </w:pPr>
      <w:r>
        <w:t>Stage 2｜run-20260917T110811Z-1986920595</w:t>
      </w:r>
    </w:p>
    <w:p>
      <w:pPr>
        <w:pStyle w:val="Metadata"/>
      </w:pPr>
      <w:r>
        <w:t>報告日期：2026-09-19</w:t>
      </w:r>
    </w:p>
    <w:p>
      <w:pPr>
        <w:pStyle w:val="Metadata"/>
      </w:pPr>
      <w:r>
        <w:t>最佳 checkpoint：checkpoint-094452（global step 94,452）</w:t>
      </w:r>
    </w:p>
    <w:p>
      <w:pPr>
        <w:pStyle w:val="Metadata"/>
      </w:pPr>
      <w:r>
        <w:t>評估資料：test；checkpoint 由 validation 選出；test 已解鎖</w:t>
      </w:r>
    </w:p>
    <w:p>
      <w:pPr>
        <w:pStyle w:val="Lead"/>
      </w:pPr>
      <w:r>
        <w:t>結論：本輪最佳 checkpoint 在 20,000 筆固定 test benchmark 上得到 1 至 14 日 score 0.313541，於 13 個模型中排名第 1；在具完整 14 日輸出的 9 個模型中，逐 horizon normalized pinball、RankIC 與成本後 Sharpe 均為 14／14 第 1。q50 correlation 為 0.0499 至 0.1588，方向一致率為 53.03% 至 58.88%；q10 至 q90 coverage 僅 69.58% 至 75.90%，14 個 horizon 全低於名目 80%。最大回撤從 -5.13% 至 -56.10%，最差在 10d。這些結果支持候選模型的分布與排序表現，但不能證明可實現獲利或直接部署。</w:t>
      </w:r>
    </w:p>
    <w:p>
      <w:pPr>
        <w:pStyle w:val="11"/>
      </w:pPr>
      <w:r>
        <w:t>1. 執行摘要</w:t>
      </w:r>
    </w:p>
    <w:p>
      <w:pPr>
        <w:pStyle w:val="21"/>
      </w:pPr>
      <w:r>
        <w:t>1.1 評估單位是全部 14 個 horizon</w:t>
      </w:r>
    </w:p>
    <w:p>
      <w:pPr>
        <w:pStyle w:val="a"/>
      </w:pPr>
      <w:r>
        <w:t>每筆樣本包含 14 組獨立的 q10、q50、q90，分別回答持有 1、2、一直到 14 個共同交易日後，相對 benchmark 的可能報酬分布。selection score 是 14 個 horizon 的 normalized pinball 等權平均；報告中的逐 horizon 表格則檢查模型是否只在少數天期表現好。</w:t>
      </w:r>
    </w:p>
    <w:p>
      <w:pPr>
        <w:pStyle w:val="Decision"/>
        <w:keepNext/>
        <w:spacing w:after="80"/>
      </w:pPr>
      <w:r>
        <w:t>表 1｜跨 1 至 14 日的核心結論</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評估面向</w:t>
            </w:r>
          </w:p>
        </w:tc>
        <w:tc>
          <w:tcPr>
            <w:tcW w:w="2800" w:type="dxa"/>
            <w:shd w:val="clear" w:fill="DCE6F1"/>
            <w:vAlign w:val="center"/>
          </w:tcPr>
          <w:p>
            <w:pPr>
              <w:pStyle w:val="TableHeader"/>
            </w:pPr>
            <w:r>
              <w:t>本次結果</w:t>
            </w:r>
          </w:p>
        </w:tc>
        <w:tc>
          <w:tcPr>
            <w:tcW w:w="3910" w:type="dxa"/>
            <w:shd w:val="clear" w:fill="DCE6F1"/>
            <w:vAlign w:val="center"/>
          </w:tcPr>
          <w:p>
            <w:pPr>
              <w:pStyle w:val="TableHeader"/>
            </w:pPr>
            <w:r>
              <w:t>正確解讀</w:t>
            </w:r>
          </w:p>
        </w:tc>
      </w:tr>
      <w:tr>
        <w:trPr>
          <w:cantSplit/>
        </w:trPr>
        <w:tc>
          <w:tcPr>
            <w:tcW w:w="2650" w:type="dxa"/>
            <w:vAlign w:val="center"/>
          </w:tcPr>
          <w:p>
            <w:pPr>
              <w:pStyle w:val="TableText"/>
            </w:pPr>
            <w:r>
              <w:t>全 horizon test score</w:t>
            </w:r>
          </w:p>
        </w:tc>
        <w:tc>
          <w:tcPr>
            <w:tcW w:w="2800" w:type="dxa"/>
            <w:vAlign w:val="center"/>
          </w:tcPr>
          <w:p>
            <w:pPr>
              <w:pStyle w:val="TableNumber"/>
            </w:pPr>
            <w:r>
              <w:t>0.313541</w:t>
            </w:r>
          </w:p>
        </w:tc>
        <w:tc>
          <w:tcPr>
            <w:tcW w:w="3910" w:type="dxa"/>
            <w:vAlign w:val="center"/>
          </w:tcPr>
          <w:p>
            <w:pPr>
              <w:pStyle w:val="TableText"/>
            </w:pPr>
            <w:r>
              <w:t>13 個模型排名第 1；14 個 horizon 等權平均；checkpoint 由 validation 選出</w:t>
            </w:r>
          </w:p>
        </w:tc>
      </w:tr>
      <w:tr>
        <w:trPr>
          <w:cantSplit/>
        </w:trPr>
        <w:tc>
          <w:tcPr>
            <w:tcW w:w="2650" w:type="dxa"/>
            <w:vAlign w:val="center"/>
          </w:tcPr>
          <w:p>
            <w:pPr>
              <w:pStyle w:val="TableText"/>
            </w:pPr>
            <w:r>
              <w:t>逐 horizon normalized pinball</w:t>
            </w:r>
          </w:p>
        </w:tc>
        <w:tc>
          <w:tcPr>
            <w:tcW w:w="2800" w:type="dxa"/>
            <w:vAlign w:val="center"/>
          </w:tcPr>
          <w:p>
            <w:pPr>
              <w:pStyle w:val="TableNumber"/>
            </w:pPr>
            <w:r>
              <w:t>14／14 第 1（9 個完整輸出模型）</w:t>
            </w:r>
          </w:p>
        </w:tc>
        <w:tc>
          <w:tcPr>
            <w:tcW w:w="3910" w:type="dxa"/>
            <w:vAlign w:val="center"/>
          </w:tcPr>
          <w:p>
            <w:pPr>
              <w:pStyle w:val="TableText"/>
            </w:pPr>
            <w:r>
              <w:t>1 至 14 日各自排名第 1；不代表獲利或勝率</w:t>
            </w:r>
          </w:p>
        </w:tc>
      </w:tr>
      <w:tr>
        <w:trPr>
          <w:cantSplit/>
        </w:trPr>
        <w:tc>
          <w:tcPr>
            <w:tcW w:w="2650" w:type="dxa"/>
            <w:vAlign w:val="center"/>
          </w:tcPr>
          <w:p>
            <w:pPr>
              <w:pStyle w:val="TableText"/>
            </w:pPr>
            <w:r>
              <w:t>q50 Pearson correlation</w:t>
            </w:r>
          </w:p>
        </w:tc>
        <w:tc>
          <w:tcPr>
            <w:tcW w:w="2800" w:type="dxa"/>
            <w:vAlign w:val="center"/>
          </w:tcPr>
          <w:p>
            <w:pPr>
              <w:pStyle w:val="TableNumber"/>
            </w:pPr>
            <w:r>
              <w:t>0.0499 至 0.1588</w:t>
            </w:r>
          </w:p>
        </w:tc>
        <w:tc>
          <w:tcPr>
            <w:tcW w:w="3910" w:type="dxa"/>
            <w:vAlign w:val="center"/>
          </w:tcPr>
          <w:p>
            <w:pPr>
              <w:pStyle w:val="TableText"/>
            </w:pPr>
            <w:r>
              <w:t>全為正但偏弱；不能單獨視為可靠價格方向訊號</w:t>
            </w:r>
          </w:p>
        </w:tc>
      </w:tr>
      <w:tr>
        <w:trPr>
          <w:cantSplit/>
        </w:trPr>
        <w:tc>
          <w:tcPr>
            <w:tcW w:w="2650" w:type="dxa"/>
            <w:vAlign w:val="center"/>
          </w:tcPr>
          <w:p>
            <w:pPr>
              <w:pStyle w:val="TableText"/>
            </w:pPr>
            <w:r>
              <w:t>方向一致率</w:t>
            </w:r>
          </w:p>
        </w:tc>
        <w:tc>
          <w:tcPr>
            <w:tcW w:w="2800" w:type="dxa"/>
            <w:vAlign w:val="center"/>
          </w:tcPr>
          <w:p>
            <w:pPr>
              <w:pStyle w:val="TableNumber"/>
            </w:pPr>
            <w:r>
              <w:t>53.03% 至 58.88%</w:t>
            </w:r>
          </w:p>
        </w:tc>
        <w:tc>
          <w:tcPr>
            <w:tcW w:w="3910" w:type="dxa"/>
            <w:vAlign w:val="center"/>
          </w:tcPr>
          <w:p>
            <w:pPr>
              <w:pStyle w:val="TableText"/>
            </w:pPr>
            <w:r>
              <w:t>高於 50% 的幅度有限；方向命中不代表報酬幅度可預測</w:t>
            </w:r>
          </w:p>
        </w:tc>
      </w:tr>
      <w:tr>
        <w:trPr>
          <w:cantSplit/>
        </w:trPr>
        <w:tc>
          <w:tcPr>
            <w:tcW w:w="2650" w:type="dxa"/>
            <w:vAlign w:val="center"/>
          </w:tcPr>
          <w:p>
            <w:pPr>
              <w:pStyle w:val="TableText"/>
            </w:pPr>
            <w:r>
              <w:t>q10 至 q90 coverage</w:t>
            </w:r>
          </w:p>
        </w:tc>
        <w:tc>
          <w:tcPr>
            <w:tcW w:w="2800" w:type="dxa"/>
            <w:vAlign w:val="center"/>
          </w:tcPr>
          <w:p>
            <w:pPr>
              <w:pStyle w:val="TableNumber"/>
            </w:pPr>
            <w:r>
              <w:t>69.58% 至 75.90%</w:t>
            </w:r>
          </w:p>
        </w:tc>
        <w:tc>
          <w:tcPr>
            <w:tcW w:w="3910" w:type="dxa"/>
            <w:vAlign w:val="center"/>
          </w:tcPr>
          <w:p>
            <w:pPr>
              <w:pStyle w:val="TableText"/>
            </w:pPr>
            <w:r>
              <w:t>14／14 均低於名目 80%；區間偏窄或校準不足</w:t>
            </w:r>
          </w:p>
        </w:tc>
      </w:tr>
      <w:tr>
        <w:trPr>
          <w:cantSplit/>
        </w:trPr>
        <w:tc>
          <w:tcPr>
            <w:tcW w:w="2650" w:type="dxa"/>
            <w:vAlign w:val="center"/>
          </w:tcPr>
          <w:p>
            <w:pPr>
              <w:pStyle w:val="TableText"/>
            </w:pPr>
            <w:r>
              <w:t>RankIC</w:t>
            </w:r>
          </w:p>
        </w:tc>
        <w:tc>
          <w:tcPr>
            <w:tcW w:w="2800" w:type="dxa"/>
            <w:vAlign w:val="center"/>
          </w:tcPr>
          <w:p>
            <w:pPr>
              <w:pStyle w:val="TableNumber"/>
            </w:pPr>
            <w:r>
              <w:t>0.0423 至 0.0821；14／14 第 1</w:t>
            </w:r>
          </w:p>
        </w:tc>
        <w:tc>
          <w:tcPr>
            <w:tcW w:w="3910" w:type="dxa"/>
            <w:vAlign w:val="center"/>
          </w:tcPr>
          <w:p>
            <w:pPr>
              <w:pStyle w:val="TableText"/>
            </w:pPr>
            <w:r>
              <w:t>九個具完整 horizon 輸出的模型中皆排名第 1</w:t>
            </w:r>
          </w:p>
        </w:tc>
      </w:tr>
      <w:tr>
        <w:trPr>
          <w:cantSplit/>
        </w:trPr>
        <w:tc>
          <w:tcPr>
            <w:tcW w:w="2650" w:type="dxa"/>
            <w:vAlign w:val="center"/>
          </w:tcPr>
          <w:p>
            <w:pPr>
              <w:pStyle w:val="TableText"/>
            </w:pPr>
            <w:r>
              <w:t>成本後 Sharpe</w:t>
            </w:r>
          </w:p>
        </w:tc>
        <w:tc>
          <w:tcPr>
            <w:tcW w:w="2800" w:type="dxa"/>
            <w:vAlign w:val="center"/>
          </w:tcPr>
          <w:p>
            <w:pPr>
              <w:pStyle w:val="TableNumber"/>
            </w:pPr>
            <w:r>
              <w:t>1.52 至 4.72；14／14 第 1</w:t>
            </w:r>
          </w:p>
        </w:tc>
        <w:tc>
          <w:tcPr>
            <w:tcW w:w="3910" w:type="dxa"/>
            <w:vAlign w:val="center"/>
          </w:tcPr>
          <w:p>
            <w:pPr>
              <w:pStyle w:val="TableText"/>
            </w:pPr>
            <w:r>
              <w:t>只代表簡化回測風險調整報酬，不等同可實現績效</w:t>
            </w:r>
          </w:p>
        </w:tc>
      </w:tr>
      <w:tr>
        <w:trPr>
          <w:cantSplit/>
        </w:trPr>
        <w:tc>
          <w:tcPr>
            <w:tcW w:w="2650" w:type="dxa"/>
            <w:vAlign w:val="center"/>
          </w:tcPr>
          <w:p>
            <w:pPr>
              <w:pStyle w:val="TableText"/>
            </w:pPr>
            <w:r>
              <w:t>最大回撤</w:t>
            </w:r>
          </w:p>
        </w:tc>
        <w:tc>
          <w:tcPr>
            <w:tcW w:w="2800" w:type="dxa"/>
            <w:vAlign w:val="center"/>
          </w:tcPr>
          <w:p>
            <w:pPr>
              <w:pStyle w:val="TableNumber"/>
            </w:pPr>
            <w:r>
              <w:t>-56.10% 至 -5.13%</w:t>
            </w:r>
          </w:p>
        </w:tc>
        <w:tc>
          <w:tcPr>
            <w:tcW w:w="3910" w:type="dxa"/>
            <w:vAlign w:val="center"/>
          </w:tcPr>
          <w:p>
            <w:pPr>
              <w:pStyle w:val="TableText"/>
            </w:pPr>
            <w:r>
              <w:t>最差出現在 10d；長 horizon 的資金路徑風險偏高</w:t>
            </w:r>
          </w:p>
        </w:tc>
      </w:tr>
    </w:tbl>
    <w:p>
      <w:pPr>
        <w:pStyle w:val="21"/>
      </w:pPr>
      <w:r>
        <w:t>1.2 決策與證據強度</w:t>
      </w:r>
    </w:p>
    <w:p>
      <w:pPr>
        <w:pStyle w:val="a"/>
      </w:pPr>
      <w:r>
        <w:t>Kronos 的 test score 0.313541 排名第 1；相較第二名 Quantile GBDT（0.317588）低 1.27%，相較 zero-return baseline（0.332559）低 5.72%。逐 horizon normalized pinball 在 14 日全部排名第 1（9 個具完整 14 日輸出的模型）。上一輪雖同為 test，但其 dataset manifest 與 test symbol-date membership 不同，因此本報告不宣稱跨 run 的同條件增益。</w:t>
      </w:r>
    </w:p>
    <w:p>
      <w:pPr>
        <w:pStyle w:val="Decision"/>
      </w:pPr>
      <w:r>
        <w:t>決策：保留本輪 checkpoint 與固定 test 結果作候選證據；test 已完成一次性評分。在多 seed 穩定性、區間校準、台灣 provider 切片與長 horizon 回撤等風險完成驗證前，不批准部署或實盤使用。</w:t>
      </w:r>
    </w:p>
    <w:p>
      <w:pPr>
        <w:pStyle w:val="Note"/>
      </w:pPr>
      <w:r>
        <w:t>selection score 衡量 14 個 horizon 的分布誤差。它不是報酬率、勝率或可交易性分數。</w:t>
      </w:r>
    </w:p>
    <w:p>
      <w:pPr>
        <w:pStyle w:val="11"/>
      </w:pPr>
      <w:r>
        <w:t>2. 驗證設計與證據邊界</w:t>
      </w:r>
    </w:p>
    <w:p>
      <w:pPr>
        <w:pStyle w:val="21"/>
      </w:pPr>
      <w:r>
        <w:t>2.1 資料與切分</w:t>
      </w:r>
    </w:p>
    <w:p>
      <w:pPr>
        <w:pStyle w:val="a"/>
      </w:pPr>
      <w:r>
        <w:t>資料 profile 為 us_tw_eodhd，來源包含 EODHD 美國資料、TPEx 官方資料與 TWSE 官方資料。所有模型使用同一固定 test membership、benchmark mapping、cutoff-inclusive input context 與 entry／exit timestamps；split membership 及 dataset manifest 雜湊列於附錄。</w:t>
      </w:r>
    </w:p>
    <w:p>
      <w:pPr>
        <w:pStyle w:val="Decision"/>
        <w:keepNext/>
        <w:spacing w:after="80"/>
      </w:pPr>
      <w:r>
        <w:t>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完整 train split</w:t>
            </w:r>
          </w:p>
        </w:tc>
        <w:tc>
          <w:tcPr>
            <w:tcW w:w="2050" w:type="dxa"/>
            <w:vAlign w:val="center"/>
          </w:tcPr>
          <w:p>
            <w:pPr>
              <w:pStyle w:val="TableNumber"/>
            </w:pPr>
            <w:r>
              <w:t>30,224,227</w:t>
            </w:r>
          </w:p>
        </w:tc>
        <w:tc>
          <w:tcPr>
            <w:tcW w:w="4510" w:type="dxa"/>
            <w:vAlign w:val="center"/>
          </w:tcPr>
          <w:p>
            <w:pPr>
              <w:pStyle w:val="TableText"/>
            </w:pPr>
            <w:r>
              <w:t>原始切分可用樣本；訓練實際抽樣依 deterministic blockwise policy</w:t>
            </w:r>
          </w:p>
        </w:tc>
      </w:tr>
      <w:tr>
        <w:trPr>
          <w:cantSplit/>
        </w:trPr>
        <w:tc>
          <w:tcPr>
            <w:tcW w:w="2800" w:type="dxa"/>
            <w:vAlign w:val="center"/>
          </w:tcPr>
          <w:p>
            <w:pPr>
              <w:pStyle w:val="TableText"/>
            </w:pPr>
            <w:r>
              <w:t>實際處理訓練樣本</w:t>
            </w:r>
          </w:p>
        </w:tc>
        <w:tc>
          <w:tcPr>
            <w:tcW w:w="2050" w:type="dxa"/>
            <w:vAlign w:val="center"/>
          </w:tcPr>
          <w:p>
            <w:pPr>
              <w:pStyle w:val="TableNumber"/>
            </w:pPr>
            <w:r>
              <w:t>54,403,968／151,121,135（36.00%；約 1.80 個 raw split pass）</w:t>
            </w:r>
          </w:p>
        </w:tc>
        <w:tc>
          <w:tcPr>
            <w:tcW w:w="4510" w:type="dxa"/>
            <w:vAlign w:val="center"/>
          </w:tcPr>
          <w:p>
            <w:pPr>
              <w:pStyle w:val="TableText"/>
            </w:pPr>
            <w:r>
              <w:t>啟用 early stopping；不是完整跑完所有計畫樣本</w:t>
            </w:r>
          </w:p>
        </w:tc>
      </w:tr>
      <w:tr>
        <w:trPr>
          <w:cantSplit/>
        </w:trPr>
        <w:tc>
          <w:tcPr>
            <w:tcW w:w="2800" w:type="dxa"/>
            <w:vAlign w:val="center"/>
          </w:tcPr>
          <w:p>
            <w:pPr>
              <w:pStyle w:val="TableText"/>
            </w:pPr>
            <w:r>
              <w:t>完整 validation split</w:t>
            </w:r>
          </w:p>
        </w:tc>
        <w:tc>
          <w:tcPr>
            <w:tcW w:w="2050" w:type="dxa"/>
            <w:vAlign w:val="center"/>
          </w:tcPr>
          <w:p>
            <w:pPr>
              <w:pStyle w:val="TableNumber"/>
            </w:pPr>
            <w:r>
              <w:t>1,232,972</w:t>
            </w:r>
          </w:p>
        </w:tc>
        <w:tc>
          <w:tcPr>
            <w:tcW w:w="4510" w:type="dxa"/>
            <w:vAlign w:val="center"/>
          </w:tcPr>
          <w:p>
            <w:pPr>
              <w:pStyle w:val="TableText"/>
            </w:pPr>
            <w:r>
              <w:t>用於 checkpoint 選擇與早停；不是本報告 test 分數的來源</w:t>
            </w:r>
          </w:p>
        </w:tc>
      </w:tr>
      <w:tr>
        <w:trPr>
          <w:cantSplit/>
        </w:trPr>
        <w:tc>
          <w:tcPr>
            <w:tcW w:w="2800" w:type="dxa"/>
            <w:vAlign w:val="center"/>
          </w:tcPr>
          <w:p>
            <w:pPr>
              <w:pStyle w:val="TableText"/>
            </w:pPr>
            <w:r>
              <w:t>完整 test split</w:t>
            </w:r>
          </w:p>
        </w:tc>
        <w:tc>
          <w:tcPr>
            <w:tcW w:w="2050" w:type="dxa"/>
            <w:vAlign w:val="center"/>
          </w:tcPr>
          <w:p>
            <w:pPr>
              <w:pStyle w:val="TableNumber"/>
            </w:pPr>
            <w:r>
              <w:t>1,264,861</w:t>
            </w:r>
          </w:p>
        </w:tc>
        <w:tc>
          <w:tcPr>
            <w:tcW w:w="4510" w:type="dxa"/>
            <w:vAlign w:val="center"/>
          </w:tcPr>
          <w:p>
            <w:pPr>
              <w:pStyle w:val="TableText"/>
            </w:pPr>
            <w:r>
              <w:t>test_unlocked=true；僅從中取固定 benchmark 子集評估</w:t>
            </w:r>
          </w:p>
        </w:tc>
      </w:tr>
      <w:tr>
        <w:trPr>
          <w:cantSplit/>
        </w:trPr>
        <w:tc>
          <w:tcPr>
            <w:tcW w:w="2800" w:type="dxa"/>
            <w:vAlign w:val="center"/>
          </w:tcPr>
          <w:p>
            <w:pPr>
              <w:pStyle w:val="TableText"/>
            </w:pPr>
            <w:r>
              <w:t>每個 split 的 benchmark 樣本</w:t>
            </w:r>
          </w:p>
        </w:tc>
        <w:tc>
          <w:tcPr>
            <w:tcW w:w="2050" w:type="dxa"/>
            <w:vAlign w:val="center"/>
          </w:tcPr>
          <w:p>
            <w:pPr>
              <w:pStyle w:val="TableNumber"/>
            </w:pPr>
            <w:r>
              <w:t>20,000</w:t>
            </w:r>
          </w:p>
        </w:tc>
        <w:tc>
          <w:tcPr>
            <w:tcW w:w="4510" w:type="dxa"/>
            <w:vAlign w:val="center"/>
          </w:tcPr>
          <w:p>
            <w:pPr>
              <w:pStyle w:val="TableText"/>
            </w:pPr>
            <w:r>
              <w:t>train、validation、test benchmark 各 20,000；模型比較採相同 test 集</w:t>
            </w:r>
          </w:p>
        </w:tc>
      </w:tr>
      <w:tr>
        <w:trPr>
          <w:cantSplit/>
        </w:trPr>
        <w:tc>
          <w:tcPr>
            <w:tcW w:w="2800" w:type="dxa"/>
            <w:vAlign w:val="center"/>
          </w:tcPr>
          <w:p>
            <w:pPr>
              <w:pStyle w:val="TableText"/>
            </w:pPr>
            <w:r>
              <w:t>test 日期與日期數</w:t>
            </w:r>
          </w:p>
        </w:tc>
        <w:tc>
          <w:tcPr>
            <w:tcW w:w="2050" w:type="dxa"/>
            <w:vAlign w:val="center"/>
          </w:tcPr>
          <w:p>
            <w:pPr>
              <w:pStyle w:val="TableNumber"/>
            </w:pPr>
            <w:r>
              <w:t>2025-12-01 至 2026-05-11；112 個日期</w:t>
            </w:r>
          </w:p>
        </w:tc>
        <w:tc>
          <w:tcPr>
            <w:tcW w:w="4510" w:type="dxa"/>
            <w:vAlign w:val="center"/>
          </w:tcPr>
          <w:p>
            <w:pPr>
              <w:pStyle w:val="TableText"/>
            </w:pPr>
            <w:r>
              <w:t>所有 14 個 horizon 共用同一固定 symbol-date 成員集合</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單一 seed；尚未估計重訓隨機波動</w:t>
            </w:r>
          </w:p>
        </w:tc>
      </w:tr>
    </w:tbl>
    <w:p>
      <w:pPr>
        <w:pStyle w:val="a"/>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多賺或少賺多少」，不是股票估值、目標價或單獨股價報酬。若 alpha=0.05，精確的相對 gross ratio 是 exp(0.05)-1=5.13%；數值小時可近似理解為優於 benchmark 約 5%。</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大約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實際結果大致有一半較低、一半較高；常作點預測與排序訊號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大約 90% 的實際結果會低於它；不是保證上限</w:t>
            </w:r>
          </w:p>
        </w:tc>
      </w:tr>
    </w:tbl>
    <w:p>
      <w:pPr>
        <w:pStyle w:val="21"/>
      </w:pPr>
      <w:r>
        <w:t>3.2 三種股票情境</w:t>
      </w:r>
    </w:p>
    <w:p>
      <w:pPr>
        <w:pStyle w:val="Decision"/>
        <w:keepNext/>
        <w:spacing w:after="80"/>
      </w:pPr>
      <w:r>
        <w:t>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中間情境接近持平，但樂觀尾端很大；不代表有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0，但 q10 仍低於 0；多數情境偏強，悲觀情境仍可能落後</w:t>
            </w:r>
          </w:p>
        </w:tc>
      </w:tr>
    </w:tbl>
    <w:p>
      <w:pPr>
        <w:pStyle w:val="Note"/>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q50，再以兩個正值距離形成 q10=q50-lower_gap 與 q90=q50+upper_gap，因此結構上維持 q10≤q50≤q90。bullish、bearish 與 strong signal 都是後處理標籤，不是分類器輸出。設定中的 forecast_horizon=5 與 primary_5d 名稱是舊相容欄位；實際輸出 shape 為 [batch,14,3]，checkpoint monitor 值是 1 至 14 日 normalized pinball 的等權平均，本報告完整評估 1 至 14 日。</w:t>
      </w:r>
    </w:p>
    <w:p>
      <w:pPr>
        <w:pStyle w:val="11"/>
      </w:pPr>
      <w:r>
        <w:t>4. 訓練完成度 早停與 checkpoint</w:t>
      </w:r>
    </w:p>
    <w:p>
      <w:pPr>
        <w:pStyle w:val="21"/>
      </w:pPr>
      <w:r>
        <w:t>4.1 執行狀態</w:t>
      </w:r>
    </w:p>
    <w:p>
      <w:pPr>
        <w:pStyle w:val="Decision"/>
        <w:keepNext/>
        <w:spacing w:after="80"/>
      </w:pPr>
      <w:r>
        <w:t>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完成證據</w:t>
            </w:r>
          </w:p>
        </w:tc>
        <w:tc>
          <w:tcPr>
            <w:tcW w:w="6260" w:type="dxa"/>
            <w:vAlign w:val="center"/>
          </w:tcPr>
          <w:p>
            <w:pPr>
              <w:pStyle w:val="TableText"/>
            </w:pPr>
            <w:r>
              <w:t>training_completed=true；training marker 與 lifecycle 均為 ready；completion result 已產生</w:t>
            </w:r>
          </w:p>
        </w:tc>
      </w:tr>
      <w:tr>
        <w:trPr>
          <w:cantSplit/>
        </w:trPr>
        <w:tc>
          <w:tcPr>
            <w:tcW w:w="3100" w:type="dxa"/>
            <w:vAlign w:val="center"/>
          </w:tcPr>
          <w:p>
            <w:pPr>
              <w:pStyle w:val="TableText"/>
            </w:pPr>
            <w:r>
              <w:t>Lifecycle 狀態</w:t>
            </w:r>
          </w:p>
        </w:tc>
        <w:tc>
          <w:tcPr>
            <w:tcW w:w="6260" w:type="dxa"/>
            <w:vAlign w:val="center"/>
          </w:tcPr>
          <w:p>
            <w:pPr>
              <w:pStyle w:val="TableText"/>
            </w:pPr>
            <w:r>
              <w:t>training exit code 0；validation exit code 0；未逾時；兩階段均已完成</w:t>
            </w:r>
          </w:p>
        </w:tc>
      </w:tr>
      <w:tr>
        <w:trPr>
          <w:cantSplit/>
        </w:trPr>
        <w:tc>
          <w:tcPr>
            <w:tcW w:w="3100" w:type="dxa"/>
            <w:vAlign w:val="center"/>
          </w:tcPr>
          <w:p>
            <w:pPr>
              <w:pStyle w:val="TableText"/>
            </w:pPr>
            <w:r>
              <w:t>epoch 與 global step</w:t>
            </w:r>
          </w:p>
        </w:tc>
        <w:tc>
          <w:tcPr>
            <w:tcW w:w="6260" w:type="dxa"/>
            <w:vAlign w:val="center"/>
          </w:tcPr>
          <w:p>
            <w:pPr>
              <w:pStyle w:val="TableText"/>
            </w:pPr>
            <w:r>
              <w:t>1 個 completed epoch；停止於 step 212,516</w:t>
            </w:r>
          </w:p>
        </w:tc>
      </w:tr>
      <w:tr>
        <w:trPr>
          <w:cantSplit/>
        </w:trPr>
        <w:tc>
          <w:tcPr>
            <w:tcW w:w="3100" w:type="dxa"/>
            <w:vAlign w:val="center"/>
          </w:tcPr>
          <w:p>
            <w:pPr>
              <w:pStyle w:val="TableText"/>
            </w:pPr>
            <w:r>
              <w:t>處理訓練樣本</w:t>
            </w:r>
          </w:p>
        </w:tc>
        <w:tc>
          <w:tcPr>
            <w:tcW w:w="6260" w:type="dxa"/>
            <w:vAlign w:val="center"/>
          </w:tcPr>
          <w:p>
            <w:pPr>
              <w:pStyle w:val="TableText"/>
            </w:pPr>
            <w:r>
              <w:t>54,403,968／151,121,135（36.00%；約 1.80 個 raw split pass）</w:t>
            </w:r>
          </w:p>
        </w:tc>
      </w:tr>
      <w:tr>
        <w:trPr>
          <w:cantSplit/>
        </w:trPr>
        <w:tc>
          <w:tcPr>
            <w:tcW w:w="3100" w:type="dxa"/>
            <w:vAlign w:val="center"/>
          </w:tcPr>
          <w:p>
            <w:pPr>
              <w:pStyle w:val="TableText"/>
            </w:pPr>
            <w:r>
              <w:t>validation 次數</w:t>
            </w:r>
          </w:p>
        </w:tc>
        <w:tc>
          <w:tcPr>
            <w:tcW w:w="6260" w:type="dxa"/>
            <w:vAlign w:val="center"/>
          </w:tcPr>
          <w:p>
            <w:pPr>
              <w:pStyle w:val="TableText"/>
            </w:pPr>
            <w:r>
              <w:t>9</w:t>
            </w:r>
          </w:p>
        </w:tc>
      </w:tr>
      <w:tr>
        <w:trPr>
          <w:cantSplit/>
        </w:trPr>
        <w:tc>
          <w:tcPr>
            <w:tcW w:w="3100" w:type="dxa"/>
            <w:vAlign w:val="center"/>
          </w:tcPr>
          <w:p>
            <w:pPr>
              <w:pStyle w:val="TableText"/>
            </w:pPr>
            <w:r>
              <w:t>停止原因</w:t>
            </w:r>
          </w:p>
        </w:tc>
        <w:tc>
          <w:tcPr>
            <w:tcW w:w="6260" w:type="dxa"/>
            <w:vAlign w:val="center"/>
          </w:tcPr>
          <w:p>
            <w:pPr>
              <w:pStyle w:val="TableText"/>
            </w:pPr>
            <w:r>
              <w:t>early_stopping；符合 early-stopping 條件，validation patience 為 5 次評估</w:t>
            </w:r>
          </w:p>
        </w:tc>
      </w:tr>
      <w:tr>
        <w:trPr>
          <w:cantSplit/>
        </w:trPr>
        <w:tc>
          <w:tcPr>
            <w:tcW w:w="3100" w:type="dxa"/>
            <w:vAlign w:val="center"/>
          </w:tcPr>
          <w:p>
            <w:pPr>
              <w:pStyle w:val="TableText"/>
            </w:pPr>
            <w:r>
              <w:t>最佳與末次 validation monitor</w:t>
            </w:r>
          </w:p>
        </w:tc>
        <w:tc>
          <w:tcPr>
            <w:tcW w:w="6260" w:type="dxa"/>
            <w:vAlign w:val="center"/>
          </w:tcPr>
          <w:p>
            <w:pPr>
              <w:pStyle w:val="TableText"/>
            </w:pPr>
            <w:r>
              <w:t>0.299333／0.302594</w:t>
            </w:r>
          </w:p>
        </w:tc>
      </w:tr>
      <w:tr>
        <w:trPr>
          <w:cantSplit/>
        </w:trPr>
        <w:tc>
          <w:tcPr>
            <w:tcW w:w="3100" w:type="dxa"/>
            <w:vAlign w:val="center"/>
          </w:tcPr>
          <w:p>
            <w:pPr>
              <w:pStyle w:val="TableText"/>
            </w:pPr>
            <w:r>
              <w:t>模型</w:t>
            </w:r>
          </w:p>
        </w:tc>
        <w:tc>
          <w:tcPr>
            <w:tcW w:w="6260" w:type="dxa"/>
            <w:vAlign w:val="center"/>
          </w:tcPr>
          <w:p>
            <w:pPr>
              <w:pStyle w:val="TableText"/>
            </w:pPr>
            <w:r>
              <w:t>Kronos-base + LoRA；shared causal resampler；benchmark conditioner；alpha head</w:t>
            </w:r>
          </w:p>
        </w:tc>
      </w:tr>
      <w:tr>
        <w:trPr>
          <w:cantSplit/>
        </w:trPr>
        <w:tc>
          <w:tcPr>
            <w:tcW w:w="3100" w:type="dxa"/>
            <w:vAlign w:val="center"/>
          </w:tcPr>
          <w:p>
            <w:pPr>
              <w:pStyle w:val="TableText"/>
            </w:pPr>
            <w:r>
              <w:t>訓練硬體與精度</w:t>
            </w:r>
          </w:p>
        </w:tc>
        <w:tc>
          <w:tcPr>
            <w:tcW w:w="6260" w:type="dxa"/>
            <w:vAlign w:val="center"/>
          </w:tcPr>
          <w:p>
            <w:pPr>
              <w:pStyle w:val="TableText"/>
            </w:pPr>
            <w:r>
              <w:t>NVIDIA RTX PRO 6000 Blackwell Server Edition；bfloat16</w:t>
            </w:r>
          </w:p>
        </w:tc>
      </w:tr>
      <w:tr>
        <w:trPr>
          <w:cantSplit/>
        </w:trPr>
        <w:tc>
          <w:tcPr>
            <w:tcW w:w="3100" w:type="dxa"/>
            <w:vAlign w:val="center"/>
          </w:tcPr>
          <w:p>
            <w:pPr>
              <w:pStyle w:val="TableText"/>
            </w:pPr>
            <w:r>
              <w:t>驗證硬體</w:t>
            </w:r>
          </w:p>
        </w:tc>
        <w:tc>
          <w:tcPr>
            <w:tcW w:w="6260" w:type="dxa"/>
            <w:vAlign w:val="center"/>
          </w:tcPr>
          <w:p>
            <w:pPr>
              <w:pStyle w:val="TableText"/>
            </w:pPr>
            <w:r>
              <w:t>validation benchmark 未提供獨立 GPU 欄位；不沿用其他 run 的硬體資訊</w:t>
            </w:r>
          </w:p>
        </w:tc>
      </w:tr>
    </w:tbl>
    <w:p>
      <w:pPr>
        <w:pStyle w:val="21"/>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checkpoint-094452</w:t>
            </w:r>
          </w:p>
        </w:tc>
        <w:tc>
          <w:tcPr>
            <w:tcW w:w="1800" w:type="dxa"/>
            <w:shd w:val="clear" w:fill="EDF5FC"/>
            <w:vAlign w:val="center"/>
          </w:tcPr>
          <w:p>
            <w:pPr>
              <w:pStyle w:val="TableNumber"/>
            </w:pPr>
            <w:r>
              <w:t>94,452</w:t>
            </w:r>
          </w:p>
        </w:tc>
        <w:tc>
          <w:tcPr>
            <w:tcW w:w="3560" w:type="dxa"/>
            <w:shd w:val="clear" w:fill="EDF5FC"/>
            <w:vAlign w:val="center"/>
          </w:tcPr>
          <w:p>
            <w:pPr>
              <w:pStyle w:val="TableNumber"/>
            </w:pPr>
            <w:r>
              <w:t>0.299333</w:t>
            </w:r>
          </w:p>
        </w:tc>
      </w:tr>
      <w:tr>
        <w:trPr>
          <w:cantSplit/>
        </w:trPr>
        <w:tc>
          <w:tcPr>
            <w:tcW w:w="900" w:type="dxa"/>
            <w:vAlign w:val="center"/>
          </w:tcPr>
          <w:p>
            <w:pPr>
              <w:pStyle w:val="TableNumber"/>
            </w:pPr>
            <w:r>
              <w:t>2</w:t>
            </w:r>
          </w:p>
        </w:tc>
        <w:tc>
          <w:tcPr>
            <w:tcW w:w="3100" w:type="dxa"/>
            <w:vAlign w:val="center"/>
          </w:tcPr>
          <w:p>
            <w:pPr>
              <w:pStyle w:val="TableText"/>
            </w:pPr>
            <w:r>
              <w:t>checkpoint-165290</w:t>
            </w:r>
          </w:p>
        </w:tc>
        <w:tc>
          <w:tcPr>
            <w:tcW w:w="1800" w:type="dxa"/>
            <w:vAlign w:val="center"/>
          </w:tcPr>
          <w:p>
            <w:pPr>
              <w:pStyle w:val="TableNumber"/>
            </w:pPr>
            <w:r>
              <w:t>165,290</w:t>
            </w:r>
          </w:p>
        </w:tc>
        <w:tc>
          <w:tcPr>
            <w:tcW w:w="3560" w:type="dxa"/>
            <w:vAlign w:val="center"/>
          </w:tcPr>
          <w:p>
            <w:pPr>
              <w:pStyle w:val="TableNumber"/>
            </w:pPr>
            <w:r>
              <w:t>0.299802</w:t>
            </w:r>
          </w:p>
        </w:tc>
      </w:tr>
      <w:tr>
        <w:trPr>
          <w:cantSplit/>
        </w:trPr>
        <w:tc>
          <w:tcPr>
            <w:tcW w:w="900" w:type="dxa"/>
            <w:vAlign w:val="center"/>
          </w:tcPr>
          <w:p>
            <w:pPr>
              <w:pStyle w:val="TableNumber"/>
            </w:pPr>
            <w:r>
              <w:t>3</w:t>
            </w:r>
          </w:p>
        </w:tc>
        <w:tc>
          <w:tcPr>
            <w:tcW w:w="3100" w:type="dxa"/>
            <w:vAlign w:val="center"/>
          </w:tcPr>
          <w:p>
            <w:pPr>
              <w:pStyle w:val="TableText"/>
            </w:pPr>
            <w:r>
              <w:t>checkpoint-118064</w:t>
            </w:r>
          </w:p>
        </w:tc>
        <w:tc>
          <w:tcPr>
            <w:tcW w:w="1800" w:type="dxa"/>
            <w:vAlign w:val="center"/>
          </w:tcPr>
          <w:p>
            <w:pPr>
              <w:pStyle w:val="TableNumber"/>
            </w:pPr>
            <w:r>
              <w:t>118,064</w:t>
            </w:r>
          </w:p>
        </w:tc>
        <w:tc>
          <w:tcPr>
            <w:tcW w:w="3560" w:type="dxa"/>
            <w:vAlign w:val="center"/>
          </w:tcPr>
          <w:p>
            <w:pPr>
              <w:pStyle w:val="TableNumber"/>
            </w:pPr>
            <w:r>
              <w:t>0.301289</w:t>
            </w:r>
          </w:p>
        </w:tc>
      </w:tr>
      <w:tr>
        <w:trPr>
          <w:cantSplit/>
        </w:trPr>
        <w:tc>
          <w:tcPr>
            <w:tcW w:w="900" w:type="dxa"/>
            <w:vAlign w:val="center"/>
          </w:tcPr>
          <w:p>
            <w:pPr>
              <w:pStyle w:val="TableNumber"/>
            </w:pPr>
            <w:r>
              <w:t>4</w:t>
            </w:r>
          </w:p>
        </w:tc>
        <w:tc>
          <w:tcPr>
            <w:tcW w:w="3100" w:type="dxa"/>
            <w:vAlign w:val="center"/>
          </w:tcPr>
          <w:p>
            <w:pPr>
              <w:pStyle w:val="TableText"/>
            </w:pPr>
            <w:r>
              <w:t>checkpoint-070839</w:t>
            </w:r>
          </w:p>
        </w:tc>
        <w:tc>
          <w:tcPr>
            <w:tcW w:w="1800" w:type="dxa"/>
            <w:vAlign w:val="center"/>
          </w:tcPr>
          <w:p>
            <w:pPr>
              <w:pStyle w:val="TableNumber"/>
            </w:pPr>
            <w:r>
              <w:t>70,839</w:t>
            </w:r>
          </w:p>
        </w:tc>
        <w:tc>
          <w:tcPr>
            <w:tcW w:w="3560" w:type="dxa"/>
            <w:vAlign w:val="center"/>
          </w:tcPr>
          <w:p>
            <w:pPr>
              <w:pStyle w:val="TableNumber"/>
            </w:pPr>
            <w:r>
              <w:t>0.301777</w:t>
            </w:r>
          </w:p>
        </w:tc>
      </w:tr>
      <w:tr>
        <w:trPr>
          <w:cantSplit/>
        </w:trPr>
        <w:tc>
          <w:tcPr>
            <w:tcW w:w="900" w:type="dxa"/>
            <w:vAlign w:val="center"/>
          </w:tcPr>
          <w:p>
            <w:pPr>
              <w:pStyle w:val="TableNumber"/>
            </w:pPr>
            <w:r>
              <w:t>5</w:t>
            </w:r>
          </w:p>
        </w:tc>
        <w:tc>
          <w:tcPr>
            <w:tcW w:w="3100" w:type="dxa"/>
            <w:vAlign w:val="center"/>
          </w:tcPr>
          <w:p>
            <w:pPr>
              <w:pStyle w:val="TableText"/>
            </w:pPr>
            <w:r>
              <w:t>checkpoint-212516</w:t>
            </w:r>
          </w:p>
        </w:tc>
        <w:tc>
          <w:tcPr>
            <w:tcW w:w="1800" w:type="dxa"/>
            <w:vAlign w:val="center"/>
          </w:tcPr>
          <w:p>
            <w:pPr>
              <w:pStyle w:val="TableNumber"/>
            </w:pPr>
            <w:r>
              <w:t>212,516</w:t>
            </w:r>
          </w:p>
        </w:tc>
        <w:tc>
          <w:tcPr>
            <w:tcW w:w="3560" w:type="dxa"/>
            <w:vAlign w:val="center"/>
          </w:tcPr>
          <w:p>
            <w:pPr>
              <w:pStyle w:val="TableNumber"/>
            </w:pPr>
            <w:r>
              <w:t>0.302594</w:t>
            </w:r>
          </w:p>
        </w:tc>
      </w:tr>
    </w:tbl>
    <w:p>
      <w:pPr>
        <w:pStyle w:val="a"/>
      </w:pPr>
      <w:r>
        <w:t>最佳 checkpoint checkpoint-094452 的 validation monitor 為 0.299333，test score 為 0.313541。最後訓練結果 monitor 0.302594，比最佳 validation 值高 1.09%；本輪 9 次 validation evaluation 後觸發 early stopping。正式推論必須使用 best-checkpoint.json 指向的 checkpoint，而非 completion-result 的末次 adapter。</w:t>
      </w:r>
    </w:p>
    <w:p>
      <w:pPr>
        <w:pStyle w:val="11"/>
      </w:pPr>
      <w:r>
        <w:t>5. 十三個模型的全 horizon 比較</w:t>
      </w:r>
    </w:p>
    <w:p>
      <w:pPr>
        <w:pStyle w:val="Decision"/>
        <w:keepNext/>
        <w:spacing w:after="80"/>
      </w:pPr>
      <w:r>
        <w:t>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Coverage</w:t>
            </w:r>
          </w:p>
        </w:tc>
        <w:tc>
          <w:tcPr>
            <w:tcW w:w="1330" w:type="dxa"/>
            <w:shd w:val="clear" w:fill="DCE6F1"/>
            <w:vAlign w:val="center"/>
          </w:tcPr>
          <w:p>
            <w:pPr>
              <w:pStyle w:val="TableHeader"/>
            </w:pPr>
            <w:r>
              <w:t>q50 corr.</w:t>
            </w:r>
          </w:p>
        </w:tc>
        <w:tc>
          <w:tcPr>
            <w:tcW w:w="1350" w:type="dxa"/>
            <w:shd w:val="clear" w:fill="DCE6F1"/>
            <w:vAlign w:val="center"/>
          </w:tcPr>
          <w:p>
            <w:pPr>
              <w:pStyle w:val="TableHeader"/>
            </w:pPr>
            <w:r>
              <w:t>Net Sharpe</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0.313541</w:t>
            </w:r>
          </w:p>
        </w:tc>
        <w:tc>
          <w:tcPr>
            <w:tcW w:w="1330" w:type="dxa"/>
            <w:shd w:val="clear" w:fill="EDF5FC"/>
            <w:vAlign w:val="center"/>
          </w:tcPr>
          <w:p>
            <w:pPr>
              <w:pStyle w:val="TableNumber"/>
            </w:pPr>
            <w:r>
              <w:t>71.02%</w:t>
            </w:r>
          </w:p>
        </w:tc>
        <w:tc>
          <w:tcPr>
            <w:tcW w:w="1330" w:type="dxa"/>
            <w:shd w:val="clear" w:fill="EDF5FC"/>
            <w:vAlign w:val="center"/>
          </w:tcPr>
          <w:p>
            <w:pPr>
              <w:pStyle w:val="TableNumber"/>
            </w:pPr>
            <w:r>
              <w:t>0.0980</w:t>
            </w:r>
          </w:p>
        </w:tc>
        <w:tc>
          <w:tcPr>
            <w:tcW w:w="1350" w:type="dxa"/>
            <w:shd w:val="clear" w:fill="EDF5FC"/>
            <w:vAlign w:val="center"/>
          </w:tcPr>
          <w:p>
            <w:pPr>
              <w:pStyle w:val="TableNumber"/>
            </w:pPr>
            <w:r>
              <w:t>1.587</w:t>
            </w:r>
          </w:p>
        </w:tc>
      </w:tr>
      <w:tr>
        <w:trPr>
          <w:cantSplit/>
        </w:trPr>
        <w:tc>
          <w:tcPr>
            <w:tcW w:w="650" w:type="dxa"/>
            <w:vAlign w:val="center"/>
          </w:tcPr>
          <w:p>
            <w:pPr>
              <w:pStyle w:val="TableNumber"/>
            </w:pPr>
            <w:r>
              <w:t>2</w:t>
            </w:r>
          </w:p>
        </w:tc>
        <w:tc>
          <w:tcPr>
            <w:tcW w:w="2800" w:type="dxa"/>
            <w:vAlign w:val="center"/>
          </w:tcPr>
          <w:p>
            <w:pPr>
              <w:pStyle w:val="TableText"/>
            </w:pPr>
            <w:r>
              <w:t>Quantile GBDT</w:t>
            </w:r>
          </w:p>
        </w:tc>
        <w:tc>
          <w:tcPr>
            <w:tcW w:w="1900" w:type="dxa"/>
            <w:vAlign w:val="center"/>
          </w:tcPr>
          <w:p>
            <w:pPr>
              <w:pStyle w:val="TableNumber"/>
            </w:pPr>
            <w:r>
              <w:t>0.317588</w:t>
            </w:r>
          </w:p>
        </w:tc>
        <w:tc>
          <w:tcPr>
            <w:tcW w:w="1330" w:type="dxa"/>
            <w:vAlign w:val="center"/>
          </w:tcPr>
          <w:p>
            <w:pPr>
              <w:pStyle w:val="TableNumber"/>
            </w:pPr>
            <w:r>
              <w:t>73.98%</w:t>
            </w:r>
          </w:p>
        </w:tc>
        <w:tc>
          <w:tcPr>
            <w:tcW w:w="1330" w:type="dxa"/>
            <w:vAlign w:val="center"/>
          </w:tcPr>
          <w:p>
            <w:pPr>
              <w:pStyle w:val="TableNumber"/>
            </w:pPr>
            <w:r>
              <w:t>0.0240</w:t>
            </w:r>
          </w:p>
        </w:tc>
        <w:tc>
          <w:tcPr>
            <w:tcW w:w="1350" w:type="dxa"/>
            <w:vAlign w:val="center"/>
          </w:tcPr>
          <w:p>
            <w:pPr>
              <w:pStyle w:val="TableNumber"/>
            </w:pPr>
            <w:r>
              <w:t>-0.231</w:t>
            </w:r>
          </w:p>
        </w:tc>
      </w:tr>
      <w:tr>
        <w:trPr>
          <w:cantSplit/>
        </w:trPr>
        <w:tc>
          <w:tcPr>
            <w:tcW w:w="650" w:type="dxa"/>
            <w:vAlign w:val="center"/>
          </w:tcPr>
          <w:p>
            <w:pPr>
              <w:pStyle w:val="TableNumber"/>
            </w:pPr>
            <w:r>
              <w:t>3</w:t>
            </w:r>
          </w:p>
        </w:tc>
        <w:tc>
          <w:tcPr>
            <w:tcW w:w="2800" w:type="dxa"/>
            <w:vAlign w:val="center"/>
          </w:tcPr>
          <w:p>
            <w:pPr>
              <w:pStyle w:val="TableText"/>
            </w:pPr>
            <w:r>
              <w:t>成對 GRU</w:t>
            </w:r>
          </w:p>
        </w:tc>
        <w:tc>
          <w:tcPr>
            <w:tcW w:w="1900" w:type="dxa"/>
            <w:vAlign w:val="center"/>
          </w:tcPr>
          <w:p>
            <w:pPr>
              <w:pStyle w:val="TableNumber"/>
            </w:pPr>
            <w:r>
              <w:t>0.320950</w:t>
            </w:r>
          </w:p>
        </w:tc>
        <w:tc>
          <w:tcPr>
            <w:tcW w:w="1330" w:type="dxa"/>
            <w:vAlign w:val="center"/>
          </w:tcPr>
          <w:p>
            <w:pPr>
              <w:pStyle w:val="TableNumber"/>
            </w:pPr>
            <w:r>
              <w:t>74.28%</w:t>
            </w:r>
          </w:p>
        </w:tc>
        <w:tc>
          <w:tcPr>
            <w:tcW w:w="1330" w:type="dxa"/>
            <w:vAlign w:val="center"/>
          </w:tcPr>
          <w:p>
            <w:pPr>
              <w:pStyle w:val="TableNumber"/>
            </w:pPr>
            <w:r>
              <w:t>0.0060</w:t>
            </w:r>
          </w:p>
        </w:tc>
        <w:tc>
          <w:tcPr>
            <w:tcW w:w="1350" w:type="dxa"/>
            <w:vAlign w:val="center"/>
          </w:tcPr>
          <w:p>
            <w:pPr>
              <w:pStyle w:val="TableNumber"/>
            </w:pPr>
            <w:r>
              <w:t>-0.797</w:t>
            </w:r>
          </w:p>
        </w:tc>
      </w:tr>
      <w:tr>
        <w:trPr>
          <w:cantSplit/>
        </w:trPr>
        <w:tc>
          <w:tcPr>
            <w:tcW w:w="650" w:type="dxa"/>
            <w:vAlign w:val="center"/>
          </w:tcPr>
          <w:p>
            <w:pPr>
              <w:pStyle w:val="TableNumber"/>
            </w:pPr>
            <w:r>
              <w:t>4</w:t>
            </w:r>
          </w:p>
        </w:tc>
        <w:tc>
          <w:tcPr>
            <w:tcW w:w="2800" w:type="dxa"/>
            <w:vAlign w:val="center"/>
          </w:tcPr>
          <w:p>
            <w:pPr>
              <w:pStyle w:val="TableText"/>
            </w:pPr>
            <w:r>
              <w:t>Compact PatchTST</w:t>
            </w:r>
          </w:p>
        </w:tc>
        <w:tc>
          <w:tcPr>
            <w:tcW w:w="1900" w:type="dxa"/>
            <w:vAlign w:val="center"/>
          </w:tcPr>
          <w:p>
            <w:pPr>
              <w:pStyle w:val="TableNumber"/>
            </w:pPr>
            <w:r>
              <w:t>0.328600</w:t>
            </w:r>
          </w:p>
        </w:tc>
        <w:tc>
          <w:tcPr>
            <w:tcW w:w="1330" w:type="dxa"/>
            <w:vAlign w:val="center"/>
          </w:tcPr>
          <w:p>
            <w:pPr>
              <w:pStyle w:val="TableNumber"/>
            </w:pPr>
            <w:r>
              <w:t>73.67%</w:t>
            </w:r>
          </w:p>
        </w:tc>
        <w:tc>
          <w:tcPr>
            <w:tcW w:w="1330" w:type="dxa"/>
            <w:vAlign w:val="center"/>
          </w:tcPr>
          <w:p>
            <w:pPr>
              <w:pStyle w:val="TableNumber"/>
            </w:pPr>
            <w:r>
              <w:t>0.0075</w:t>
            </w:r>
          </w:p>
        </w:tc>
        <w:tc>
          <w:tcPr>
            <w:tcW w:w="1350" w:type="dxa"/>
            <w:vAlign w:val="center"/>
          </w:tcPr>
          <w:p>
            <w:pPr>
              <w:pStyle w:val="TableNumber"/>
            </w:pPr>
            <w:r>
              <w:t>0.106</w:t>
            </w:r>
          </w:p>
        </w:tc>
      </w:tr>
      <w:tr>
        <w:trPr>
          <w:cantSplit/>
        </w:trPr>
        <w:tc>
          <w:tcPr>
            <w:tcW w:w="650" w:type="dxa"/>
            <w:vAlign w:val="center"/>
          </w:tcPr>
          <w:p>
            <w:pPr>
              <w:pStyle w:val="TableNumber"/>
            </w:pPr>
            <w:r>
              <w:t>5</w:t>
            </w:r>
          </w:p>
        </w:tc>
        <w:tc>
          <w:tcPr>
            <w:tcW w:w="2800" w:type="dxa"/>
            <w:vAlign w:val="center"/>
          </w:tcPr>
          <w:p>
            <w:pPr>
              <w:pStyle w:val="TableText"/>
            </w:pPr>
            <w:r>
              <w:t>固定偏多分布</w:t>
            </w:r>
          </w:p>
        </w:tc>
        <w:tc>
          <w:tcPr>
            <w:tcW w:w="1900" w:type="dxa"/>
            <w:vAlign w:val="center"/>
          </w:tcPr>
          <w:p>
            <w:pPr>
              <w:pStyle w:val="TableNumber"/>
            </w:pPr>
            <w:r>
              <w:t>0.332559</w:t>
            </w:r>
          </w:p>
        </w:tc>
        <w:tc>
          <w:tcPr>
            <w:tcW w:w="1330" w:type="dxa"/>
            <w:vAlign w:val="center"/>
          </w:tcPr>
          <w:p>
            <w:pPr>
              <w:pStyle w:val="TableNumber"/>
            </w:pPr>
            <w:r>
              <w:t>82.17%</w:t>
            </w:r>
          </w:p>
        </w:tc>
        <w:tc>
          <w:tcPr>
            <w:tcW w:w="1330" w:type="dxa"/>
            <w:vAlign w:val="center"/>
          </w:tcPr>
          <w:p>
            <w:pPr>
              <w:pStyle w:val="TableNumber"/>
            </w:pPr>
            <w:r>
              <w:t>0.0000</w:t>
            </w:r>
          </w:p>
        </w:tc>
        <w:tc>
          <w:tcPr>
            <w:tcW w:w="1350" w:type="dxa"/>
            <w:vAlign w:val="center"/>
          </w:tcPr>
          <w:p>
            <w:pPr>
              <w:pStyle w:val="TableNumber"/>
            </w:pPr>
            <w:r>
              <w:t>0.000</w:t>
            </w:r>
          </w:p>
        </w:tc>
      </w:tr>
      <w:tr>
        <w:trPr>
          <w:cantSplit/>
        </w:trPr>
        <w:tc>
          <w:tcPr>
            <w:tcW w:w="650" w:type="dxa"/>
            <w:vAlign w:val="center"/>
          </w:tcPr>
          <w:p>
            <w:pPr>
              <w:pStyle w:val="TableNumber"/>
            </w:pPr>
            <w:r>
              <w:t>6</w:t>
            </w:r>
          </w:p>
        </w:tc>
        <w:tc>
          <w:tcPr>
            <w:tcW w:w="2800" w:type="dxa"/>
            <w:vAlign w:val="center"/>
          </w:tcPr>
          <w:p>
            <w:pPr>
              <w:pStyle w:val="TableText"/>
            </w:pPr>
            <w:r>
              <w:t>零報酬分布</w:t>
            </w:r>
          </w:p>
        </w:tc>
        <w:tc>
          <w:tcPr>
            <w:tcW w:w="1900" w:type="dxa"/>
            <w:vAlign w:val="center"/>
          </w:tcPr>
          <w:p>
            <w:pPr>
              <w:pStyle w:val="TableNumber"/>
            </w:pPr>
            <w:r>
              <w:t>0.332559</w:t>
            </w:r>
          </w:p>
        </w:tc>
        <w:tc>
          <w:tcPr>
            <w:tcW w:w="1330" w:type="dxa"/>
            <w:vAlign w:val="center"/>
          </w:tcPr>
          <w:p>
            <w:pPr>
              <w:pStyle w:val="TableNumber"/>
            </w:pPr>
            <w:r>
              <w:t>82.17%</w:t>
            </w:r>
          </w:p>
        </w:tc>
        <w:tc>
          <w:tcPr>
            <w:tcW w:w="1330" w:type="dxa"/>
            <w:vAlign w:val="center"/>
          </w:tcPr>
          <w:p>
            <w:pPr>
              <w:pStyle w:val="TableNumber"/>
            </w:pPr>
            <w:r>
              <w:t>-0.0000</w:t>
            </w:r>
          </w:p>
        </w:tc>
        <w:tc>
          <w:tcPr>
            <w:tcW w:w="1350" w:type="dxa"/>
            <w:vAlign w:val="center"/>
          </w:tcPr>
          <w:p>
            <w:pPr>
              <w:pStyle w:val="TableNumber"/>
            </w:pPr>
            <w:r>
              <w:t>0.000</w:t>
            </w:r>
          </w:p>
        </w:tc>
      </w:tr>
    </w:tbl>
    <w:p>
      <w:pPr>
        <w:pStyle w:val="a"/>
      </w:pPr>
      <w:r>
        <w:t>Kronos 的全 horizon test score 在 13 個模型中排名第 1，且逐 horizon normalized pinball 在 9 個具完整 horizon 輸出的模型中 14 日全部排名第 1。此排名是固定 test holdout 的描述性比較，不用於選 checkpoint；與上一輪 run 因 dataset manifest 及 symbol-date membership 不同，不作同條件分數增益比較。</w:t>
      </w:r>
    </w:p>
    <w:p>
      <w:pPr>
        <w:pStyle w:val="11"/>
      </w:pPr>
      <w:r>
        <w:t>6. 一至十四日完整結果</w:t>
      </w:r>
    </w:p>
    <w:p>
      <w:pPr>
        <w:pStyle w:val="21"/>
      </w:pPr>
      <w:r>
        <w:t>6.1 誤差與不同 horizon 的可比性</w:t>
      </w:r>
    </w:p>
    <w:p>
      <w:pPr>
        <w:pStyle w:val="Decision"/>
        <w:keepNext/>
        <w:spacing w:after="80"/>
      </w:pPr>
      <w:r>
        <w:t>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0.01711</w:t>
            </w:r>
          </w:p>
        </w:tc>
        <w:tc>
          <w:tcPr>
            <w:tcW w:w="1550" w:type="dxa"/>
            <w:vAlign w:val="center"/>
          </w:tcPr>
          <w:p>
            <w:pPr>
              <w:pStyle w:val="TableNumber"/>
            </w:pPr>
            <w:r>
              <w:t>0.00631</w:t>
            </w:r>
          </w:p>
        </w:tc>
        <w:tc>
          <w:tcPr>
            <w:tcW w:w="1550" w:type="dxa"/>
            <w:vAlign w:val="center"/>
          </w:tcPr>
          <w:p>
            <w:pPr>
              <w:pStyle w:val="TableNumber"/>
            </w:pPr>
            <w:r>
              <w:t>0.36882</w:t>
            </w:r>
          </w:p>
        </w:tc>
        <w:tc>
          <w:tcPr>
            <w:tcW w:w="1050" w:type="dxa"/>
            <w:vAlign w:val="center"/>
          </w:tcPr>
          <w:p>
            <w:pPr>
              <w:pStyle w:val="TableNumber"/>
            </w:pPr>
            <w:r>
              <w:t>1/9</w:t>
            </w:r>
          </w:p>
        </w:tc>
        <w:tc>
          <w:tcPr>
            <w:tcW w:w="1550" w:type="dxa"/>
            <w:vAlign w:val="center"/>
          </w:tcPr>
          <w:p>
            <w:pPr>
              <w:pStyle w:val="TableNumber"/>
            </w:pPr>
            <w:r>
              <w:t>0.01865</w:t>
            </w:r>
          </w:p>
        </w:tc>
        <w:tc>
          <w:tcPr>
            <w:tcW w:w="1610" w:type="dxa"/>
            <w:vAlign w:val="center"/>
          </w:tcPr>
          <w:p>
            <w:pPr>
              <w:pStyle w:val="TableNumber"/>
            </w:pPr>
            <w:r>
              <w:t>1.0900</w:t>
            </w:r>
          </w:p>
        </w:tc>
      </w:tr>
      <w:tr>
        <w:trPr>
          <w:cantSplit/>
        </w:trPr>
        <w:tc>
          <w:tcPr>
            <w:tcW w:w="650" w:type="dxa"/>
            <w:vAlign w:val="center"/>
          </w:tcPr>
          <w:p>
            <w:pPr>
              <w:pStyle w:val="TableText"/>
            </w:pPr>
            <w:r>
              <w:t>2d</w:t>
            </w:r>
          </w:p>
        </w:tc>
        <w:tc>
          <w:tcPr>
            <w:tcW w:w="1400" w:type="dxa"/>
            <w:vAlign w:val="center"/>
          </w:tcPr>
          <w:p>
            <w:pPr>
              <w:pStyle w:val="TableNumber"/>
            </w:pPr>
            <w:r>
              <w:t>0.02958</w:t>
            </w:r>
          </w:p>
        </w:tc>
        <w:tc>
          <w:tcPr>
            <w:tcW w:w="1550" w:type="dxa"/>
            <w:vAlign w:val="center"/>
          </w:tcPr>
          <w:p>
            <w:pPr>
              <w:pStyle w:val="TableNumber"/>
            </w:pPr>
            <w:r>
              <w:t>0.00978</w:t>
            </w:r>
          </w:p>
        </w:tc>
        <w:tc>
          <w:tcPr>
            <w:tcW w:w="1550" w:type="dxa"/>
            <w:vAlign w:val="center"/>
          </w:tcPr>
          <w:p>
            <w:pPr>
              <w:pStyle w:val="TableNumber"/>
            </w:pPr>
            <w:r>
              <w:t>0.33066</w:t>
            </w:r>
          </w:p>
        </w:tc>
        <w:tc>
          <w:tcPr>
            <w:tcW w:w="1050" w:type="dxa"/>
            <w:vAlign w:val="center"/>
          </w:tcPr>
          <w:p>
            <w:pPr>
              <w:pStyle w:val="TableNumber"/>
            </w:pPr>
            <w:r>
              <w:t>1/9</w:t>
            </w:r>
          </w:p>
        </w:tc>
        <w:tc>
          <w:tcPr>
            <w:tcW w:w="1550" w:type="dxa"/>
            <w:vAlign w:val="center"/>
          </w:tcPr>
          <w:p>
            <w:pPr>
              <w:pStyle w:val="TableNumber"/>
            </w:pPr>
            <w:r>
              <w:t>0.02904</w:t>
            </w:r>
          </w:p>
        </w:tc>
        <w:tc>
          <w:tcPr>
            <w:tcW w:w="1610" w:type="dxa"/>
            <w:vAlign w:val="center"/>
          </w:tcPr>
          <w:p>
            <w:pPr>
              <w:pStyle w:val="TableNumber"/>
            </w:pPr>
            <w:r>
              <w:t>0.9819</w:t>
            </w:r>
          </w:p>
        </w:tc>
      </w:tr>
      <w:tr>
        <w:trPr>
          <w:cantSplit/>
        </w:trPr>
        <w:tc>
          <w:tcPr>
            <w:tcW w:w="650" w:type="dxa"/>
            <w:vAlign w:val="center"/>
          </w:tcPr>
          <w:p>
            <w:pPr>
              <w:pStyle w:val="TableText"/>
            </w:pPr>
            <w:r>
              <w:t>3d</w:t>
            </w:r>
          </w:p>
        </w:tc>
        <w:tc>
          <w:tcPr>
            <w:tcW w:w="1400" w:type="dxa"/>
            <w:vAlign w:val="center"/>
          </w:tcPr>
          <w:p>
            <w:pPr>
              <w:pStyle w:val="TableNumber"/>
            </w:pPr>
            <w:r>
              <w:t>0.03812</w:t>
            </w:r>
          </w:p>
        </w:tc>
        <w:tc>
          <w:tcPr>
            <w:tcW w:w="1550" w:type="dxa"/>
            <w:vAlign w:val="center"/>
          </w:tcPr>
          <w:p>
            <w:pPr>
              <w:pStyle w:val="TableNumber"/>
            </w:pPr>
            <w:r>
              <w:t>0.01223</w:t>
            </w:r>
          </w:p>
        </w:tc>
        <w:tc>
          <w:tcPr>
            <w:tcW w:w="1550" w:type="dxa"/>
            <w:vAlign w:val="center"/>
          </w:tcPr>
          <w:p>
            <w:pPr>
              <w:pStyle w:val="TableNumber"/>
            </w:pPr>
            <w:r>
              <w:t>0.32070</w:t>
            </w:r>
          </w:p>
        </w:tc>
        <w:tc>
          <w:tcPr>
            <w:tcW w:w="1050" w:type="dxa"/>
            <w:vAlign w:val="center"/>
          </w:tcPr>
          <w:p>
            <w:pPr>
              <w:pStyle w:val="TableNumber"/>
            </w:pPr>
            <w:r>
              <w:t>1/9</w:t>
            </w:r>
          </w:p>
        </w:tc>
        <w:tc>
          <w:tcPr>
            <w:tcW w:w="1550" w:type="dxa"/>
            <w:vAlign w:val="center"/>
          </w:tcPr>
          <w:p>
            <w:pPr>
              <w:pStyle w:val="TableNumber"/>
            </w:pPr>
            <w:r>
              <w:t>0.03626</w:t>
            </w:r>
          </w:p>
        </w:tc>
        <w:tc>
          <w:tcPr>
            <w:tcW w:w="1610" w:type="dxa"/>
            <w:vAlign w:val="center"/>
          </w:tcPr>
          <w:p>
            <w:pPr>
              <w:pStyle w:val="TableNumber"/>
            </w:pPr>
            <w:r>
              <w:t>0.9511</w:t>
            </w:r>
          </w:p>
        </w:tc>
      </w:tr>
      <w:tr>
        <w:trPr>
          <w:cantSplit/>
        </w:trPr>
        <w:tc>
          <w:tcPr>
            <w:tcW w:w="650" w:type="dxa"/>
            <w:vAlign w:val="center"/>
          </w:tcPr>
          <w:p>
            <w:pPr>
              <w:pStyle w:val="TableText"/>
            </w:pPr>
            <w:r>
              <w:t>4d</w:t>
            </w:r>
          </w:p>
        </w:tc>
        <w:tc>
          <w:tcPr>
            <w:tcW w:w="1400" w:type="dxa"/>
            <w:vAlign w:val="center"/>
          </w:tcPr>
          <w:p>
            <w:pPr>
              <w:pStyle w:val="TableNumber"/>
            </w:pPr>
            <w:r>
              <w:t>0.04485</w:t>
            </w:r>
          </w:p>
        </w:tc>
        <w:tc>
          <w:tcPr>
            <w:tcW w:w="1550" w:type="dxa"/>
            <w:vAlign w:val="center"/>
          </w:tcPr>
          <w:p>
            <w:pPr>
              <w:pStyle w:val="TableNumber"/>
            </w:pPr>
            <w:r>
              <w:t>0.01427</w:t>
            </w:r>
          </w:p>
        </w:tc>
        <w:tc>
          <w:tcPr>
            <w:tcW w:w="1550" w:type="dxa"/>
            <w:vAlign w:val="center"/>
          </w:tcPr>
          <w:p>
            <w:pPr>
              <w:pStyle w:val="TableNumber"/>
            </w:pPr>
            <w:r>
              <w:t>0.31808</w:t>
            </w:r>
          </w:p>
        </w:tc>
        <w:tc>
          <w:tcPr>
            <w:tcW w:w="1050" w:type="dxa"/>
            <w:vAlign w:val="center"/>
          </w:tcPr>
          <w:p>
            <w:pPr>
              <w:pStyle w:val="TableNumber"/>
            </w:pPr>
            <w:r>
              <w:t>1/9</w:t>
            </w:r>
          </w:p>
        </w:tc>
        <w:tc>
          <w:tcPr>
            <w:tcW w:w="1550" w:type="dxa"/>
            <w:vAlign w:val="center"/>
          </w:tcPr>
          <w:p>
            <w:pPr>
              <w:pStyle w:val="TableNumber"/>
            </w:pPr>
            <w:r>
              <w:t>0.04243</w:t>
            </w:r>
          </w:p>
        </w:tc>
        <w:tc>
          <w:tcPr>
            <w:tcW w:w="1610" w:type="dxa"/>
            <w:vAlign w:val="center"/>
          </w:tcPr>
          <w:p>
            <w:pPr>
              <w:pStyle w:val="TableNumber"/>
            </w:pPr>
            <w:r>
              <w:t>0.9459</w:t>
            </w:r>
          </w:p>
        </w:tc>
      </w:tr>
      <w:tr>
        <w:trPr>
          <w:cantSplit/>
        </w:trPr>
        <w:tc>
          <w:tcPr>
            <w:tcW w:w="650" w:type="dxa"/>
            <w:vAlign w:val="center"/>
          </w:tcPr>
          <w:p>
            <w:pPr>
              <w:pStyle w:val="TableText"/>
            </w:pPr>
            <w:r>
              <w:t>5d</w:t>
            </w:r>
          </w:p>
        </w:tc>
        <w:tc>
          <w:tcPr>
            <w:tcW w:w="1400" w:type="dxa"/>
            <w:vAlign w:val="center"/>
          </w:tcPr>
          <w:p>
            <w:pPr>
              <w:pStyle w:val="TableNumber"/>
            </w:pPr>
            <w:r>
              <w:t>0.05100</w:t>
            </w:r>
          </w:p>
        </w:tc>
        <w:tc>
          <w:tcPr>
            <w:tcW w:w="1550" w:type="dxa"/>
            <w:vAlign w:val="center"/>
          </w:tcPr>
          <w:p>
            <w:pPr>
              <w:pStyle w:val="TableNumber"/>
            </w:pPr>
            <w:r>
              <w:t>0.01606</w:t>
            </w:r>
          </w:p>
        </w:tc>
        <w:tc>
          <w:tcPr>
            <w:tcW w:w="1550" w:type="dxa"/>
            <w:vAlign w:val="center"/>
          </w:tcPr>
          <w:p>
            <w:pPr>
              <w:pStyle w:val="TableNumber"/>
            </w:pPr>
            <w:r>
              <w:t>0.31497</w:t>
            </w:r>
          </w:p>
        </w:tc>
        <w:tc>
          <w:tcPr>
            <w:tcW w:w="1050" w:type="dxa"/>
            <w:vAlign w:val="center"/>
          </w:tcPr>
          <w:p>
            <w:pPr>
              <w:pStyle w:val="TableNumber"/>
            </w:pPr>
            <w:r>
              <w:t>1/9</w:t>
            </w:r>
          </w:p>
        </w:tc>
        <w:tc>
          <w:tcPr>
            <w:tcW w:w="1550" w:type="dxa"/>
            <w:vAlign w:val="center"/>
          </w:tcPr>
          <w:p>
            <w:pPr>
              <w:pStyle w:val="TableNumber"/>
            </w:pPr>
            <w:r>
              <w:t>0.04782</w:t>
            </w:r>
          </w:p>
        </w:tc>
        <w:tc>
          <w:tcPr>
            <w:tcW w:w="1610" w:type="dxa"/>
            <w:vAlign w:val="center"/>
          </w:tcPr>
          <w:p>
            <w:pPr>
              <w:pStyle w:val="TableNumber"/>
            </w:pPr>
            <w:r>
              <w:t>0.9376</w:t>
            </w:r>
          </w:p>
        </w:tc>
      </w:tr>
      <w:tr>
        <w:trPr>
          <w:cantSplit/>
        </w:trPr>
        <w:tc>
          <w:tcPr>
            <w:tcW w:w="650" w:type="dxa"/>
            <w:vAlign w:val="center"/>
          </w:tcPr>
          <w:p>
            <w:pPr>
              <w:pStyle w:val="TableText"/>
            </w:pPr>
            <w:r>
              <w:t>6d</w:t>
            </w:r>
          </w:p>
        </w:tc>
        <w:tc>
          <w:tcPr>
            <w:tcW w:w="1400" w:type="dxa"/>
            <w:vAlign w:val="center"/>
          </w:tcPr>
          <w:p>
            <w:pPr>
              <w:pStyle w:val="TableNumber"/>
            </w:pPr>
            <w:r>
              <w:t>0.05656</w:t>
            </w:r>
          </w:p>
        </w:tc>
        <w:tc>
          <w:tcPr>
            <w:tcW w:w="1550" w:type="dxa"/>
            <w:vAlign w:val="center"/>
          </w:tcPr>
          <w:p>
            <w:pPr>
              <w:pStyle w:val="TableNumber"/>
            </w:pPr>
            <w:r>
              <w:t>0.01769</w:t>
            </w:r>
          </w:p>
        </w:tc>
        <w:tc>
          <w:tcPr>
            <w:tcW w:w="1550" w:type="dxa"/>
            <w:vAlign w:val="center"/>
          </w:tcPr>
          <w:p>
            <w:pPr>
              <w:pStyle w:val="TableNumber"/>
            </w:pPr>
            <w:r>
              <w:t>0.31281</w:t>
            </w:r>
          </w:p>
        </w:tc>
        <w:tc>
          <w:tcPr>
            <w:tcW w:w="1050" w:type="dxa"/>
            <w:vAlign w:val="center"/>
          </w:tcPr>
          <w:p>
            <w:pPr>
              <w:pStyle w:val="TableNumber"/>
            </w:pPr>
            <w:r>
              <w:t>1/9</w:t>
            </w:r>
          </w:p>
        </w:tc>
        <w:tc>
          <w:tcPr>
            <w:tcW w:w="1550" w:type="dxa"/>
            <w:vAlign w:val="center"/>
          </w:tcPr>
          <w:p>
            <w:pPr>
              <w:pStyle w:val="TableNumber"/>
            </w:pPr>
            <w:r>
              <w:t>0.05274</w:t>
            </w:r>
          </w:p>
        </w:tc>
        <w:tc>
          <w:tcPr>
            <w:tcW w:w="1610" w:type="dxa"/>
            <w:vAlign w:val="center"/>
          </w:tcPr>
          <w:p>
            <w:pPr>
              <w:pStyle w:val="TableNumber"/>
            </w:pPr>
            <w:r>
              <w:t>0.9324</w:t>
            </w:r>
          </w:p>
        </w:tc>
      </w:tr>
      <w:tr>
        <w:trPr>
          <w:cantSplit/>
        </w:trPr>
        <w:tc>
          <w:tcPr>
            <w:tcW w:w="650" w:type="dxa"/>
            <w:vAlign w:val="center"/>
          </w:tcPr>
          <w:p>
            <w:pPr>
              <w:pStyle w:val="TableText"/>
            </w:pPr>
            <w:r>
              <w:t>7d</w:t>
            </w:r>
          </w:p>
        </w:tc>
        <w:tc>
          <w:tcPr>
            <w:tcW w:w="1400" w:type="dxa"/>
            <w:vAlign w:val="center"/>
          </w:tcPr>
          <w:p>
            <w:pPr>
              <w:pStyle w:val="TableNumber"/>
            </w:pPr>
            <w:r>
              <w:t>0.06162</w:t>
            </w:r>
          </w:p>
        </w:tc>
        <w:tc>
          <w:tcPr>
            <w:tcW w:w="1550" w:type="dxa"/>
            <w:vAlign w:val="center"/>
          </w:tcPr>
          <w:p>
            <w:pPr>
              <w:pStyle w:val="TableNumber"/>
            </w:pPr>
            <w:r>
              <w:t>0.01923</w:t>
            </w:r>
          </w:p>
        </w:tc>
        <w:tc>
          <w:tcPr>
            <w:tcW w:w="1550" w:type="dxa"/>
            <w:vAlign w:val="center"/>
          </w:tcPr>
          <w:p>
            <w:pPr>
              <w:pStyle w:val="TableNumber"/>
            </w:pPr>
            <w:r>
              <w:t>0.31202</w:t>
            </w:r>
          </w:p>
        </w:tc>
        <w:tc>
          <w:tcPr>
            <w:tcW w:w="1050" w:type="dxa"/>
            <w:vAlign w:val="center"/>
          </w:tcPr>
          <w:p>
            <w:pPr>
              <w:pStyle w:val="TableNumber"/>
            </w:pPr>
            <w:r>
              <w:t>1/9</w:t>
            </w:r>
          </w:p>
        </w:tc>
        <w:tc>
          <w:tcPr>
            <w:tcW w:w="1550" w:type="dxa"/>
            <w:vAlign w:val="center"/>
          </w:tcPr>
          <w:p>
            <w:pPr>
              <w:pStyle w:val="TableNumber"/>
            </w:pPr>
            <w:r>
              <w:t>0.05734</w:t>
            </w:r>
          </w:p>
        </w:tc>
        <w:tc>
          <w:tcPr>
            <w:tcW w:w="1610" w:type="dxa"/>
            <w:vAlign w:val="center"/>
          </w:tcPr>
          <w:p>
            <w:pPr>
              <w:pStyle w:val="TableNumber"/>
            </w:pPr>
            <w:r>
              <w:t>0.9305</w:t>
            </w:r>
          </w:p>
        </w:tc>
      </w:tr>
      <w:tr>
        <w:trPr>
          <w:cantSplit/>
        </w:trPr>
        <w:tc>
          <w:tcPr>
            <w:tcW w:w="650" w:type="dxa"/>
            <w:vAlign w:val="center"/>
          </w:tcPr>
          <w:p>
            <w:pPr>
              <w:pStyle w:val="TableText"/>
            </w:pPr>
            <w:r>
              <w:t>8d</w:t>
            </w:r>
          </w:p>
        </w:tc>
        <w:tc>
          <w:tcPr>
            <w:tcW w:w="1400" w:type="dxa"/>
            <w:vAlign w:val="center"/>
          </w:tcPr>
          <w:p>
            <w:pPr>
              <w:pStyle w:val="TableNumber"/>
            </w:pPr>
            <w:r>
              <w:t>0.06659</w:t>
            </w:r>
          </w:p>
        </w:tc>
        <w:tc>
          <w:tcPr>
            <w:tcW w:w="1550" w:type="dxa"/>
            <w:vAlign w:val="center"/>
          </w:tcPr>
          <w:p>
            <w:pPr>
              <w:pStyle w:val="TableNumber"/>
            </w:pPr>
            <w:r>
              <w:t>0.02050</w:t>
            </w:r>
          </w:p>
        </w:tc>
        <w:tc>
          <w:tcPr>
            <w:tcW w:w="1550" w:type="dxa"/>
            <w:vAlign w:val="center"/>
          </w:tcPr>
          <w:p>
            <w:pPr>
              <w:pStyle w:val="TableNumber"/>
            </w:pPr>
            <w:r>
              <w:t>0.30778</w:t>
            </w:r>
          </w:p>
        </w:tc>
        <w:tc>
          <w:tcPr>
            <w:tcW w:w="1050" w:type="dxa"/>
            <w:vAlign w:val="center"/>
          </w:tcPr>
          <w:p>
            <w:pPr>
              <w:pStyle w:val="TableNumber"/>
            </w:pPr>
            <w:r>
              <w:t>1/9</w:t>
            </w:r>
          </w:p>
        </w:tc>
        <w:tc>
          <w:tcPr>
            <w:tcW w:w="1550" w:type="dxa"/>
            <w:vAlign w:val="center"/>
          </w:tcPr>
          <w:p>
            <w:pPr>
              <w:pStyle w:val="TableNumber"/>
            </w:pPr>
            <w:r>
              <w:t>0.06113</w:t>
            </w:r>
          </w:p>
        </w:tc>
        <w:tc>
          <w:tcPr>
            <w:tcW w:w="1610" w:type="dxa"/>
            <w:vAlign w:val="center"/>
          </w:tcPr>
          <w:p>
            <w:pPr>
              <w:pStyle w:val="TableNumber"/>
            </w:pPr>
            <w:r>
              <w:t>0.9180</w:t>
            </w:r>
          </w:p>
        </w:tc>
      </w:tr>
      <w:tr>
        <w:trPr>
          <w:cantSplit/>
        </w:trPr>
        <w:tc>
          <w:tcPr>
            <w:tcW w:w="650" w:type="dxa"/>
            <w:vAlign w:val="center"/>
          </w:tcPr>
          <w:p>
            <w:pPr>
              <w:pStyle w:val="TableText"/>
            </w:pPr>
            <w:r>
              <w:t>9d</w:t>
            </w:r>
          </w:p>
        </w:tc>
        <w:tc>
          <w:tcPr>
            <w:tcW w:w="1400" w:type="dxa"/>
            <w:vAlign w:val="center"/>
          </w:tcPr>
          <w:p>
            <w:pPr>
              <w:pStyle w:val="TableNumber"/>
            </w:pPr>
            <w:r>
              <w:t>0.07116</w:t>
            </w:r>
          </w:p>
        </w:tc>
        <w:tc>
          <w:tcPr>
            <w:tcW w:w="1550" w:type="dxa"/>
            <w:vAlign w:val="center"/>
          </w:tcPr>
          <w:p>
            <w:pPr>
              <w:pStyle w:val="TableNumber"/>
            </w:pPr>
            <w:r>
              <w:t>0.02179</w:t>
            </w:r>
          </w:p>
        </w:tc>
        <w:tc>
          <w:tcPr>
            <w:tcW w:w="1550" w:type="dxa"/>
            <w:vAlign w:val="center"/>
          </w:tcPr>
          <w:p>
            <w:pPr>
              <w:pStyle w:val="TableNumber"/>
            </w:pPr>
            <w:r>
              <w:t>0.30622</w:t>
            </w:r>
          </w:p>
        </w:tc>
        <w:tc>
          <w:tcPr>
            <w:tcW w:w="1050" w:type="dxa"/>
            <w:vAlign w:val="center"/>
          </w:tcPr>
          <w:p>
            <w:pPr>
              <w:pStyle w:val="TableNumber"/>
            </w:pPr>
            <w:r>
              <w:t>1/9</w:t>
            </w:r>
          </w:p>
        </w:tc>
        <w:tc>
          <w:tcPr>
            <w:tcW w:w="1550" w:type="dxa"/>
            <w:vAlign w:val="center"/>
          </w:tcPr>
          <w:p>
            <w:pPr>
              <w:pStyle w:val="TableNumber"/>
            </w:pPr>
            <w:r>
              <w:t>0.06495</w:t>
            </w:r>
          </w:p>
        </w:tc>
        <w:tc>
          <w:tcPr>
            <w:tcW w:w="1610" w:type="dxa"/>
            <w:vAlign w:val="center"/>
          </w:tcPr>
          <w:p>
            <w:pPr>
              <w:pStyle w:val="TableNumber"/>
            </w:pPr>
            <w:r>
              <w:t>0.9126</w:t>
            </w:r>
          </w:p>
        </w:tc>
      </w:tr>
      <w:tr>
        <w:trPr>
          <w:cantSplit/>
        </w:trPr>
        <w:tc>
          <w:tcPr>
            <w:tcW w:w="650" w:type="dxa"/>
            <w:vAlign w:val="center"/>
          </w:tcPr>
          <w:p>
            <w:pPr>
              <w:pStyle w:val="TableText"/>
            </w:pPr>
            <w:r>
              <w:t>10d</w:t>
            </w:r>
          </w:p>
        </w:tc>
        <w:tc>
          <w:tcPr>
            <w:tcW w:w="1400" w:type="dxa"/>
            <w:vAlign w:val="center"/>
          </w:tcPr>
          <w:p>
            <w:pPr>
              <w:pStyle w:val="TableNumber"/>
            </w:pPr>
            <w:r>
              <w:t>0.07547</w:t>
            </w:r>
          </w:p>
        </w:tc>
        <w:tc>
          <w:tcPr>
            <w:tcW w:w="1550" w:type="dxa"/>
            <w:vAlign w:val="center"/>
          </w:tcPr>
          <w:p>
            <w:pPr>
              <w:pStyle w:val="TableNumber"/>
            </w:pPr>
            <w:r>
              <w:t>0.02298</w:t>
            </w:r>
          </w:p>
        </w:tc>
        <w:tc>
          <w:tcPr>
            <w:tcW w:w="1550" w:type="dxa"/>
            <w:vAlign w:val="center"/>
          </w:tcPr>
          <w:p>
            <w:pPr>
              <w:pStyle w:val="TableNumber"/>
            </w:pPr>
            <w:r>
              <w:t>0.30449</w:t>
            </w:r>
          </w:p>
        </w:tc>
        <w:tc>
          <w:tcPr>
            <w:tcW w:w="1050" w:type="dxa"/>
            <w:vAlign w:val="center"/>
          </w:tcPr>
          <w:p>
            <w:pPr>
              <w:pStyle w:val="TableNumber"/>
            </w:pPr>
            <w:r>
              <w:t>1/9</w:t>
            </w:r>
          </w:p>
        </w:tc>
        <w:tc>
          <w:tcPr>
            <w:tcW w:w="1550" w:type="dxa"/>
            <w:vAlign w:val="center"/>
          </w:tcPr>
          <w:p>
            <w:pPr>
              <w:pStyle w:val="TableNumber"/>
            </w:pPr>
            <w:r>
              <w:t>0.06858</w:t>
            </w:r>
          </w:p>
        </w:tc>
        <w:tc>
          <w:tcPr>
            <w:tcW w:w="1610" w:type="dxa"/>
            <w:vAlign w:val="center"/>
          </w:tcPr>
          <w:p>
            <w:pPr>
              <w:pStyle w:val="TableNumber"/>
            </w:pPr>
            <w:r>
              <w:t>0.9088</w:t>
            </w:r>
          </w:p>
        </w:tc>
      </w:tr>
      <w:tr>
        <w:trPr>
          <w:cantSplit/>
        </w:trPr>
        <w:tc>
          <w:tcPr>
            <w:tcW w:w="650" w:type="dxa"/>
            <w:vAlign w:val="center"/>
          </w:tcPr>
          <w:p>
            <w:pPr>
              <w:pStyle w:val="TableText"/>
            </w:pPr>
            <w:r>
              <w:t>11d</w:t>
            </w:r>
          </w:p>
        </w:tc>
        <w:tc>
          <w:tcPr>
            <w:tcW w:w="1400" w:type="dxa"/>
            <w:vAlign w:val="center"/>
          </w:tcPr>
          <w:p>
            <w:pPr>
              <w:pStyle w:val="TableNumber"/>
            </w:pPr>
            <w:r>
              <w:t>0.08001</w:t>
            </w:r>
          </w:p>
        </w:tc>
        <w:tc>
          <w:tcPr>
            <w:tcW w:w="1550" w:type="dxa"/>
            <w:vAlign w:val="center"/>
          </w:tcPr>
          <w:p>
            <w:pPr>
              <w:pStyle w:val="TableNumber"/>
            </w:pPr>
            <w:r>
              <w:t>0.02411</w:t>
            </w:r>
          </w:p>
        </w:tc>
        <w:tc>
          <w:tcPr>
            <w:tcW w:w="1550" w:type="dxa"/>
            <w:vAlign w:val="center"/>
          </w:tcPr>
          <w:p>
            <w:pPr>
              <w:pStyle w:val="TableNumber"/>
            </w:pPr>
            <w:r>
              <w:t>0.30137</w:t>
            </w:r>
          </w:p>
        </w:tc>
        <w:tc>
          <w:tcPr>
            <w:tcW w:w="1050" w:type="dxa"/>
            <w:vAlign w:val="center"/>
          </w:tcPr>
          <w:p>
            <w:pPr>
              <w:pStyle w:val="TableNumber"/>
            </w:pPr>
            <w:r>
              <w:t>1/9</w:t>
            </w:r>
          </w:p>
        </w:tc>
        <w:tc>
          <w:tcPr>
            <w:tcW w:w="1550" w:type="dxa"/>
            <w:vAlign w:val="center"/>
          </w:tcPr>
          <w:p>
            <w:pPr>
              <w:pStyle w:val="TableNumber"/>
            </w:pPr>
            <w:r>
              <w:t>0.07198</w:t>
            </w:r>
          </w:p>
        </w:tc>
        <w:tc>
          <w:tcPr>
            <w:tcW w:w="1610" w:type="dxa"/>
            <w:vAlign w:val="center"/>
          </w:tcPr>
          <w:p>
            <w:pPr>
              <w:pStyle w:val="TableNumber"/>
            </w:pPr>
            <w:r>
              <w:t>0.8996</w:t>
            </w:r>
          </w:p>
        </w:tc>
      </w:tr>
      <w:tr>
        <w:trPr>
          <w:cantSplit/>
        </w:trPr>
        <w:tc>
          <w:tcPr>
            <w:tcW w:w="650" w:type="dxa"/>
            <w:vAlign w:val="center"/>
          </w:tcPr>
          <w:p>
            <w:pPr>
              <w:pStyle w:val="TableText"/>
            </w:pPr>
            <w:r>
              <w:t>12d</w:t>
            </w:r>
          </w:p>
        </w:tc>
        <w:tc>
          <w:tcPr>
            <w:tcW w:w="1400" w:type="dxa"/>
            <w:vAlign w:val="center"/>
          </w:tcPr>
          <w:p>
            <w:pPr>
              <w:pStyle w:val="TableNumber"/>
            </w:pPr>
            <w:r>
              <w:t>0.08466</w:t>
            </w:r>
          </w:p>
        </w:tc>
        <w:tc>
          <w:tcPr>
            <w:tcW w:w="1550" w:type="dxa"/>
            <w:vAlign w:val="center"/>
          </w:tcPr>
          <w:p>
            <w:pPr>
              <w:pStyle w:val="TableNumber"/>
            </w:pPr>
            <w:r>
              <w:t>0.02524</w:t>
            </w:r>
          </w:p>
        </w:tc>
        <w:tc>
          <w:tcPr>
            <w:tcW w:w="1550" w:type="dxa"/>
            <w:vAlign w:val="center"/>
          </w:tcPr>
          <w:p>
            <w:pPr>
              <w:pStyle w:val="TableNumber"/>
            </w:pPr>
            <w:r>
              <w:t>0.29816</w:t>
            </w:r>
          </w:p>
        </w:tc>
        <w:tc>
          <w:tcPr>
            <w:tcW w:w="1050" w:type="dxa"/>
            <w:vAlign w:val="center"/>
          </w:tcPr>
          <w:p>
            <w:pPr>
              <w:pStyle w:val="TableNumber"/>
            </w:pPr>
            <w:r>
              <w:t>1/9</w:t>
            </w:r>
          </w:p>
        </w:tc>
        <w:tc>
          <w:tcPr>
            <w:tcW w:w="1550" w:type="dxa"/>
            <w:vAlign w:val="center"/>
          </w:tcPr>
          <w:p>
            <w:pPr>
              <w:pStyle w:val="TableNumber"/>
            </w:pPr>
            <w:r>
              <w:t>0.07548</w:t>
            </w:r>
          </w:p>
        </w:tc>
        <w:tc>
          <w:tcPr>
            <w:tcW w:w="1610" w:type="dxa"/>
            <w:vAlign w:val="center"/>
          </w:tcPr>
          <w:p>
            <w:pPr>
              <w:pStyle w:val="TableNumber"/>
            </w:pPr>
            <w:r>
              <w:t>0.8915</w:t>
            </w:r>
          </w:p>
        </w:tc>
      </w:tr>
      <w:tr>
        <w:trPr>
          <w:cantSplit/>
        </w:trPr>
        <w:tc>
          <w:tcPr>
            <w:tcW w:w="650" w:type="dxa"/>
            <w:vAlign w:val="center"/>
          </w:tcPr>
          <w:p>
            <w:pPr>
              <w:pStyle w:val="TableText"/>
            </w:pPr>
            <w:r>
              <w:t>13d</w:t>
            </w:r>
          </w:p>
        </w:tc>
        <w:tc>
          <w:tcPr>
            <w:tcW w:w="1400" w:type="dxa"/>
            <w:vAlign w:val="center"/>
          </w:tcPr>
          <w:p>
            <w:pPr>
              <w:pStyle w:val="TableNumber"/>
            </w:pPr>
            <w:r>
              <w:t>0.08906</w:t>
            </w:r>
          </w:p>
        </w:tc>
        <w:tc>
          <w:tcPr>
            <w:tcW w:w="1550" w:type="dxa"/>
            <w:vAlign w:val="center"/>
          </w:tcPr>
          <w:p>
            <w:pPr>
              <w:pStyle w:val="TableNumber"/>
            </w:pPr>
            <w:r>
              <w:t>0.02636</w:t>
            </w:r>
          </w:p>
        </w:tc>
        <w:tc>
          <w:tcPr>
            <w:tcW w:w="1550" w:type="dxa"/>
            <w:vAlign w:val="center"/>
          </w:tcPr>
          <w:p>
            <w:pPr>
              <w:pStyle w:val="TableNumber"/>
            </w:pPr>
            <w:r>
              <w:t>0.29603</w:t>
            </w:r>
          </w:p>
        </w:tc>
        <w:tc>
          <w:tcPr>
            <w:tcW w:w="1050" w:type="dxa"/>
            <w:vAlign w:val="center"/>
          </w:tcPr>
          <w:p>
            <w:pPr>
              <w:pStyle w:val="TableNumber"/>
            </w:pPr>
            <w:r>
              <w:t>1/9</w:t>
            </w:r>
          </w:p>
        </w:tc>
        <w:tc>
          <w:tcPr>
            <w:tcW w:w="1550" w:type="dxa"/>
            <w:vAlign w:val="center"/>
          </w:tcPr>
          <w:p>
            <w:pPr>
              <w:pStyle w:val="TableNumber"/>
            </w:pPr>
            <w:r>
              <w:t>0.07897</w:t>
            </w:r>
          </w:p>
        </w:tc>
        <w:tc>
          <w:tcPr>
            <w:tcW w:w="1610" w:type="dxa"/>
            <w:vAlign w:val="center"/>
          </w:tcPr>
          <w:p>
            <w:pPr>
              <w:pStyle w:val="TableNumber"/>
            </w:pPr>
            <w:r>
              <w:t>0.8867</w:t>
            </w:r>
          </w:p>
        </w:tc>
      </w:tr>
      <w:tr>
        <w:trPr>
          <w:cantSplit/>
        </w:trPr>
        <w:tc>
          <w:tcPr>
            <w:tcW w:w="650" w:type="dxa"/>
            <w:vAlign w:val="center"/>
          </w:tcPr>
          <w:p>
            <w:pPr>
              <w:pStyle w:val="TableText"/>
            </w:pPr>
            <w:r>
              <w:t>14d</w:t>
            </w:r>
          </w:p>
        </w:tc>
        <w:tc>
          <w:tcPr>
            <w:tcW w:w="1400" w:type="dxa"/>
            <w:vAlign w:val="center"/>
          </w:tcPr>
          <w:p>
            <w:pPr>
              <w:pStyle w:val="TableNumber"/>
            </w:pPr>
            <w:r>
              <w:t>0.09233</w:t>
            </w:r>
          </w:p>
        </w:tc>
        <w:tc>
          <w:tcPr>
            <w:tcW w:w="1550" w:type="dxa"/>
            <w:vAlign w:val="center"/>
          </w:tcPr>
          <w:p>
            <w:pPr>
              <w:pStyle w:val="TableNumber"/>
            </w:pPr>
            <w:r>
              <w:t>0.02746</w:t>
            </w:r>
          </w:p>
        </w:tc>
        <w:tc>
          <w:tcPr>
            <w:tcW w:w="1550" w:type="dxa"/>
            <w:vAlign w:val="center"/>
          </w:tcPr>
          <w:p>
            <w:pPr>
              <w:pStyle w:val="TableNumber"/>
            </w:pPr>
            <w:r>
              <w:t>0.29746</w:t>
            </w:r>
          </w:p>
        </w:tc>
        <w:tc>
          <w:tcPr>
            <w:tcW w:w="1050" w:type="dxa"/>
            <w:vAlign w:val="center"/>
          </w:tcPr>
          <w:p>
            <w:pPr>
              <w:pStyle w:val="TableNumber"/>
            </w:pPr>
            <w:r>
              <w:t>1/9</w:t>
            </w:r>
          </w:p>
        </w:tc>
        <w:tc>
          <w:tcPr>
            <w:tcW w:w="1550" w:type="dxa"/>
            <w:vAlign w:val="center"/>
          </w:tcPr>
          <w:p>
            <w:pPr>
              <w:pStyle w:val="TableNumber"/>
            </w:pPr>
            <w:r>
              <w:t>0.08244</w:t>
            </w:r>
          </w:p>
        </w:tc>
        <w:tc>
          <w:tcPr>
            <w:tcW w:w="1610" w:type="dxa"/>
            <w:vAlign w:val="center"/>
          </w:tcPr>
          <w:p>
            <w:pPr>
              <w:pStyle w:val="TableNumber"/>
            </w:pPr>
            <w:r>
              <w:t>0.8929</w:t>
            </w:r>
          </w:p>
        </w:tc>
      </w:tr>
    </w:tbl>
    <w:p>
      <w:pPr>
        <w:pStyle w:val="a"/>
      </w:pPr>
      <w:r>
        <w:t>raw pinball 與 q50 MAE 隨 horizon 變長而增加，主要因長期真值本身波動較大。以 train-only robust scale 正規化後，normalized pinball 從 1 日 0.3688 到 14 日 0.2975；這比較的是各 horizon 相對其訓練尺度的分布誤差，不表示長期的原始報酬誤差較小。</w:t>
      </w:r>
    </w:p>
    <w:p>
      <w:pPr>
        <w:pStyle w:val="21"/>
      </w:pPr>
      <w:r>
        <w:t>6.2 q50 與區間校準</w:t>
      </w:r>
    </w:p>
    <w:p>
      <w:pPr>
        <w:pStyle w:val="Decision"/>
        <w:keepNext/>
        <w:spacing w:after="80"/>
      </w:pPr>
      <w:r>
        <w:t>表 8｜每個 horizon 的點預測與區間</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低於80% (pp)</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1d</w:t>
            </w:r>
          </w:p>
        </w:tc>
        <w:tc>
          <w:tcPr>
            <w:tcW w:w="1600" w:type="dxa"/>
            <w:vAlign w:val="center"/>
          </w:tcPr>
          <w:p>
            <w:pPr>
              <w:pStyle w:val="TableNumber"/>
            </w:pPr>
            <w:r>
              <w:t>0.0499</w:t>
            </w:r>
          </w:p>
        </w:tc>
        <w:tc>
          <w:tcPr>
            <w:tcW w:w="1650" w:type="dxa"/>
            <w:vAlign w:val="center"/>
          </w:tcPr>
          <w:p>
            <w:pPr>
              <w:pStyle w:val="TableNumber"/>
            </w:pPr>
            <w:r>
              <w:t>53.03%</w:t>
            </w:r>
          </w:p>
        </w:tc>
        <w:tc>
          <w:tcPr>
            <w:tcW w:w="1650" w:type="dxa"/>
            <w:vAlign w:val="center"/>
          </w:tcPr>
          <w:p>
            <w:pPr>
              <w:pStyle w:val="TableNumber"/>
            </w:pPr>
            <w:r>
              <w:t>75.90%</w:t>
            </w:r>
          </w:p>
        </w:tc>
        <w:tc>
          <w:tcPr>
            <w:tcW w:w="1800" w:type="dxa"/>
            <w:vAlign w:val="center"/>
          </w:tcPr>
          <w:p>
            <w:pPr>
              <w:pStyle w:val="TableNumber"/>
            </w:pPr>
            <w:r>
              <w:t>4.10</w:t>
            </w:r>
          </w:p>
        </w:tc>
        <w:tc>
          <w:tcPr>
            <w:tcW w:w="1960" w:type="dxa"/>
            <w:vAlign w:val="center"/>
          </w:tcPr>
          <w:p>
            <w:pPr>
              <w:pStyle w:val="TableNumber"/>
            </w:pPr>
            <w:r>
              <w:t>0.05589</w:t>
            </w:r>
          </w:p>
        </w:tc>
      </w:tr>
      <w:tr>
        <w:trPr>
          <w:cantSplit/>
        </w:trPr>
        <w:tc>
          <w:tcPr>
            <w:tcW w:w="700" w:type="dxa"/>
            <w:vAlign w:val="center"/>
          </w:tcPr>
          <w:p>
            <w:pPr>
              <w:pStyle w:val="TableText"/>
            </w:pPr>
            <w:r>
              <w:t>2d</w:t>
            </w:r>
          </w:p>
        </w:tc>
        <w:tc>
          <w:tcPr>
            <w:tcW w:w="1600" w:type="dxa"/>
            <w:vAlign w:val="center"/>
          </w:tcPr>
          <w:p>
            <w:pPr>
              <w:pStyle w:val="TableNumber"/>
            </w:pPr>
            <w:r>
              <w:t>0.0545</w:t>
            </w:r>
          </w:p>
        </w:tc>
        <w:tc>
          <w:tcPr>
            <w:tcW w:w="1650" w:type="dxa"/>
            <w:vAlign w:val="center"/>
          </w:tcPr>
          <w:p>
            <w:pPr>
              <w:pStyle w:val="TableNumber"/>
            </w:pPr>
            <w:r>
              <w:t>55.02%</w:t>
            </w:r>
          </w:p>
        </w:tc>
        <w:tc>
          <w:tcPr>
            <w:tcW w:w="1650" w:type="dxa"/>
            <w:vAlign w:val="center"/>
          </w:tcPr>
          <w:p>
            <w:pPr>
              <w:pStyle w:val="TableNumber"/>
            </w:pPr>
            <w:r>
              <w:t>74.95%</w:t>
            </w:r>
          </w:p>
        </w:tc>
        <w:tc>
          <w:tcPr>
            <w:tcW w:w="1800" w:type="dxa"/>
            <w:vAlign w:val="center"/>
          </w:tcPr>
          <w:p>
            <w:pPr>
              <w:pStyle w:val="TableNumber"/>
            </w:pPr>
            <w:r>
              <w:t>5.04</w:t>
            </w:r>
          </w:p>
        </w:tc>
        <w:tc>
          <w:tcPr>
            <w:tcW w:w="1960" w:type="dxa"/>
            <w:vAlign w:val="center"/>
          </w:tcPr>
          <w:p>
            <w:pPr>
              <w:pStyle w:val="TableNumber"/>
            </w:pPr>
            <w:r>
              <w:t>0.08405</w:t>
            </w:r>
          </w:p>
        </w:tc>
      </w:tr>
      <w:tr>
        <w:trPr>
          <w:cantSplit/>
        </w:trPr>
        <w:tc>
          <w:tcPr>
            <w:tcW w:w="700" w:type="dxa"/>
            <w:vAlign w:val="center"/>
          </w:tcPr>
          <w:p>
            <w:pPr>
              <w:pStyle w:val="TableText"/>
            </w:pPr>
            <w:r>
              <w:t>3d</w:t>
            </w:r>
          </w:p>
        </w:tc>
        <w:tc>
          <w:tcPr>
            <w:tcW w:w="1600" w:type="dxa"/>
            <w:vAlign w:val="center"/>
          </w:tcPr>
          <w:p>
            <w:pPr>
              <w:pStyle w:val="TableNumber"/>
            </w:pPr>
            <w:r>
              <w:t>0.0691</w:t>
            </w:r>
          </w:p>
        </w:tc>
        <w:tc>
          <w:tcPr>
            <w:tcW w:w="1650" w:type="dxa"/>
            <w:vAlign w:val="center"/>
          </w:tcPr>
          <w:p>
            <w:pPr>
              <w:pStyle w:val="TableNumber"/>
            </w:pPr>
            <w:r>
              <w:t>56.56%</w:t>
            </w:r>
          </w:p>
        </w:tc>
        <w:tc>
          <w:tcPr>
            <w:tcW w:w="1650" w:type="dxa"/>
            <w:vAlign w:val="center"/>
          </w:tcPr>
          <w:p>
            <w:pPr>
              <w:pStyle w:val="TableNumber"/>
            </w:pPr>
            <w:r>
              <w:t>73.50%</w:t>
            </w:r>
          </w:p>
        </w:tc>
        <w:tc>
          <w:tcPr>
            <w:tcW w:w="1800" w:type="dxa"/>
            <w:vAlign w:val="center"/>
          </w:tcPr>
          <w:p>
            <w:pPr>
              <w:pStyle w:val="TableNumber"/>
            </w:pPr>
            <w:r>
              <w:t>6.50</w:t>
            </w:r>
          </w:p>
        </w:tc>
        <w:tc>
          <w:tcPr>
            <w:tcW w:w="1960" w:type="dxa"/>
            <w:vAlign w:val="center"/>
          </w:tcPr>
          <w:p>
            <w:pPr>
              <w:pStyle w:val="TableNumber"/>
            </w:pPr>
            <w:r>
              <w:t>0.10367</w:t>
            </w:r>
          </w:p>
        </w:tc>
      </w:tr>
      <w:tr>
        <w:trPr>
          <w:cantSplit/>
        </w:trPr>
        <w:tc>
          <w:tcPr>
            <w:tcW w:w="700" w:type="dxa"/>
            <w:vAlign w:val="center"/>
          </w:tcPr>
          <w:p>
            <w:pPr>
              <w:pStyle w:val="TableText"/>
            </w:pPr>
            <w:r>
              <w:t>4d</w:t>
            </w:r>
          </w:p>
        </w:tc>
        <w:tc>
          <w:tcPr>
            <w:tcW w:w="1600" w:type="dxa"/>
            <w:vAlign w:val="center"/>
          </w:tcPr>
          <w:p>
            <w:pPr>
              <w:pStyle w:val="TableNumber"/>
            </w:pPr>
            <w:r>
              <w:t>0.0842</w:t>
            </w:r>
          </w:p>
        </w:tc>
        <w:tc>
          <w:tcPr>
            <w:tcW w:w="1650" w:type="dxa"/>
            <w:vAlign w:val="center"/>
          </w:tcPr>
          <w:p>
            <w:pPr>
              <w:pStyle w:val="TableNumber"/>
            </w:pPr>
            <w:r>
              <w:t>56.34%</w:t>
            </w:r>
          </w:p>
        </w:tc>
        <w:tc>
          <w:tcPr>
            <w:tcW w:w="1650" w:type="dxa"/>
            <w:vAlign w:val="center"/>
          </w:tcPr>
          <w:p>
            <w:pPr>
              <w:pStyle w:val="TableNumber"/>
            </w:pPr>
            <w:r>
              <w:t>72.60%</w:t>
            </w:r>
          </w:p>
        </w:tc>
        <w:tc>
          <w:tcPr>
            <w:tcW w:w="1800" w:type="dxa"/>
            <w:vAlign w:val="center"/>
          </w:tcPr>
          <w:p>
            <w:pPr>
              <w:pStyle w:val="TableNumber"/>
            </w:pPr>
            <w:r>
              <w:t>7.40</w:t>
            </w:r>
          </w:p>
        </w:tc>
        <w:tc>
          <w:tcPr>
            <w:tcW w:w="1960" w:type="dxa"/>
            <w:vAlign w:val="center"/>
          </w:tcPr>
          <w:p>
            <w:pPr>
              <w:pStyle w:val="TableNumber"/>
            </w:pPr>
            <w:r>
              <w:t>0.11940</w:t>
            </w:r>
          </w:p>
        </w:tc>
      </w:tr>
      <w:tr>
        <w:trPr>
          <w:cantSplit/>
        </w:trPr>
        <w:tc>
          <w:tcPr>
            <w:tcW w:w="700" w:type="dxa"/>
            <w:vAlign w:val="center"/>
          </w:tcPr>
          <w:p>
            <w:pPr>
              <w:pStyle w:val="TableText"/>
            </w:pPr>
            <w:r>
              <w:t>5d</w:t>
            </w:r>
          </w:p>
        </w:tc>
        <w:tc>
          <w:tcPr>
            <w:tcW w:w="1600" w:type="dxa"/>
            <w:vAlign w:val="center"/>
          </w:tcPr>
          <w:p>
            <w:pPr>
              <w:pStyle w:val="TableNumber"/>
            </w:pPr>
            <w:r>
              <w:t>0.0980</w:t>
            </w:r>
          </w:p>
        </w:tc>
        <w:tc>
          <w:tcPr>
            <w:tcW w:w="1650" w:type="dxa"/>
            <w:vAlign w:val="center"/>
          </w:tcPr>
          <w:p>
            <w:pPr>
              <w:pStyle w:val="TableNumber"/>
            </w:pPr>
            <w:r>
              <w:t>56.44%</w:t>
            </w:r>
          </w:p>
        </w:tc>
        <w:tc>
          <w:tcPr>
            <w:tcW w:w="1650" w:type="dxa"/>
            <w:vAlign w:val="center"/>
          </w:tcPr>
          <w:p>
            <w:pPr>
              <w:pStyle w:val="TableNumber"/>
            </w:pPr>
            <w:r>
              <w:t>71.02%</w:t>
            </w:r>
          </w:p>
        </w:tc>
        <w:tc>
          <w:tcPr>
            <w:tcW w:w="1800" w:type="dxa"/>
            <w:vAlign w:val="center"/>
          </w:tcPr>
          <w:p>
            <w:pPr>
              <w:pStyle w:val="TableNumber"/>
            </w:pPr>
            <w:r>
              <w:t>8.99</w:t>
            </w:r>
          </w:p>
        </w:tc>
        <w:tc>
          <w:tcPr>
            <w:tcW w:w="1960" w:type="dxa"/>
            <w:vAlign w:val="center"/>
          </w:tcPr>
          <w:p>
            <w:pPr>
              <w:pStyle w:val="TableNumber"/>
            </w:pPr>
            <w:r>
              <w:t>0.13224</w:t>
            </w:r>
          </w:p>
        </w:tc>
      </w:tr>
      <w:tr>
        <w:trPr>
          <w:cantSplit/>
        </w:trPr>
        <w:tc>
          <w:tcPr>
            <w:tcW w:w="700" w:type="dxa"/>
            <w:vAlign w:val="center"/>
          </w:tcPr>
          <w:p>
            <w:pPr>
              <w:pStyle w:val="TableText"/>
            </w:pPr>
            <w:r>
              <w:t>6d</w:t>
            </w:r>
          </w:p>
        </w:tc>
        <w:tc>
          <w:tcPr>
            <w:tcW w:w="1600" w:type="dxa"/>
            <w:vAlign w:val="center"/>
          </w:tcPr>
          <w:p>
            <w:pPr>
              <w:pStyle w:val="TableNumber"/>
            </w:pPr>
            <w:r>
              <w:t>0.1088</w:t>
            </w:r>
          </w:p>
        </w:tc>
        <w:tc>
          <w:tcPr>
            <w:tcW w:w="1650" w:type="dxa"/>
            <w:vAlign w:val="center"/>
          </w:tcPr>
          <w:p>
            <w:pPr>
              <w:pStyle w:val="TableNumber"/>
            </w:pPr>
            <w:r>
              <w:t>56.63%</w:t>
            </w:r>
          </w:p>
        </w:tc>
        <w:tc>
          <w:tcPr>
            <w:tcW w:w="1650" w:type="dxa"/>
            <w:vAlign w:val="center"/>
          </w:tcPr>
          <w:p>
            <w:pPr>
              <w:pStyle w:val="TableNumber"/>
            </w:pPr>
            <w:r>
              <w:t>71.78%</w:t>
            </w:r>
          </w:p>
        </w:tc>
        <w:tc>
          <w:tcPr>
            <w:tcW w:w="1800" w:type="dxa"/>
            <w:vAlign w:val="center"/>
          </w:tcPr>
          <w:p>
            <w:pPr>
              <w:pStyle w:val="TableNumber"/>
            </w:pPr>
            <w:r>
              <w:t>8.23</w:t>
            </w:r>
          </w:p>
        </w:tc>
        <w:tc>
          <w:tcPr>
            <w:tcW w:w="1960" w:type="dxa"/>
            <w:vAlign w:val="center"/>
          </w:tcPr>
          <w:p>
            <w:pPr>
              <w:pStyle w:val="TableNumber"/>
            </w:pPr>
            <w:r>
              <w:t>0.14790</w:t>
            </w:r>
          </w:p>
        </w:tc>
      </w:tr>
      <w:tr>
        <w:trPr>
          <w:cantSplit/>
        </w:trPr>
        <w:tc>
          <w:tcPr>
            <w:tcW w:w="700" w:type="dxa"/>
            <w:vAlign w:val="center"/>
          </w:tcPr>
          <w:p>
            <w:pPr>
              <w:pStyle w:val="TableText"/>
            </w:pPr>
            <w:r>
              <w:t>7d</w:t>
            </w:r>
          </w:p>
        </w:tc>
        <w:tc>
          <w:tcPr>
            <w:tcW w:w="1600" w:type="dxa"/>
            <w:vAlign w:val="center"/>
          </w:tcPr>
          <w:p>
            <w:pPr>
              <w:pStyle w:val="TableNumber"/>
            </w:pPr>
            <w:r>
              <w:t>0.1164</w:t>
            </w:r>
          </w:p>
        </w:tc>
        <w:tc>
          <w:tcPr>
            <w:tcW w:w="1650" w:type="dxa"/>
            <w:vAlign w:val="center"/>
          </w:tcPr>
          <w:p>
            <w:pPr>
              <w:pStyle w:val="TableNumber"/>
            </w:pPr>
            <w:r>
              <w:t>56.73%</w:t>
            </w:r>
          </w:p>
        </w:tc>
        <w:tc>
          <w:tcPr>
            <w:tcW w:w="1650" w:type="dxa"/>
            <w:vAlign w:val="center"/>
          </w:tcPr>
          <w:p>
            <w:pPr>
              <w:pStyle w:val="TableNumber"/>
            </w:pPr>
            <w:r>
              <w:t>70.23%</w:t>
            </w:r>
          </w:p>
        </w:tc>
        <w:tc>
          <w:tcPr>
            <w:tcW w:w="1800" w:type="dxa"/>
            <w:vAlign w:val="center"/>
          </w:tcPr>
          <w:p>
            <w:pPr>
              <w:pStyle w:val="TableNumber"/>
            </w:pPr>
            <w:r>
              <w:t>9.78</w:t>
            </w:r>
          </w:p>
        </w:tc>
        <w:tc>
          <w:tcPr>
            <w:tcW w:w="1960" w:type="dxa"/>
            <w:vAlign w:val="center"/>
          </w:tcPr>
          <w:p>
            <w:pPr>
              <w:pStyle w:val="TableNumber"/>
            </w:pPr>
            <w:r>
              <w:t>0.15772</w:t>
            </w:r>
          </w:p>
        </w:tc>
      </w:tr>
      <w:tr>
        <w:trPr>
          <w:cantSplit/>
        </w:trPr>
        <w:tc>
          <w:tcPr>
            <w:tcW w:w="700" w:type="dxa"/>
            <w:vAlign w:val="center"/>
          </w:tcPr>
          <w:p>
            <w:pPr>
              <w:pStyle w:val="TableText"/>
            </w:pPr>
            <w:r>
              <w:t>8d</w:t>
            </w:r>
          </w:p>
        </w:tc>
        <w:tc>
          <w:tcPr>
            <w:tcW w:w="1600" w:type="dxa"/>
            <w:vAlign w:val="center"/>
          </w:tcPr>
          <w:p>
            <w:pPr>
              <w:pStyle w:val="TableNumber"/>
            </w:pPr>
            <w:r>
              <w:t>0.1265</w:t>
            </w:r>
          </w:p>
        </w:tc>
        <w:tc>
          <w:tcPr>
            <w:tcW w:w="1650" w:type="dxa"/>
            <w:vAlign w:val="center"/>
          </w:tcPr>
          <w:p>
            <w:pPr>
              <w:pStyle w:val="TableNumber"/>
            </w:pPr>
            <w:r>
              <w:t>56.51%</w:t>
            </w:r>
          </w:p>
        </w:tc>
        <w:tc>
          <w:tcPr>
            <w:tcW w:w="1650" w:type="dxa"/>
            <w:vAlign w:val="center"/>
          </w:tcPr>
          <w:p>
            <w:pPr>
              <w:pStyle w:val="TableNumber"/>
            </w:pPr>
            <w:r>
              <w:t>70.84%</w:t>
            </w:r>
          </w:p>
        </w:tc>
        <w:tc>
          <w:tcPr>
            <w:tcW w:w="1800" w:type="dxa"/>
            <w:vAlign w:val="center"/>
          </w:tcPr>
          <w:p>
            <w:pPr>
              <w:pStyle w:val="TableNumber"/>
            </w:pPr>
            <w:r>
              <w:t>9.16</w:t>
            </w:r>
          </w:p>
        </w:tc>
        <w:tc>
          <w:tcPr>
            <w:tcW w:w="1960" w:type="dxa"/>
            <w:vAlign w:val="center"/>
          </w:tcPr>
          <w:p>
            <w:pPr>
              <w:pStyle w:val="TableNumber"/>
            </w:pPr>
            <w:r>
              <w:t>0.17111</w:t>
            </w:r>
          </w:p>
        </w:tc>
      </w:tr>
      <w:tr>
        <w:trPr>
          <w:cantSplit/>
        </w:trPr>
        <w:tc>
          <w:tcPr>
            <w:tcW w:w="700" w:type="dxa"/>
            <w:vAlign w:val="center"/>
          </w:tcPr>
          <w:p>
            <w:pPr>
              <w:pStyle w:val="TableText"/>
            </w:pPr>
            <w:r>
              <w:t>9d</w:t>
            </w:r>
          </w:p>
        </w:tc>
        <w:tc>
          <w:tcPr>
            <w:tcW w:w="1600" w:type="dxa"/>
            <w:vAlign w:val="center"/>
          </w:tcPr>
          <w:p>
            <w:pPr>
              <w:pStyle w:val="TableNumber"/>
            </w:pPr>
            <w:r>
              <w:t>0.1350</w:t>
            </w:r>
          </w:p>
        </w:tc>
        <w:tc>
          <w:tcPr>
            <w:tcW w:w="1650" w:type="dxa"/>
            <w:vAlign w:val="center"/>
          </w:tcPr>
          <w:p>
            <w:pPr>
              <w:pStyle w:val="TableNumber"/>
            </w:pPr>
            <w:r>
              <w:t>57.29%</w:t>
            </w:r>
          </w:p>
        </w:tc>
        <w:tc>
          <w:tcPr>
            <w:tcW w:w="1650" w:type="dxa"/>
            <w:vAlign w:val="center"/>
          </w:tcPr>
          <w:p>
            <w:pPr>
              <w:pStyle w:val="TableNumber"/>
            </w:pPr>
            <w:r>
              <w:t>70.21%</w:t>
            </w:r>
          </w:p>
        </w:tc>
        <w:tc>
          <w:tcPr>
            <w:tcW w:w="1800" w:type="dxa"/>
            <w:vAlign w:val="center"/>
          </w:tcPr>
          <w:p>
            <w:pPr>
              <w:pStyle w:val="TableNumber"/>
            </w:pPr>
            <w:r>
              <w:t>9.79</w:t>
            </w:r>
          </w:p>
        </w:tc>
        <w:tc>
          <w:tcPr>
            <w:tcW w:w="1960" w:type="dxa"/>
            <w:vAlign w:val="center"/>
          </w:tcPr>
          <w:p>
            <w:pPr>
              <w:pStyle w:val="TableNumber"/>
            </w:pPr>
            <w:r>
              <w:t>0.18057</w:t>
            </w:r>
          </w:p>
        </w:tc>
      </w:tr>
      <w:tr>
        <w:trPr>
          <w:cantSplit/>
        </w:trPr>
        <w:tc>
          <w:tcPr>
            <w:tcW w:w="700" w:type="dxa"/>
            <w:vAlign w:val="center"/>
          </w:tcPr>
          <w:p>
            <w:pPr>
              <w:pStyle w:val="TableText"/>
            </w:pPr>
            <w:r>
              <w:t>10d</w:t>
            </w:r>
          </w:p>
        </w:tc>
        <w:tc>
          <w:tcPr>
            <w:tcW w:w="1600" w:type="dxa"/>
            <w:vAlign w:val="center"/>
          </w:tcPr>
          <w:p>
            <w:pPr>
              <w:pStyle w:val="TableNumber"/>
            </w:pPr>
            <w:r>
              <w:t>0.1425</w:t>
            </w:r>
          </w:p>
        </w:tc>
        <w:tc>
          <w:tcPr>
            <w:tcW w:w="1650" w:type="dxa"/>
            <w:vAlign w:val="center"/>
          </w:tcPr>
          <w:p>
            <w:pPr>
              <w:pStyle w:val="TableNumber"/>
            </w:pPr>
            <w:r>
              <w:t>58.87%</w:t>
            </w:r>
          </w:p>
        </w:tc>
        <w:tc>
          <w:tcPr>
            <w:tcW w:w="1650" w:type="dxa"/>
            <w:vAlign w:val="center"/>
          </w:tcPr>
          <w:p>
            <w:pPr>
              <w:pStyle w:val="TableNumber"/>
            </w:pPr>
            <w:r>
              <w:t>69.88%</w:t>
            </w:r>
          </w:p>
        </w:tc>
        <w:tc>
          <w:tcPr>
            <w:tcW w:w="1800" w:type="dxa"/>
            <w:vAlign w:val="center"/>
          </w:tcPr>
          <w:p>
            <w:pPr>
              <w:pStyle w:val="TableNumber"/>
            </w:pPr>
            <w:r>
              <w:t>10.13</w:t>
            </w:r>
          </w:p>
        </w:tc>
        <w:tc>
          <w:tcPr>
            <w:tcW w:w="1960" w:type="dxa"/>
            <w:vAlign w:val="center"/>
          </w:tcPr>
          <w:p>
            <w:pPr>
              <w:pStyle w:val="TableNumber"/>
            </w:pPr>
            <w:r>
              <w:t>0.19108</w:t>
            </w:r>
          </w:p>
        </w:tc>
      </w:tr>
      <w:tr>
        <w:trPr>
          <w:cantSplit/>
        </w:trPr>
        <w:tc>
          <w:tcPr>
            <w:tcW w:w="700" w:type="dxa"/>
            <w:vAlign w:val="center"/>
          </w:tcPr>
          <w:p>
            <w:pPr>
              <w:pStyle w:val="TableText"/>
            </w:pPr>
            <w:r>
              <w:t>11d</w:t>
            </w:r>
          </w:p>
        </w:tc>
        <w:tc>
          <w:tcPr>
            <w:tcW w:w="1600" w:type="dxa"/>
            <w:vAlign w:val="center"/>
          </w:tcPr>
          <w:p>
            <w:pPr>
              <w:pStyle w:val="TableNumber"/>
            </w:pPr>
            <w:r>
              <w:t>0.1492</w:t>
            </w:r>
          </w:p>
        </w:tc>
        <w:tc>
          <w:tcPr>
            <w:tcW w:w="1650" w:type="dxa"/>
            <w:vAlign w:val="center"/>
          </w:tcPr>
          <w:p>
            <w:pPr>
              <w:pStyle w:val="TableNumber"/>
            </w:pPr>
            <w:r>
              <w:t>58.78%</w:t>
            </w:r>
          </w:p>
        </w:tc>
        <w:tc>
          <w:tcPr>
            <w:tcW w:w="1650" w:type="dxa"/>
            <w:vAlign w:val="center"/>
          </w:tcPr>
          <w:p>
            <w:pPr>
              <w:pStyle w:val="TableNumber"/>
            </w:pPr>
            <w:r>
              <w:t>70.48%</w:t>
            </w:r>
          </w:p>
        </w:tc>
        <w:tc>
          <w:tcPr>
            <w:tcW w:w="1800" w:type="dxa"/>
            <w:vAlign w:val="center"/>
          </w:tcPr>
          <w:p>
            <w:pPr>
              <w:pStyle w:val="TableNumber"/>
            </w:pPr>
            <w:r>
              <w:t>9.52</w:t>
            </w:r>
          </w:p>
        </w:tc>
        <w:tc>
          <w:tcPr>
            <w:tcW w:w="1960" w:type="dxa"/>
            <w:vAlign w:val="center"/>
          </w:tcPr>
          <w:p>
            <w:pPr>
              <w:pStyle w:val="TableNumber"/>
            </w:pPr>
            <w:r>
              <w:t>0.20251</w:t>
            </w:r>
          </w:p>
        </w:tc>
      </w:tr>
      <w:tr>
        <w:trPr>
          <w:cantSplit/>
        </w:trPr>
        <w:tc>
          <w:tcPr>
            <w:tcW w:w="700" w:type="dxa"/>
            <w:vAlign w:val="center"/>
          </w:tcPr>
          <w:p>
            <w:pPr>
              <w:pStyle w:val="TableText"/>
            </w:pPr>
            <w:r>
              <w:t>12d</w:t>
            </w:r>
          </w:p>
        </w:tc>
        <w:tc>
          <w:tcPr>
            <w:tcW w:w="1600" w:type="dxa"/>
            <w:vAlign w:val="center"/>
          </w:tcPr>
          <w:p>
            <w:pPr>
              <w:pStyle w:val="TableNumber"/>
            </w:pPr>
            <w:r>
              <w:t>0.1547</w:t>
            </w:r>
          </w:p>
        </w:tc>
        <w:tc>
          <w:tcPr>
            <w:tcW w:w="1650" w:type="dxa"/>
            <w:vAlign w:val="center"/>
          </w:tcPr>
          <w:p>
            <w:pPr>
              <w:pStyle w:val="TableNumber"/>
            </w:pPr>
            <w:r>
              <w:t>58.70%</w:t>
            </w:r>
          </w:p>
        </w:tc>
        <w:tc>
          <w:tcPr>
            <w:tcW w:w="1650" w:type="dxa"/>
            <w:vAlign w:val="center"/>
          </w:tcPr>
          <w:p>
            <w:pPr>
              <w:pStyle w:val="TableNumber"/>
            </w:pPr>
            <w:r>
              <w:t>70.20%</w:t>
            </w:r>
          </w:p>
        </w:tc>
        <w:tc>
          <w:tcPr>
            <w:tcW w:w="1800" w:type="dxa"/>
            <w:vAlign w:val="center"/>
          </w:tcPr>
          <w:p>
            <w:pPr>
              <w:pStyle w:val="TableNumber"/>
            </w:pPr>
            <w:r>
              <w:t>9.80</w:t>
            </w:r>
          </w:p>
        </w:tc>
        <w:tc>
          <w:tcPr>
            <w:tcW w:w="1960" w:type="dxa"/>
            <w:vAlign w:val="center"/>
          </w:tcPr>
          <w:p>
            <w:pPr>
              <w:pStyle w:val="TableNumber"/>
            </w:pPr>
            <w:r>
              <w:t>0.21056</w:t>
            </w:r>
          </w:p>
        </w:tc>
      </w:tr>
      <w:tr>
        <w:trPr>
          <w:cantSplit/>
        </w:trPr>
        <w:tc>
          <w:tcPr>
            <w:tcW w:w="700" w:type="dxa"/>
            <w:vAlign w:val="center"/>
          </w:tcPr>
          <w:p>
            <w:pPr>
              <w:pStyle w:val="TableText"/>
            </w:pPr>
            <w:r>
              <w:t>13d</w:t>
            </w:r>
          </w:p>
        </w:tc>
        <w:tc>
          <w:tcPr>
            <w:tcW w:w="1600" w:type="dxa"/>
            <w:vAlign w:val="center"/>
          </w:tcPr>
          <w:p>
            <w:pPr>
              <w:pStyle w:val="TableNumber"/>
            </w:pPr>
            <w:r>
              <w:t>0.1585</w:t>
            </w:r>
          </w:p>
        </w:tc>
        <w:tc>
          <w:tcPr>
            <w:tcW w:w="1650" w:type="dxa"/>
            <w:vAlign w:val="center"/>
          </w:tcPr>
          <w:p>
            <w:pPr>
              <w:pStyle w:val="TableNumber"/>
            </w:pPr>
            <w:r>
              <w:t>58.53%</w:t>
            </w:r>
          </w:p>
        </w:tc>
        <w:tc>
          <w:tcPr>
            <w:tcW w:w="1650" w:type="dxa"/>
            <w:vAlign w:val="center"/>
          </w:tcPr>
          <w:p>
            <w:pPr>
              <w:pStyle w:val="TableNumber"/>
            </w:pPr>
            <w:r>
              <w:t>69.86%</w:t>
            </w:r>
          </w:p>
        </w:tc>
        <w:tc>
          <w:tcPr>
            <w:tcW w:w="1800" w:type="dxa"/>
            <w:vAlign w:val="center"/>
          </w:tcPr>
          <w:p>
            <w:pPr>
              <w:pStyle w:val="TableNumber"/>
            </w:pPr>
            <w:r>
              <w:t>10.14</w:t>
            </w:r>
          </w:p>
        </w:tc>
        <w:tc>
          <w:tcPr>
            <w:tcW w:w="1960" w:type="dxa"/>
            <w:vAlign w:val="center"/>
          </w:tcPr>
          <w:p>
            <w:pPr>
              <w:pStyle w:val="TableNumber"/>
            </w:pPr>
            <w:r>
              <w:t>0.21911</w:t>
            </w:r>
          </w:p>
        </w:tc>
      </w:tr>
      <w:tr>
        <w:trPr>
          <w:cantSplit/>
        </w:trPr>
        <w:tc>
          <w:tcPr>
            <w:tcW w:w="700" w:type="dxa"/>
            <w:vAlign w:val="center"/>
          </w:tcPr>
          <w:p>
            <w:pPr>
              <w:pStyle w:val="TableText"/>
            </w:pPr>
            <w:r>
              <w:t>14d</w:t>
            </w:r>
          </w:p>
        </w:tc>
        <w:tc>
          <w:tcPr>
            <w:tcW w:w="1600" w:type="dxa"/>
            <w:vAlign w:val="center"/>
          </w:tcPr>
          <w:p>
            <w:pPr>
              <w:pStyle w:val="TableNumber"/>
            </w:pPr>
            <w:r>
              <w:t>0.1588</w:t>
            </w:r>
          </w:p>
        </w:tc>
        <w:tc>
          <w:tcPr>
            <w:tcW w:w="1650" w:type="dxa"/>
            <w:vAlign w:val="center"/>
          </w:tcPr>
          <w:p>
            <w:pPr>
              <w:pStyle w:val="TableNumber"/>
            </w:pPr>
            <w:r>
              <w:t>58.88%</w:t>
            </w:r>
          </w:p>
        </w:tc>
        <w:tc>
          <w:tcPr>
            <w:tcW w:w="1650" w:type="dxa"/>
            <w:vAlign w:val="center"/>
          </w:tcPr>
          <w:p>
            <w:pPr>
              <w:pStyle w:val="TableNumber"/>
            </w:pPr>
            <w:r>
              <w:t>69.58%</w:t>
            </w:r>
          </w:p>
        </w:tc>
        <w:tc>
          <w:tcPr>
            <w:tcW w:w="1800" w:type="dxa"/>
            <w:vAlign w:val="center"/>
          </w:tcPr>
          <w:p>
            <w:pPr>
              <w:pStyle w:val="TableNumber"/>
            </w:pPr>
            <w:r>
              <w:t>10.42</w:t>
            </w:r>
          </w:p>
        </w:tc>
        <w:tc>
          <w:tcPr>
            <w:tcW w:w="1960" w:type="dxa"/>
            <w:vAlign w:val="center"/>
          </w:tcPr>
          <w:p>
            <w:pPr>
              <w:pStyle w:val="TableNumber"/>
            </w:pPr>
            <w:r>
              <w:t>0.22857</w:t>
            </w:r>
          </w:p>
        </w:tc>
      </w:tr>
    </w:tbl>
    <w:p>
      <w:pPr>
        <w:pStyle w:val="a"/>
      </w:pPr>
      <w:r>
        <w:t>q50 correlation 從 1 日 0.0499 到 14 日 0.1588，皆屬偏弱相關；方向一致率為 53.03% 至 58.88%。q10 至 q90 coverage 為 69.58% 至 75.90%，14 個 horizon 全低於名目 80%；區間寬度從 0.0559 增至 0.2286，仍需以 validation 做分 horizon 校準。</w:t>
      </w:r>
    </w:p>
    <w:p>
      <w:pPr>
        <w:pStyle w:val="21"/>
      </w:pPr>
      <w:r>
        <w:t>6.3 橫斷面排序與資金路徑</w:t>
      </w:r>
    </w:p>
    <w:p>
      <w:pPr>
        <w:pStyle w:val="Decision"/>
        <w:keepNext/>
        <w:spacing w:after="80"/>
      </w:pPr>
      <w:r>
        <w:t>表 9｜每個 horizon 的經濟診斷</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0.0660 (1/9)</w:t>
            </w:r>
          </w:p>
        </w:tc>
        <w:tc>
          <w:tcPr>
            <w:tcW w:w="1100" w:type="dxa"/>
            <w:vAlign w:val="center"/>
          </w:tcPr>
          <w:p>
            <w:pPr>
              <w:pStyle w:val="TableNumber"/>
            </w:pPr>
            <w:r>
              <w:t>0.440</w:t>
            </w:r>
          </w:p>
        </w:tc>
        <w:tc>
          <w:tcPr>
            <w:tcW w:w="1500" w:type="dxa"/>
            <w:vAlign w:val="center"/>
          </w:tcPr>
          <w:p>
            <w:pPr>
              <w:pStyle w:val="TableNumber"/>
            </w:pPr>
            <w:r>
              <w:t>0.40%</w:t>
            </w:r>
          </w:p>
        </w:tc>
        <w:tc>
          <w:tcPr>
            <w:tcW w:w="1650" w:type="dxa"/>
            <w:vAlign w:val="center"/>
          </w:tcPr>
          <w:p>
            <w:pPr>
              <w:pStyle w:val="TableNumber"/>
            </w:pPr>
            <w:r>
              <w:t>4.719 (1/9)</w:t>
            </w:r>
          </w:p>
        </w:tc>
        <w:tc>
          <w:tcPr>
            <w:tcW w:w="1600" w:type="dxa"/>
            <w:vAlign w:val="center"/>
          </w:tcPr>
          <w:p>
            <w:pPr>
              <w:pStyle w:val="TableNumber"/>
            </w:pPr>
            <w:r>
              <w:t>-5.13% (3/9)</w:t>
            </w:r>
          </w:p>
        </w:tc>
        <w:tc>
          <w:tcPr>
            <w:tcW w:w="960" w:type="dxa"/>
            <w:vAlign w:val="center"/>
          </w:tcPr>
          <w:p>
            <w:pPr>
              <w:pStyle w:val="TableNumber"/>
            </w:pPr>
            <w:r>
              <w:t>0.386</w:t>
            </w:r>
          </w:p>
        </w:tc>
      </w:tr>
      <w:tr>
        <w:trPr>
          <w:cantSplit/>
        </w:trPr>
        <w:tc>
          <w:tcPr>
            <w:tcW w:w="650" w:type="dxa"/>
            <w:vAlign w:val="center"/>
          </w:tcPr>
          <w:p>
            <w:pPr>
              <w:pStyle w:val="TableText"/>
            </w:pPr>
            <w:r>
              <w:t>2d</w:t>
            </w:r>
          </w:p>
        </w:tc>
        <w:tc>
          <w:tcPr>
            <w:tcW w:w="1900" w:type="dxa"/>
            <w:vAlign w:val="center"/>
          </w:tcPr>
          <w:p>
            <w:pPr>
              <w:pStyle w:val="TableNumber"/>
            </w:pPr>
            <w:r>
              <w:t>0.0574 (1/9)</w:t>
            </w:r>
          </w:p>
        </w:tc>
        <w:tc>
          <w:tcPr>
            <w:tcW w:w="1100" w:type="dxa"/>
            <w:vAlign w:val="center"/>
          </w:tcPr>
          <w:p>
            <w:pPr>
              <w:pStyle w:val="TableNumber"/>
            </w:pPr>
            <w:r>
              <w:t>0.401</w:t>
            </w:r>
          </w:p>
        </w:tc>
        <w:tc>
          <w:tcPr>
            <w:tcW w:w="1500" w:type="dxa"/>
            <w:vAlign w:val="center"/>
          </w:tcPr>
          <w:p>
            <w:pPr>
              <w:pStyle w:val="TableNumber"/>
            </w:pPr>
            <w:r>
              <w:t>0.52%</w:t>
            </w:r>
          </w:p>
        </w:tc>
        <w:tc>
          <w:tcPr>
            <w:tcW w:w="1650" w:type="dxa"/>
            <w:vAlign w:val="center"/>
          </w:tcPr>
          <w:p>
            <w:pPr>
              <w:pStyle w:val="TableNumber"/>
            </w:pPr>
            <w:r>
              <w:t>2.896 (1/9)</w:t>
            </w:r>
          </w:p>
        </w:tc>
        <w:tc>
          <w:tcPr>
            <w:tcW w:w="1600" w:type="dxa"/>
            <w:vAlign w:val="center"/>
          </w:tcPr>
          <w:p>
            <w:pPr>
              <w:pStyle w:val="TableNumber"/>
            </w:pPr>
            <w:r>
              <w:t>-13.29% (4/9)</w:t>
            </w:r>
          </w:p>
        </w:tc>
        <w:tc>
          <w:tcPr>
            <w:tcW w:w="960" w:type="dxa"/>
            <w:vAlign w:val="center"/>
          </w:tcPr>
          <w:p>
            <w:pPr>
              <w:pStyle w:val="TableNumber"/>
            </w:pPr>
            <w:r>
              <w:t>0.393</w:t>
            </w:r>
          </w:p>
        </w:tc>
      </w:tr>
      <w:tr>
        <w:trPr>
          <w:cantSplit/>
        </w:trPr>
        <w:tc>
          <w:tcPr>
            <w:tcW w:w="650" w:type="dxa"/>
            <w:vAlign w:val="center"/>
          </w:tcPr>
          <w:p>
            <w:pPr>
              <w:pStyle w:val="TableText"/>
            </w:pPr>
            <w:r>
              <w:t>3d</w:t>
            </w:r>
          </w:p>
        </w:tc>
        <w:tc>
          <w:tcPr>
            <w:tcW w:w="1900" w:type="dxa"/>
            <w:vAlign w:val="center"/>
          </w:tcPr>
          <w:p>
            <w:pPr>
              <w:pStyle w:val="TableNumber"/>
            </w:pPr>
            <w:r>
              <w:t>0.0532 (1/9)</w:t>
            </w:r>
          </w:p>
        </w:tc>
        <w:tc>
          <w:tcPr>
            <w:tcW w:w="1100" w:type="dxa"/>
            <w:vAlign w:val="center"/>
          </w:tcPr>
          <w:p>
            <w:pPr>
              <w:pStyle w:val="TableNumber"/>
            </w:pPr>
            <w:r>
              <w:t>0.355</w:t>
            </w:r>
          </w:p>
        </w:tc>
        <w:tc>
          <w:tcPr>
            <w:tcW w:w="1500" w:type="dxa"/>
            <w:vAlign w:val="center"/>
          </w:tcPr>
          <w:p>
            <w:pPr>
              <w:pStyle w:val="TableNumber"/>
            </w:pPr>
            <w:r>
              <w:t>0.54%</w:t>
            </w:r>
          </w:p>
        </w:tc>
        <w:tc>
          <w:tcPr>
            <w:tcW w:w="1650" w:type="dxa"/>
            <w:vAlign w:val="center"/>
          </w:tcPr>
          <w:p>
            <w:pPr>
              <w:pStyle w:val="TableNumber"/>
            </w:pPr>
            <w:r>
              <w:t>1.961 (1/9)</w:t>
            </w:r>
          </w:p>
        </w:tc>
        <w:tc>
          <w:tcPr>
            <w:tcW w:w="1600" w:type="dxa"/>
            <w:vAlign w:val="center"/>
          </w:tcPr>
          <w:p>
            <w:pPr>
              <w:pStyle w:val="TableNumber"/>
            </w:pPr>
            <w:r>
              <w:t>-15.97% (4/9)</w:t>
            </w:r>
          </w:p>
        </w:tc>
        <w:tc>
          <w:tcPr>
            <w:tcW w:w="960" w:type="dxa"/>
            <w:vAlign w:val="center"/>
          </w:tcPr>
          <w:p>
            <w:pPr>
              <w:pStyle w:val="TableNumber"/>
            </w:pPr>
            <w:r>
              <w:t>0.445</w:t>
            </w:r>
          </w:p>
        </w:tc>
      </w:tr>
      <w:tr>
        <w:trPr>
          <w:cantSplit/>
        </w:trPr>
        <w:tc>
          <w:tcPr>
            <w:tcW w:w="650" w:type="dxa"/>
            <w:vAlign w:val="center"/>
          </w:tcPr>
          <w:p>
            <w:pPr>
              <w:pStyle w:val="TableText"/>
            </w:pPr>
            <w:r>
              <w:t>4d</w:t>
            </w:r>
          </w:p>
        </w:tc>
        <w:tc>
          <w:tcPr>
            <w:tcW w:w="1900" w:type="dxa"/>
            <w:vAlign w:val="center"/>
          </w:tcPr>
          <w:p>
            <w:pPr>
              <w:pStyle w:val="TableNumber"/>
            </w:pPr>
            <w:r>
              <w:t>0.0498 (1/9)</w:t>
            </w:r>
          </w:p>
        </w:tc>
        <w:tc>
          <w:tcPr>
            <w:tcW w:w="1100" w:type="dxa"/>
            <w:vAlign w:val="center"/>
          </w:tcPr>
          <w:p>
            <w:pPr>
              <w:pStyle w:val="TableNumber"/>
            </w:pPr>
            <w:r>
              <w:t>0.330</w:t>
            </w:r>
          </w:p>
        </w:tc>
        <w:tc>
          <w:tcPr>
            <w:tcW w:w="1500" w:type="dxa"/>
            <w:vAlign w:val="center"/>
          </w:tcPr>
          <w:p>
            <w:pPr>
              <w:pStyle w:val="TableNumber"/>
            </w:pPr>
            <w:r>
              <w:t>0.69%</w:t>
            </w:r>
          </w:p>
        </w:tc>
        <w:tc>
          <w:tcPr>
            <w:tcW w:w="1650" w:type="dxa"/>
            <w:vAlign w:val="center"/>
          </w:tcPr>
          <w:p>
            <w:pPr>
              <w:pStyle w:val="TableNumber"/>
            </w:pPr>
            <w:r>
              <w:t>1.828 (1/9)</w:t>
            </w:r>
          </w:p>
        </w:tc>
        <w:tc>
          <w:tcPr>
            <w:tcW w:w="1600" w:type="dxa"/>
            <w:vAlign w:val="center"/>
          </w:tcPr>
          <w:p>
            <w:pPr>
              <w:pStyle w:val="TableNumber"/>
            </w:pPr>
            <w:r>
              <w:t>-17.01% (3/9)</w:t>
            </w:r>
          </w:p>
        </w:tc>
        <w:tc>
          <w:tcPr>
            <w:tcW w:w="960" w:type="dxa"/>
            <w:vAlign w:val="center"/>
          </w:tcPr>
          <w:p>
            <w:pPr>
              <w:pStyle w:val="TableNumber"/>
            </w:pPr>
            <w:r>
              <w:t>0.448</w:t>
            </w:r>
          </w:p>
        </w:tc>
      </w:tr>
      <w:tr>
        <w:trPr>
          <w:cantSplit/>
        </w:trPr>
        <w:tc>
          <w:tcPr>
            <w:tcW w:w="650" w:type="dxa"/>
            <w:vAlign w:val="center"/>
          </w:tcPr>
          <w:p>
            <w:pPr>
              <w:pStyle w:val="TableText"/>
            </w:pPr>
            <w:r>
              <w:t>5d</w:t>
            </w:r>
          </w:p>
        </w:tc>
        <w:tc>
          <w:tcPr>
            <w:tcW w:w="1900" w:type="dxa"/>
            <w:vAlign w:val="center"/>
          </w:tcPr>
          <w:p>
            <w:pPr>
              <w:pStyle w:val="TableNumber"/>
            </w:pPr>
            <w:r>
              <w:t>0.0431 (1/9)</w:t>
            </w:r>
          </w:p>
        </w:tc>
        <w:tc>
          <w:tcPr>
            <w:tcW w:w="1100" w:type="dxa"/>
            <w:vAlign w:val="center"/>
          </w:tcPr>
          <w:p>
            <w:pPr>
              <w:pStyle w:val="TableNumber"/>
            </w:pPr>
            <w:r>
              <w:t>0.289</w:t>
            </w:r>
          </w:p>
        </w:tc>
        <w:tc>
          <w:tcPr>
            <w:tcW w:w="1500" w:type="dxa"/>
            <w:vAlign w:val="center"/>
          </w:tcPr>
          <w:p>
            <w:pPr>
              <w:pStyle w:val="TableNumber"/>
            </w:pPr>
            <w:r>
              <w:t>0.76%</w:t>
            </w:r>
          </w:p>
        </w:tc>
        <w:tc>
          <w:tcPr>
            <w:tcW w:w="1650" w:type="dxa"/>
            <w:vAlign w:val="center"/>
          </w:tcPr>
          <w:p>
            <w:pPr>
              <w:pStyle w:val="TableNumber"/>
            </w:pPr>
            <w:r>
              <w:t>1.587 (1/9)</w:t>
            </w:r>
          </w:p>
        </w:tc>
        <w:tc>
          <w:tcPr>
            <w:tcW w:w="1600" w:type="dxa"/>
            <w:vAlign w:val="center"/>
          </w:tcPr>
          <w:p>
            <w:pPr>
              <w:pStyle w:val="TableNumber"/>
            </w:pPr>
            <w:r>
              <w:t>-26.61% (3/9)</w:t>
            </w:r>
          </w:p>
        </w:tc>
        <w:tc>
          <w:tcPr>
            <w:tcW w:w="960" w:type="dxa"/>
            <w:vAlign w:val="center"/>
          </w:tcPr>
          <w:p>
            <w:pPr>
              <w:pStyle w:val="TableNumber"/>
            </w:pPr>
            <w:r>
              <w:t>0.443</w:t>
            </w:r>
          </w:p>
        </w:tc>
      </w:tr>
      <w:tr>
        <w:trPr>
          <w:cantSplit/>
        </w:trPr>
        <w:tc>
          <w:tcPr>
            <w:tcW w:w="650" w:type="dxa"/>
            <w:vAlign w:val="center"/>
          </w:tcPr>
          <w:p>
            <w:pPr>
              <w:pStyle w:val="TableText"/>
            </w:pPr>
            <w:r>
              <w:t>6d</w:t>
            </w:r>
          </w:p>
        </w:tc>
        <w:tc>
          <w:tcPr>
            <w:tcW w:w="1900" w:type="dxa"/>
            <w:vAlign w:val="center"/>
          </w:tcPr>
          <w:p>
            <w:pPr>
              <w:pStyle w:val="TableNumber"/>
            </w:pPr>
            <w:r>
              <w:t>0.0425 (1/9)</w:t>
            </w:r>
          </w:p>
        </w:tc>
        <w:tc>
          <w:tcPr>
            <w:tcW w:w="1100" w:type="dxa"/>
            <w:vAlign w:val="center"/>
          </w:tcPr>
          <w:p>
            <w:pPr>
              <w:pStyle w:val="TableNumber"/>
            </w:pPr>
            <w:r>
              <w:t>0.298</w:t>
            </w:r>
          </w:p>
        </w:tc>
        <w:tc>
          <w:tcPr>
            <w:tcW w:w="1500" w:type="dxa"/>
            <w:vAlign w:val="center"/>
          </w:tcPr>
          <w:p>
            <w:pPr>
              <w:pStyle w:val="TableNumber"/>
            </w:pPr>
            <w:r>
              <w:t>0.94%</w:t>
            </w:r>
          </w:p>
        </w:tc>
        <w:tc>
          <w:tcPr>
            <w:tcW w:w="1650" w:type="dxa"/>
            <w:vAlign w:val="center"/>
          </w:tcPr>
          <w:p>
            <w:pPr>
              <w:pStyle w:val="TableNumber"/>
            </w:pPr>
            <w:r>
              <w:t>1.627 (1/9)</w:t>
            </w:r>
          </w:p>
        </w:tc>
        <w:tc>
          <w:tcPr>
            <w:tcW w:w="1600" w:type="dxa"/>
            <w:vAlign w:val="center"/>
          </w:tcPr>
          <w:p>
            <w:pPr>
              <w:pStyle w:val="TableNumber"/>
            </w:pPr>
            <w:r>
              <w:t>-31.07% (4/9)</w:t>
            </w:r>
          </w:p>
        </w:tc>
        <w:tc>
          <w:tcPr>
            <w:tcW w:w="960" w:type="dxa"/>
            <w:vAlign w:val="center"/>
          </w:tcPr>
          <w:p>
            <w:pPr>
              <w:pStyle w:val="TableNumber"/>
            </w:pPr>
            <w:r>
              <w:t>0.426</w:t>
            </w:r>
          </w:p>
        </w:tc>
      </w:tr>
      <w:tr>
        <w:trPr>
          <w:cantSplit/>
        </w:trPr>
        <w:tc>
          <w:tcPr>
            <w:tcW w:w="650" w:type="dxa"/>
            <w:vAlign w:val="center"/>
          </w:tcPr>
          <w:p>
            <w:pPr>
              <w:pStyle w:val="TableText"/>
            </w:pPr>
            <w:r>
              <w:t>7d</w:t>
            </w:r>
          </w:p>
        </w:tc>
        <w:tc>
          <w:tcPr>
            <w:tcW w:w="1900" w:type="dxa"/>
            <w:vAlign w:val="center"/>
          </w:tcPr>
          <w:p>
            <w:pPr>
              <w:pStyle w:val="TableNumber"/>
            </w:pPr>
            <w:r>
              <w:t>0.0423 (1/9)</w:t>
            </w:r>
          </w:p>
        </w:tc>
        <w:tc>
          <w:tcPr>
            <w:tcW w:w="1100" w:type="dxa"/>
            <w:vAlign w:val="center"/>
          </w:tcPr>
          <w:p>
            <w:pPr>
              <w:pStyle w:val="TableNumber"/>
            </w:pPr>
            <w:r>
              <w:t>0.301</w:t>
            </w:r>
          </w:p>
        </w:tc>
        <w:tc>
          <w:tcPr>
            <w:tcW w:w="1500" w:type="dxa"/>
            <w:vAlign w:val="center"/>
          </w:tcPr>
          <w:p>
            <w:pPr>
              <w:pStyle w:val="TableNumber"/>
            </w:pPr>
            <w:r>
              <w:t>1.03%</w:t>
            </w:r>
          </w:p>
        </w:tc>
        <w:tc>
          <w:tcPr>
            <w:tcW w:w="1650" w:type="dxa"/>
            <w:vAlign w:val="center"/>
          </w:tcPr>
          <w:p>
            <w:pPr>
              <w:pStyle w:val="TableNumber"/>
            </w:pPr>
            <w:r>
              <w:t>1.542 (1/9)</w:t>
            </w:r>
          </w:p>
        </w:tc>
        <w:tc>
          <w:tcPr>
            <w:tcW w:w="1600" w:type="dxa"/>
            <w:vAlign w:val="center"/>
          </w:tcPr>
          <w:p>
            <w:pPr>
              <w:pStyle w:val="TableNumber"/>
            </w:pPr>
            <w:r>
              <w:t>-35.49% (4/9)</w:t>
            </w:r>
          </w:p>
        </w:tc>
        <w:tc>
          <w:tcPr>
            <w:tcW w:w="960" w:type="dxa"/>
            <w:vAlign w:val="center"/>
          </w:tcPr>
          <w:p>
            <w:pPr>
              <w:pStyle w:val="TableNumber"/>
            </w:pPr>
            <w:r>
              <w:t>0.419</w:t>
            </w:r>
          </w:p>
        </w:tc>
      </w:tr>
      <w:tr>
        <w:trPr>
          <w:cantSplit/>
        </w:trPr>
        <w:tc>
          <w:tcPr>
            <w:tcW w:w="650" w:type="dxa"/>
            <w:vAlign w:val="center"/>
          </w:tcPr>
          <w:p>
            <w:pPr>
              <w:pStyle w:val="TableText"/>
            </w:pPr>
            <w:r>
              <w:t>8d</w:t>
            </w:r>
          </w:p>
        </w:tc>
        <w:tc>
          <w:tcPr>
            <w:tcW w:w="1900" w:type="dxa"/>
            <w:vAlign w:val="center"/>
          </w:tcPr>
          <w:p>
            <w:pPr>
              <w:pStyle w:val="TableNumber"/>
            </w:pPr>
            <w:r>
              <w:t>0.0472 (1/9)</w:t>
            </w:r>
          </w:p>
        </w:tc>
        <w:tc>
          <w:tcPr>
            <w:tcW w:w="1100" w:type="dxa"/>
            <w:vAlign w:val="center"/>
          </w:tcPr>
          <w:p>
            <w:pPr>
              <w:pStyle w:val="TableNumber"/>
            </w:pPr>
            <w:r>
              <w:t>0.337</w:t>
            </w:r>
          </w:p>
        </w:tc>
        <w:tc>
          <w:tcPr>
            <w:tcW w:w="1500" w:type="dxa"/>
            <w:vAlign w:val="center"/>
          </w:tcPr>
          <w:p>
            <w:pPr>
              <w:pStyle w:val="TableNumber"/>
            </w:pPr>
            <w:r>
              <w:t>1.23%</w:t>
            </w:r>
          </w:p>
        </w:tc>
        <w:tc>
          <w:tcPr>
            <w:tcW w:w="1650" w:type="dxa"/>
            <w:vAlign w:val="center"/>
          </w:tcPr>
          <w:p>
            <w:pPr>
              <w:pStyle w:val="TableNumber"/>
            </w:pPr>
            <w:r>
              <w:t>1.617 (1/9)</w:t>
            </w:r>
          </w:p>
        </w:tc>
        <w:tc>
          <w:tcPr>
            <w:tcW w:w="1600" w:type="dxa"/>
            <w:vAlign w:val="center"/>
          </w:tcPr>
          <w:p>
            <w:pPr>
              <w:pStyle w:val="TableNumber"/>
            </w:pPr>
            <w:r>
              <w:t>-38.98% (4/9)</w:t>
            </w:r>
          </w:p>
        </w:tc>
        <w:tc>
          <w:tcPr>
            <w:tcW w:w="960" w:type="dxa"/>
            <w:vAlign w:val="center"/>
          </w:tcPr>
          <w:p>
            <w:pPr>
              <w:pStyle w:val="TableNumber"/>
            </w:pPr>
            <w:r>
              <w:t>0.411</w:t>
            </w:r>
          </w:p>
        </w:tc>
      </w:tr>
      <w:tr>
        <w:trPr>
          <w:cantSplit/>
        </w:trPr>
        <w:tc>
          <w:tcPr>
            <w:tcW w:w="650" w:type="dxa"/>
            <w:vAlign w:val="center"/>
          </w:tcPr>
          <w:p>
            <w:pPr>
              <w:pStyle w:val="TableText"/>
            </w:pPr>
            <w:r>
              <w:t>9d</w:t>
            </w:r>
          </w:p>
        </w:tc>
        <w:tc>
          <w:tcPr>
            <w:tcW w:w="1900" w:type="dxa"/>
            <w:vAlign w:val="center"/>
          </w:tcPr>
          <w:p>
            <w:pPr>
              <w:pStyle w:val="TableNumber"/>
            </w:pPr>
            <w:r>
              <w:t>0.0550 (1/9)</w:t>
            </w:r>
          </w:p>
        </w:tc>
        <w:tc>
          <w:tcPr>
            <w:tcW w:w="1100" w:type="dxa"/>
            <w:vAlign w:val="center"/>
          </w:tcPr>
          <w:p>
            <w:pPr>
              <w:pStyle w:val="TableNumber"/>
            </w:pPr>
            <w:r>
              <w:t>0.381</w:t>
            </w:r>
          </w:p>
        </w:tc>
        <w:tc>
          <w:tcPr>
            <w:tcW w:w="1500" w:type="dxa"/>
            <w:vAlign w:val="center"/>
          </w:tcPr>
          <w:p>
            <w:pPr>
              <w:pStyle w:val="TableNumber"/>
            </w:pPr>
            <w:r>
              <w:t>1.44%</w:t>
            </w:r>
          </w:p>
        </w:tc>
        <w:tc>
          <w:tcPr>
            <w:tcW w:w="1650" w:type="dxa"/>
            <w:vAlign w:val="center"/>
          </w:tcPr>
          <w:p>
            <w:pPr>
              <w:pStyle w:val="TableNumber"/>
            </w:pPr>
            <w:r>
              <w:t>1.615 (1/9)</w:t>
            </w:r>
          </w:p>
        </w:tc>
        <w:tc>
          <w:tcPr>
            <w:tcW w:w="1600" w:type="dxa"/>
            <w:vAlign w:val="center"/>
          </w:tcPr>
          <w:p>
            <w:pPr>
              <w:pStyle w:val="TableNumber"/>
            </w:pPr>
            <w:r>
              <w:t>-46.80% (5/9)</w:t>
            </w:r>
          </w:p>
        </w:tc>
        <w:tc>
          <w:tcPr>
            <w:tcW w:w="960" w:type="dxa"/>
            <w:vAlign w:val="center"/>
          </w:tcPr>
          <w:p>
            <w:pPr>
              <w:pStyle w:val="TableNumber"/>
            </w:pPr>
            <w:r>
              <w:t>0.431</w:t>
            </w:r>
          </w:p>
        </w:tc>
      </w:tr>
      <w:tr>
        <w:trPr>
          <w:cantSplit/>
        </w:trPr>
        <w:tc>
          <w:tcPr>
            <w:tcW w:w="650" w:type="dxa"/>
            <w:vAlign w:val="center"/>
          </w:tcPr>
          <w:p>
            <w:pPr>
              <w:pStyle w:val="TableText"/>
            </w:pPr>
            <w:r>
              <w:t>10d</w:t>
            </w:r>
          </w:p>
        </w:tc>
        <w:tc>
          <w:tcPr>
            <w:tcW w:w="1900" w:type="dxa"/>
            <w:vAlign w:val="center"/>
          </w:tcPr>
          <w:p>
            <w:pPr>
              <w:pStyle w:val="TableNumber"/>
            </w:pPr>
            <w:r>
              <w:t>0.0607 (1/9)</w:t>
            </w:r>
          </w:p>
        </w:tc>
        <w:tc>
          <w:tcPr>
            <w:tcW w:w="1100" w:type="dxa"/>
            <w:vAlign w:val="center"/>
          </w:tcPr>
          <w:p>
            <w:pPr>
              <w:pStyle w:val="TableNumber"/>
            </w:pPr>
            <w:r>
              <w:t>0.400</w:t>
            </w:r>
          </w:p>
        </w:tc>
        <w:tc>
          <w:tcPr>
            <w:tcW w:w="1500" w:type="dxa"/>
            <w:vAlign w:val="center"/>
          </w:tcPr>
          <w:p>
            <w:pPr>
              <w:pStyle w:val="TableNumber"/>
            </w:pPr>
            <w:r>
              <w:t>1.63%</w:t>
            </w:r>
          </w:p>
        </w:tc>
        <w:tc>
          <w:tcPr>
            <w:tcW w:w="1650" w:type="dxa"/>
            <w:vAlign w:val="center"/>
          </w:tcPr>
          <w:p>
            <w:pPr>
              <w:pStyle w:val="TableNumber"/>
            </w:pPr>
            <w:r>
              <w:t>1.521 (1/9)</w:t>
            </w:r>
          </w:p>
        </w:tc>
        <w:tc>
          <w:tcPr>
            <w:tcW w:w="1600" w:type="dxa"/>
            <w:vAlign w:val="center"/>
          </w:tcPr>
          <w:p>
            <w:pPr>
              <w:pStyle w:val="TableNumber"/>
            </w:pPr>
            <w:r>
              <w:t>-56.10% (5/9)</w:t>
            </w:r>
          </w:p>
        </w:tc>
        <w:tc>
          <w:tcPr>
            <w:tcW w:w="960" w:type="dxa"/>
            <w:vAlign w:val="center"/>
          </w:tcPr>
          <w:p>
            <w:pPr>
              <w:pStyle w:val="TableNumber"/>
            </w:pPr>
            <w:r>
              <w:t>0.433</w:t>
            </w:r>
          </w:p>
        </w:tc>
      </w:tr>
      <w:tr>
        <w:trPr>
          <w:cantSplit/>
        </w:trPr>
        <w:tc>
          <w:tcPr>
            <w:tcW w:w="650" w:type="dxa"/>
            <w:vAlign w:val="center"/>
          </w:tcPr>
          <w:p>
            <w:pPr>
              <w:pStyle w:val="TableText"/>
            </w:pPr>
            <w:r>
              <w:t>11d</w:t>
            </w:r>
          </w:p>
        </w:tc>
        <w:tc>
          <w:tcPr>
            <w:tcW w:w="1900" w:type="dxa"/>
            <w:vAlign w:val="center"/>
          </w:tcPr>
          <w:p>
            <w:pPr>
              <w:pStyle w:val="TableNumber"/>
            </w:pPr>
            <w:r>
              <w:t>0.0713 (1/9)</w:t>
            </w:r>
          </w:p>
        </w:tc>
        <w:tc>
          <w:tcPr>
            <w:tcW w:w="1100" w:type="dxa"/>
            <w:vAlign w:val="center"/>
          </w:tcPr>
          <w:p>
            <w:pPr>
              <w:pStyle w:val="TableNumber"/>
            </w:pPr>
            <w:r>
              <w:t>0.472</w:t>
            </w:r>
          </w:p>
        </w:tc>
        <w:tc>
          <w:tcPr>
            <w:tcW w:w="1500" w:type="dxa"/>
            <w:vAlign w:val="center"/>
          </w:tcPr>
          <w:p>
            <w:pPr>
              <w:pStyle w:val="TableNumber"/>
            </w:pPr>
            <w:r>
              <w:t>2.00%</w:t>
            </w:r>
          </w:p>
        </w:tc>
        <w:tc>
          <w:tcPr>
            <w:tcW w:w="1650" w:type="dxa"/>
            <w:vAlign w:val="center"/>
          </w:tcPr>
          <w:p>
            <w:pPr>
              <w:pStyle w:val="TableNumber"/>
            </w:pPr>
            <w:r>
              <w:t>1.743 (1/9)</w:t>
            </w:r>
          </w:p>
        </w:tc>
        <w:tc>
          <w:tcPr>
            <w:tcW w:w="1600" w:type="dxa"/>
            <w:vAlign w:val="center"/>
          </w:tcPr>
          <w:p>
            <w:pPr>
              <w:pStyle w:val="TableNumber"/>
            </w:pPr>
            <w:r>
              <w:t>-54.54% (5/9)</w:t>
            </w:r>
          </w:p>
        </w:tc>
        <w:tc>
          <w:tcPr>
            <w:tcW w:w="960" w:type="dxa"/>
            <w:vAlign w:val="center"/>
          </w:tcPr>
          <w:p>
            <w:pPr>
              <w:pStyle w:val="TableNumber"/>
            </w:pPr>
            <w:r>
              <w:t>0.419</w:t>
            </w:r>
          </w:p>
        </w:tc>
      </w:tr>
      <w:tr>
        <w:trPr>
          <w:cantSplit/>
        </w:trPr>
        <w:tc>
          <w:tcPr>
            <w:tcW w:w="650" w:type="dxa"/>
            <w:vAlign w:val="center"/>
          </w:tcPr>
          <w:p>
            <w:pPr>
              <w:pStyle w:val="TableText"/>
            </w:pPr>
            <w:r>
              <w:t>12d</w:t>
            </w:r>
          </w:p>
        </w:tc>
        <w:tc>
          <w:tcPr>
            <w:tcW w:w="1900" w:type="dxa"/>
            <w:vAlign w:val="center"/>
          </w:tcPr>
          <w:p>
            <w:pPr>
              <w:pStyle w:val="TableNumber"/>
            </w:pPr>
            <w:r>
              <w:t>0.0798 (1/9)</w:t>
            </w:r>
          </w:p>
        </w:tc>
        <w:tc>
          <w:tcPr>
            <w:tcW w:w="1100" w:type="dxa"/>
            <w:vAlign w:val="center"/>
          </w:tcPr>
          <w:p>
            <w:pPr>
              <w:pStyle w:val="TableNumber"/>
            </w:pPr>
            <w:r>
              <w:t>0.521</w:t>
            </w:r>
          </w:p>
        </w:tc>
        <w:tc>
          <w:tcPr>
            <w:tcW w:w="1500" w:type="dxa"/>
            <w:vAlign w:val="center"/>
          </w:tcPr>
          <w:p>
            <w:pPr>
              <w:pStyle w:val="TableNumber"/>
            </w:pPr>
            <w:r>
              <w:t>2.31%</w:t>
            </w:r>
          </w:p>
        </w:tc>
        <w:tc>
          <w:tcPr>
            <w:tcW w:w="1650" w:type="dxa"/>
            <w:vAlign w:val="center"/>
          </w:tcPr>
          <w:p>
            <w:pPr>
              <w:pStyle w:val="TableNumber"/>
            </w:pPr>
            <w:r>
              <w:t>1.828 (1/9)</w:t>
            </w:r>
          </w:p>
        </w:tc>
        <w:tc>
          <w:tcPr>
            <w:tcW w:w="1600" w:type="dxa"/>
            <w:vAlign w:val="center"/>
          </w:tcPr>
          <w:p>
            <w:pPr>
              <w:pStyle w:val="TableNumber"/>
            </w:pPr>
            <w:r>
              <w:t>-53.57% (5/9)</w:t>
            </w:r>
          </w:p>
        </w:tc>
        <w:tc>
          <w:tcPr>
            <w:tcW w:w="960" w:type="dxa"/>
            <w:vAlign w:val="center"/>
          </w:tcPr>
          <w:p>
            <w:pPr>
              <w:pStyle w:val="TableNumber"/>
            </w:pPr>
            <w:r>
              <w:t>0.400</w:t>
            </w:r>
          </w:p>
        </w:tc>
      </w:tr>
      <w:tr>
        <w:trPr>
          <w:cantSplit/>
        </w:trPr>
        <w:tc>
          <w:tcPr>
            <w:tcW w:w="650" w:type="dxa"/>
            <w:vAlign w:val="center"/>
          </w:tcPr>
          <w:p>
            <w:pPr>
              <w:pStyle w:val="TableText"/>
            </w:pPr>
            <w:r>
              <w:t>13d</w:t>
            </w:r>
          </w:p>
        </w:tc>
        <w:tc>
          <w:tcPr>
            <w:tcW w:w="1900" w:type="dxa"/>
            <w:vAlign w:val="center"/>
          </w:tcPr>
          <w:p>
            <w:pPr>
              <w:pStyle w:val="TableNumber"/>
            </w:pPr>
            <w:r>
              <w:t>0.0821 (1/9)</w:t>
            </w:r>
          </w:p>
        </w:tc>
        <w:tc>
          <w:tcPr>
            <w:tcW w:w="1100" w:type="dxa"/>
            <w:vAlign w:val="center"/>
          </w:tcPr>
          <w:p>
            <w:pPr>
              <w:pStyle w:val="TableNumber"/>
            </w:pPr>
            <w:r>
              <w:t>0.554</w:t>
            </w:r>
          </w:p>
        </w:tc>
        <w:tc>
          <w:tcPr>
            <w:tcW w:w="1500" w:type="dxa"/>
            <w:vAlign w:val="center"/>
          </w:tcPr>
          <w:p>
            <w:pPr>
              <w:pStyle w:val="TableNumber"/>
            </w:pPr>
            <w:r>
              <w:t>2.45%</w:t>
            </w:r>
          </w:p>
        </w:tc>
        <w:tc>
          <w:tcPr>
            <w:tcW w:w="1650" w:type="dxa"/>
            <w:vAlign w:val="center"/>
          </w:tcPr>
          <w:p>
            <w:pPr>
              <w:pStyle w:val="TableNumber"/>
            </w:pPr>
            <w:r>
              <w:t>1.801 (1/9)</w:t>
            </w:r>
          </w:p>
        </w:tc>
        <w:tc>
          <w:tcPr>
            <w:tcW w:w="1600" w:type="dxa"/>
            <w:vAlign w:val="center"/>
          </w:tcPr>
          <w:p>
            <w:pPr>
              <w:pStyle w:val="TableNumber"/>
            </w:pPr>
            <w:r>
              <w:t>-53.57% (4/9)</w:t>
            </w:r>
          </w:p>
        </w:tc>
        <w:tc>
          <w:tcPr>
            <w:tcW w:w="960" w:type="dxa"/>
            <w:vAlign w:val="center"/>
          </w:tcPr>
          <w:p>
            <w:pPr>
              <w:pStyle w:val="TableNumber"/>
            </w:pPr>
            <w:r>
              <w:t>0.402</w:t>
            </w:r>
          </w:p>
        </w:tc>
      </w:tr>
      <w:tr>
        <w:trPr>
          <w:cantSplit/>
        </w:trPr>
        <w:tc>
          <w:tcPr>
            <w:tcW w:w="650" w:type="dxa"/>
            <w:vAlign w:val="center"/>
          </w:tcPr>
          <w:p>
            <w:pPr>
              <w:pStyle w:val="TableText"/>
            </w:pPr>
            <w:r>
              <w:t>14d</w:t>
            </w:r>
          </w:p>
        </w:tc>
        <w:tc>
          <w:tcPr>
            <w:tcW w:w="1900" w:type="dxa"/>
            <w:vAlign w:val="center"/>
          </w:tcPr>
          <w:p>
            <w:pPr>
              <w:pStyle w:val="TableNumber"/>
            </w:pPr>
            <w:r>
              <w:t>0.0805 (1/9)</w:t>
            </w:r>
          </w:p>
        </w:tc>
        <w:tc>
          <w:tcPr>
            <w:tcW w:w="1100" w:type="dxa"/>
            <w:vAlign w:val="center"/>
          </w:tcPr>
          <w:p>
            <w:pPr>
              <w:pStyle w:val="TableNumber"/>
            </w:pPr>
            <w:r>
              <w:t>0.527</w:t>
            </w:r>
          </w:p>
        </w:tc>
        <w:tc>
          <w:tcPr>
            <w:tcW w:w="1500" w:type="dxa"/>
            <w:vAlign w:val="center"/>
          </w:tcPr>
          <w:p>
            <w:pPr>
              <w:pStyle w:val="TableNumber"/>
            </w:pPr>
            <w:r>
              <w:t>2.57%</w:t>
            </w:r>
          </w:p>
        </w:tc>
        <w:tc>
          <w:tcPr>
            <w:tcW w:w="1650" w:type="dxa"/>
            <w:vAlign w:val="center"/>
          </w:tcPr>
          <w:p>
            <w:pPr>
              <w:pStyle w:val="TableNumber"/>
            </w:pPr>
            <w:r>
              <w:t>1.783 (1/9)</w:t>
            </w:r>
          </w:p>
        </w:tc>
        <w:tc>
          <w:tcPr>
            <w:tcW w:w="1600" w:type="dxa"/>
            <w:vAlign w:val="center"/>
          </w:tcPr>
          <w:p>
            <w:pPr>
              <w:pStyle w:val="TableNumber"/>
            </w:pPr>
            <w:r>
              <w:t>-55.19% (4/9)</w:t>
            </w:r>
          </w:p>
        </w:tc>
        <w:tc>
          <w:tcPr>
            <w:tcW w:w="960" w:type="dxa"/>
            <w:vAlign w:val="center"/>
          </w:tcPr>
          <w:p>
            <w:pPr>
              <w:pStyle w:val="TableNumber"/>
            </w:pPr>
            <w:r>
              <w:t>0.403</w:t>
            </w:r>
          </w:p>
        </w:tc>
      </w:tr>
    </w:tbl>
    <w:p>
      <w:pPr>
        <w:pStyle w:val="a"/>
      </w:pPr>
      <w:r>
        <w:t>RankIC 與成本後 Sharpe 在 14 個 horizon 全為正；在具完整輸出的 9 個模型中，RankIC 與 net Sharpe 均 14／14 排名第一。最大回撤介於 -5.13% 至 -56.10%，最差出現在 10d。排序指標與分布誤差結果偏強，但不代表獲利穩定；資金路徑仍需考慮 overlapping returns 與簡化成本假設。</w:t>
      </w:r>
    </w:p>
    <w:p>
      <w:pPr>
        <w:pStyle w:val="Note"/>
      </w:pPr>
      <w:r>
        <w:t>回測以每單位 turnover 固定扣 10 bps，Sharpe 使用 sqrt(252/h) 年化；沒有校正不同 horizon forward return 的重疊自相關，也未完整模擬市場衝擊、借券、容量、滑價與稅費。因此經濟診斷只作研究比較，不能解讀為實際可取得報酬。</w:t>
      </w:r>
    </w:p>
    <w:p>
      <w:pPr>
        <w:pStyle w:val="11"/>
      </w:pPr>
      <w:r>
        <w:t>7. 一至十四日衍生訊號分布</w:t>
      </w:r>
    </w:p>
    <w:p>
      <w:pPr>
        <w:pStyle w:val="Decision"/>
        <w:keepNext/>
        <w:spacing w:after="80"/>
      </w:pPr>
      <w:r>
        <w:t>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強空／強多（筆）</w:t>
            </w:r>
          </w:p>
        </w:tc>
      </w:tr>
      <w:tr>
        <w:trPr>
          <w:cantSplit/>
        </w:trPr>
        <w:tc>
          <w:tcPr>
            <w:tcW w:w="900" w:type="dxa"/>
            <w:vAlign w:val="center"/>
          </w:tcPr>
          <w:p>
            <w:pPr>
              <w:pStyle w:val="TableText"/>
            </w:pPr>
            <w:r>
              <w:t>1d</w:t>
            </w:r>
          </w:p>
        </w:tc>
        <w:tc>
          <w:tcPr>
            <w:tcW w:w="1800" w:type="dxa"/>
            <w:vAlign w:val="center"/>
          </w:tcPr>
          <w:p>
            <w:pPr>
              <w:pStyle w:val="TableNumber"/>
            </w:pPr>
            <w:r>
              <w:t>92.95%</w:t>
            </w:r>
          </w:p>
        </w:tc>
        <w:tc>
          <w:tcPr>
            <w:tcW w:w="1800" w:type="dxa"/>
            <w:vAlign w:val="center"/>
          </w:tcPr>
          <w:p>
            <w:pPr>
              <w:pStyle w:val="TableNumber"/>
            </w:pPr>
            <w:r>
              <w:t>0.00%</w:t>
            </w:r>
          </w:p>
        </w:tc>
        <w:tc>
          <w:tcPr>
            <w:tcW w:w="1800" w:type="dxa"/>
            <w:vAlign w:val="center"/>
          </w:tcPr>
          <w:p>
            <w:pPr>
              <w:pStyle w:val="TableNumber"/>
            </w:pPr>
            <w:r>
              <w:t>7.03%</w:t>
            </w:r>
          </w:p>
        </w:tc>
        <w:tc>
          <w:tcPr>
            <w:tcW w:w="3060" w:type="dxa"/>
            <w:vAlign w:val="center"/>
          </w:tcPr>
          <w:p>
            <w:pPr>
              <w:pStyle w:val="TableNumber"/>
            </w:pPr>
            <w:r>
              <w:t>5／0</w:t>
            </w:r>
          </w:p>
        </w:tc>
      </w:tr>
      <w:tr>
        <w:trPr>
          <w:cantSplit/>
        </w:trPr>
        <w:tc>
          <w:tcPr>
            <w:tcW w:w="900" w:type="dxa"/>
            <w:vAlign w:val="center"/>
          </w:tcPr>
          <w:p>
            <w:pPr>
              <w:pStyle w:val="TableText"/>
            </w:pPr>
            <w:r>
              <w:t>2d</w:t>
            </w:r>
          </w:p>
        </w:tc>
        <w:tc>
          <w:tcPr>
            <w:tcW w:w="1800" w:type="dxa"/>
            <w:vAlign w:val="center"/>
          </w:tcPr>
          <w:p>
            <w:pPr>
              <w:pStyle w:val="TableNumber"/>
            </w:pPr>
            <w:r>
              <w:t>93.49%</w:t>
            </w:r>
          </w:p>
        </w:tc>
        <w:tc>
          <w:tcPr>
            <w:tcW w:w="1800" w:type="dxa"/>
            <w:vAlign w:val="center"/>
          </w:tcPr>
          <w:p>
            <w:pPr>
              <w:pStyle w:val="TableNumber"/>
            </w:pPr>
            <w:r>
              <w:t>0.00%</w:t>
            </w:r>
          </w:p>
        </w:tc>
        <w:tc>
          <w:tcPr>
            <w:tcW w:w="1800" w:type="dxa"/>
            <w:vAlign w:val="center"/>
          </w:tcPr>
          <w:p>
            <w:pPr>
              <w:pStyle w:val="TableNumber"/>
            </w:pPr>
            <w:r>
              <w:t>5.85%</w:t>
            </w:r>
          </w:p>
        </w:tc>
        <w:tc>
          <w:tcPr>
            <w:tcW w:w="3060" w:type="dxa"/>
            <w:vAlign w:val="center"/>
          </w:tcPr>
          <w:p>
            <w:pPr>
              <w:pStyle w:val="TableNumber"/>
            </w:pPr>
            <w:r>
              <w:t>130／0</w:t>
            </w:r>
          </w:p>
        </w:tc>
      </w:tr>
      <w:tr>
        <w:trPr>
          <w:cantSplit/>
        </w:trPr>
        <w:tc>
          <w:tcPr>
            <w:tcW w:w="900" w:type="dxa"/>
            <w:vAlign w:val="center"/>
          </w:tcPr>
          <w:p>
            <w:pPr>
              <w:pStyle w:val="TableText"/>
            </w:pPr>
            <w:r>
              <w:t>3d</w:t>
            </w:r>
          </w:p>
        </w:tc>
        <w:tc>
          <w:tcPr>
            <w:tcW w:w="1800" w:type="dxa"/>
            <w:vAlign w:val="center"/>
          </w:tcPr>
          <w:p>
            <w:pPr>
              <w:pStyle w:val="TableNumber"/>
            </w:pPr>
            <w:r>
              <w:t>89.09%</w:t>
            </w:r>
          </w:p>
        </w:tc>
        <w:tc>
          <w:tcPr>
            <w:tcW w:w="1800" w:type="dxa"/>
            <w:vAlign w:val="center"/>
          </w:tcPr>
          <w:p>
            <w:pPr>
              <w:pStyle w:val="TableNumber"/>
            </w:pPr>
            <w:r>
              <w:t>0.00%</w:t>
            </w:r>
          </w:p>
        </w:tc>
        <w:tc>
          <w:tcPr>
            <w:tcW w:w="1800" w:type="dxa"/>
            <w:vAlign w:val="center"/>
          </w:tcPr>
          <w:p>
            <w:pPr>
              <w:pStyle w:val="TableNumber"/>
            </w:pPr>
            <w:r>
              <w:t>8.61%</w:t>
            </w:r>
          </w:p>
        </w:tc>
        <w:tc>
          <w:tcPr>
            <w:tcW w:w="3060" w:type="dxa"/>
            <w:vAlign w:val="center"/>
          </w:tcPr>
          <w:p>
            <w:pPr>
              <w:pStyle w:val="TableNumber"/>
            </w:pPr>
            <w:r>
              <w:t>461／0</w:t>
            </w:r>
          </w:p>
        </w:tc>
      </w:tr>
      <w:tr>
        <w:trPr>
          <w:cantSplit/>
        </w:trPr>
        <w:tc>
          <w:tcPr>
            <w:tcW w:w="900" w:type="dxa"/>
            <w:vAlign w:val="center"/>
          </w:tcPr>
          <w:p>
            <w:pPr>
              <w:pStyle w:val="TableText"/>
            </w:pPr>
            <w:r>
              <w:t>4d</w:t>
            </w:r>
          </w:p>
        </w:tc>
        <w:tc>
          <w:tcPr>
            <w:tcW w:w="1800" w:type="dxa"/>
            <w:vAlign w:val="center"/>
          </w:tcPr>
          <w:p>
            <w:pPr>
              <w:pStyle w:val="TableNumber"/>
            </w:pPr>
            <w:r>
              <w:t>87.64%</w:t>
            </w:r>
          </w:p>
        </w:tc>
        <w:tc>
          <w:tcPr>
            <w:tcW w:w="1800" w:type="dxa"/>
            <w:vAlign w:val="center"/>
          </w:tcPr>
          <w:p>
            <w:pPr>
              <w:pStyle w:val="TableNumber"/>
            </w:pPr>
            <w:r>
              <w:t>0.00%</w:t>
            </w:r>
          </w:p>
        </w:tc>
        <w:tc>
          <w:tcPr>
            <w:tcW w:w="1800" w:type="dxa"/>
            <w:vAlign w:val="center"/>
          </w:tcPr>
          <w:p>
            <w:pPr>
              <w:pStyle w:val="TableNumber"/>
            </w:pPr>
            <w:r>
              <w:t>8.31%</w:t>
            </w:r>
          </w:p>
        </w:tc>
        <w:tc>
          <w:tcPr>
            <w:tcW w:w="3060" w:type="dxa"/>
            <w:vAlign w:val="center"/>
          </w:tcPr>
          <w:p>
            <w:pPr>
              <w:pStyle w:val="TableNumber"/>
            </w:pPr>
            <w:r>
              <w:t>806／3</w:t>
            </w:r>
          </w:p>
        </w:tc>
      </w:tr>
      <w:tr>
        <w:trPr>
          <w:cantSplit/>
        </w:trPr>
        <w:tc>
          <w:tcPr>
            <w:tcW w:w="900" w:type="dxa"/>
            <w:vAlign w:val="center"/>
          </w:tcPr>
          <w:p>
            <w:pPr>
              <w:pStyle w:val="TableText"/>
            </w:pPr>
            <w:r>
              <w:t>5d</w:t>
            </w:r>
          </w:p>
        </w:tc>
        <w:tc>
          <w:tcPr>
            <w:tcW w:w="1800" w:type="dxa"/>
            <w:vAlign w:val="center"/>
          </w:tcPr>
          <w:p>
            <w:pPr>
              <w:pStyle w:val="TableNumber"/>
            </w:pPr>
            <w:r>
              <w:t>84.83%</w:t>
            </w:r>
          </w:p>
        </w:tc>
        <w:tc>
          <w:tcPr>
            <w:tcW w:w="1800" w:type="dxa"/>
            <w:vAlign w:val="center"/>
          </w:tcPr>
          <w:p>
            <w:pPr>
              <w:pStyle w:val="TableNumber"/>
            </w:pPr>
            <w:r>
              <w:t>0.00%</w:t>
            </w:r>
          </w:p>
        </w:tc>
        <w:tc>
          <w:tcPr>
            <w:tcW w:w="1800" w:type="dxa"/>
            <w:vAlign w:val="center"/>
          </w:tcPr>
          <w:p>
            <w:pPr>
              <w:pStyle w:val="TableNumber"/>
            </w:pPr>
            <w:r>
              <w:t>11.04%</w:t>
            </w:r>
          </w:p>
        </w:tc>
        <w:tc>
          <w:tcPr>
            <w:tcW w:w="3060" w:type="dxa"/>
            <w:vAlign w:val="center"/>
          </w:tcPr>
          <w:p>
            <w:pPr>
              <w:pStyle w:val="TableNumber"/>
            </w:pPr>
            <w:r>
              <w:t>811／15</w:t>
            </w:r>
          </w:p>
        </w:tc>
      </w:tr>
      <w:tr>
        <w:trPr>
          <w:cantSplit/>
        </w:trPr>
        <w:tc>
          <w:tcPr>
            <w:tcW w:w="900" w:type="dxa"/>
            <w:vAlign w:val="center"/>
          </w:tcPr>
          <w:p>
            <w:pPr>
              <w:pStyle w:val="TableText"/>
            </w:pPr>
            <w:r>
              <w:t>6d</w:t>
            </w:r>
          </w:p>
        </w:tc>
        <w:tc>
          <w:tcPr>
            <w:tcW w:w="1800" w:type="dxa"/>
            <w:vAlign w:val="center"/>
          </w:tcPr>
          <w:p>
            <w:pPr>
              <w:pStyle w:val="TableNumber"/>
            </w:pPr>
            <w:r>
              <w:t>84.64%</w:t>
            </w:r>
          </w:p>
        </w:tc>
        <w:tc>
          <w:tcPr>
            <w:tcW w:w="1800" w:type="dxa"/>
            <w:vAlign w:val="center"/>
          </w:tcPr>
          <w:p>
            <w:pPr>
              <w:pStyle w:val="TableNumber"/>
            </w:pPr>
            <w:r>
              <w:t>0.00%</w:t>
            </w:r>
          </w:p>
        </w:tc>
        <w:tc>
          <w:tcPr>
            <w:tcW w:w="1800" w:type="dxa"/>
            <w:vAlign w:val="center"/>
          </w:tcPr>
          <w:p>
            <w:pPr>
              <w:pStyle w:val="TableNumber"/>
            </w:pPr>
            <w:r>
              <w:t>11.36%</w:t>
            </w:r>
          </w:p>
        </w:tc>
        <w:tc>
          <w:tcPr>
            <w:tcW w:w="3060" w:type="dxa"/>
            <w:vAlign w:val="center"/>
          </w:tcPr>
          <w:p>
            <w:pPr>
              <w:pStyle w:val="TableNumber"/>
            </w:pPr>
            <w:r>
              <w:t>784／18</w:t>
            </w:r>
          </w:p>
        </w:tc>
      </w:tr>
      <w:tr>
        <w:trPr>
          <w:cantSplit/>
        </w:trPr>
        <w:tc>
          <w:tcPr>
            <w:tcW w:w="900" w:type="dxa"/>
            <w:vAlign w:val="center"/>
          </w:tcPr>
          <w:p>
            <w:pPr>
              <w:pStyle w:val="TableText"/>
            </w:pPr>
            <w:r>
              <w:t>7d</w:t>
            </w:r>
          </w:p>
        </w:tc>
        <w:tc>
          <w:tcPr>
            <w:tcW w:w="1800" w:type="dxa"/>
            <w:vAlign w:val="center"/>
          </w:tcPr>
          <w:p>
            <w:pPr>
              <w:pStyle w:val="TableNumber"/>
            </w:pPr>
            <w:r>
              <w:t>83.31%</w:t>
            </w:r>
          </w:p>
        </w:tc>
        <w:tc>
          <w:tcPr>
            <w:tcW w:w="1800" w:type="dxa"/>
            <w:vAlign w:val="center"/>
          </w:tcPr>
          <w:p>
            <w:pPr>
              <w:pStyle w:val="TableNumber"/>
            </w:pPr>
            <w:r>
              <w:t>0.00%</w:t>
            </w:r>
          </w:p>
        </w:tc>
        <w:tc>
          <w:tcPr>
            <w:tcW w:w="1800" w:type="dxa"/>
            <w:vAlign w:val="center"/>
          </w:tcPr>
          <w:p>
            <w:pPr>
              <w:pStyle w:val="TableNumber"/>
            </w:pPr>
            <w:r>
              <w:t>13.17%</w:t>
            </w:r>
          </w:p>
        </w:tc>
        <w:tc>
          <w:tcPr>
            <w:tcW w:w="3060" w:type="dxa"/>
            <w:vAlign w:val="center"/>
          </w:tcPr>
          <w:p>
            <w:pPr>
              <w:pStyle w:val="TableNumber"/>
            </w:pPr>
            <w:r>
              <w:t>643／61</w:t>
            </w:r>
          </w:p>
        </w:tc>
      </w:tr>
      <w:tr>
        <w:trPr>
          <w:cantSplit/>
        </w:trPr>
        <w:tc>
          <w:tcPr>
            <w:tcW w:w="900" w:type="dxa"/>
            <w:vAlign w:val="center"/>
          </w:tcPr>
          <w:p>
            <w:pPr>
              <w:pStyle w:val="TableText"/>
            </w:pPr>
            <w:r>
              <w:t>8d</w:t>
            </w:r>
          </w:p>
        </w:tc>
        <w:tc>
          <w:tcPr>
            <w:tcW w:w="1800" w:type="dxa"/>
            <w:vAlign w:val="center"/>
          </w:tcPr>
          <w:p>
            <w:pPr>
              <w:pStyle w:val="TableNumber"/>
            </w:pPr>
            <w:r>
              <w:t>83.30%</w:t>
            </w:r>
          </w:p>
        </w:tc>
        <w:tc>
          <w:tcPr>
            <w:tcW w:w="1800" w:type="dxa"/>
            <w:vAlign w:val="center"/>
          </w:tcPr>
          <w:p>
            <w:pPr>
              <w:pStyle w:val="TableNumber"/>
            </w:pPr>
            <w:r>
              <w:t>0.00%</w:t>
            </w:r>
          </w:p>
        </w:tc>
        <w:tc>
          <w:tcPr>
            <w:tcW w:w="1800" w:type="dxa"/>
            <w:vAlign w:val="center"/>
          </w:tcPr>
          <w:p>
            <w:pPr>
              <w:pStyle w:val="TableNumber"/>
            </w:pPr>
            <w:r>
              <w:t>13.31%</w:t>
            </w:r>
          </w:p>
        </w:tc>
        <w:tc>
          <w:tcPr>
            <w:tcW w:w="3060" w:type="dxa"/>
            <w:vAlign w:val="center"/>
          </w:tcPr>
          <w:p>
            <w:pPr>
              <w:pStyle w:val="TableNumber"/>
            </w:pPr>
            <w:r>
              <w:t>629／47</w:t>
            </w:r>
          </w:p>
        </w:tc>
      </w:tr>
      <w:tr>
        <w:trPr>
          <w:cantSplit/>
        </w:trPr>
        <w:tc>
          <w:tcPr>
            <w:tcW w:w="900" w:type="dxa"/>
            <w:vAlign w:val="center"/>
          </w:tcPr>
          <w:p>
            <w:pPr>
              <w:pStyle w:val="TableText"/>
            </w:pPr>
            <w:r>
              <w:t>9d</w:t>
            </w:r>
          </w:p>
        </w:tc>
        <w:tc>
          <w:tcPr>
            <w:tcW w:w="1800" w:type="dxa"/>
            <w:vAlign w:val="center"/>
          </w:tcPr>
          <w:p>
            <w:pPr>
              <w:pStyle w:val="TableNumber"/>
            </w:pPr>
            <w:r>
              <w:t>81.69%</w:t>
            </w:r>
          </w:p>
        </w:tc>
        <w:tc>
          <w:tcPr>
            <w:tcW w:w="1800" w:type="dxa"/>
            <w:vAlign w:val="center"/>
          </w:tcPr>
          <w:p>
            <w:pPr>
              <w:pStyle w:val="TableNumber"/>
            </w:pPr>
            <w:r>
              <w:t>0.00%</w:t>
            </w:r>
          </w:p>
        </w:tc>
        <w:tc>
          <w:tcPr>
            <w:tcW w:w="1800" w:type="dxa"/>
            <w:vAlign w:val="center"/>
          </w:tcPr>
          <w:p>
            <w:pPr>
              <w:pStyle w:val="TableNumber"/>
            </w:pPr>
            <w:r>
              <w:t>15.15%</w:t>
            </w:r>
          </w:p>
        </w:tc>
        <w:tc>
          <w:tcPr>
            <w:tcW w:w="3060" w:type="dxa"/>
            <w:vAlign w:val="center"/>
          </w:tcPr>
          <w:p>
            <w:pPr>
              <w:pStyle w:val="TableNumber"/>
            </w:pPr>
            <w:r>
              <w:t>589／43</w:t>
            </w:r>
          </w:p>
        </w:tc>
      </w:tr>
      <w:tr>
        <w:trPr>
          <w:cantSplit/>
        </w:trPr>
        <w:tc>
          <w:tcPr>
            <w:tcW w:w="900" w:type="dxa"/>
            <w:vAlign w:val="center"/>
          </w:tcPr>
          <w:p>
            <w:pPr>
              <w:pStyle w:val="TableText"/>
            </w:pPr>
            <w:r>
              <w:t>10d</w:t>
            </w:r>
          </w:p>
        </w:tc>
        <w:tc>
          <w:tcPr>
            <w:tcW w:w="1800" w:type="dxa"/>
            <w:vAlign w:val="center"/>
          </w:tcPr>
          <w:p>
            <w:pPr>
              <w:pStyle w:val="TableNumber"/>
            </w:pPr>
            <w:r>
              <w:t>81.86%</w:t>
            </w:r>
          </w:p>
        </w:tc>
        <w:tc>
          <w:tcPr>
            <w:tcW w:w="1800" w:type="dxa"/>
            <w:vAlign w:val="center"/>
          </w:tcPr>
          <w:p>
            <w:pPr>
              <w:pStyle w:val="TableNumber"/>
            </w:pPr>
            <w:r>
              <w:t>0.00%</w:t>
            </w:r>
          </w:p>
        </w:tc>
        <w:tc>
          <w:tcPr>
            <w:tcW w:w="1800" w:type="dxa"/>
            <w:vAlign w:val="center"/>
          </w:tcPr>
          <w:p>
            <w:pPr>
              <w:pStyle w:val="TableNumber"/>
            </w:pPr>
            <w:r>
              <w:t>15.47%</w:t>
            </w:r>
          </w:p>
        </w:tc>
        <w:tc>
          <w:tcPr>
            <w:tcW w:w="3060" w:type="dxa"/>
            <w:vAlign w:val="center"/>
          </w:tcPr>
          <w:p>
            <w:pPr>
              <w:pStyle w:val="TableNumber"/>
            </w:pPr>
            <w:r>
              <w:t>498／34</w:t>
            </w:r>
          </w:p>
        </w:tc>
      </w:tr>
      <w:tr>
        <w:trPr>
          <w:cantSplit/>
        </w:trPr>
        <w:tc>
          <w:tcPr>
            <w:tcW w:w="900" w:type="dxa"/>
            <w:vAlign w:val="center"/>
          </w:tcPr>
          <w:p>
            <w:pPr>
              <w:pStyle w:val="TableText"/>
            </w:pPr>
            <w:r>
              <w:t>11d</w:t>
            </w:r>
          </w:p>
        </w:tc>
        <w:tc>
          <w:tcPr>
            <w:tcW w:w="1800" w:type="dxa"/>
            <w:vAlign w:val="center"/>
          </w:tcPr>
          <w:p>
            <w:pPr>
              <w:pStyle w:val="TableNumber"/>
            </w:pPr>
            <w:r>
              <w:t>80.18%</w:t>
            </w:r>
          </w:p>
        </w:tc>
        <w:tc>
          <w:tcPr>
            <w:tcW w:w="1800" w:type="dxa"/>
            <w:vAlign w:val="center"/>
          </w:tcPr>
          <w:p>
            <w:pPr>
              <w:pStyle w:val="TableNumber"/>
            </w:pPr>
            <w:r>
              <w:t>0.00%</w:t>
            </w:r>
          </w:p>
        </w:tc>
        <w:tc>
          <w:tcPr>
            <w:tcW w:w="1800" w:type="dxa"/>
            <w:vAlign w:val="center"/>
          </w:tcPr>
          <w:p>
            <w:pPr>
              <w:pStyle w:val="TableNumber"/>
            </w:pPr>
            <w:r>
              <w:t>18.04%</w:t>
            </w:r>
          </w:p>
        </w:tc>
        <w:tc>
          <w:tcPr>
            <w:tcW w:w="3060" w:type="dxa"/>
            <w:vAlign w:val="center"/>
          </w:tcPr>
          <w:p>
            <w:pPr>
              <w:pStyle w:val="TableNumber"/>
            </w:pPr>
            <w:r>
              <w:t>279／78</w:t>
            </w:r>
          </w:p>
        </w:tc>
      </w:tr>
      <w:tr>
        <w:trPr>
          <w:cantSplit/>
        </w:trPr>
        <w:tc>
          <w:tcPr>
            <w:tcW w:w="900" w:type="dxa"/>
            <w:vAlign w:val="center"/>
          </w:tcPr>
          <w:p>
            <w:pPr>
              <w:pStyle w:val="TableText"/>
            </w:pPr>
            <w:r>
              <w:t>12d</w:t>
            </w:r>
          </w:p>
        </w:tc>
        <w:tc>
          <w:tcPr>
            <w:tcW w:w="1800" w:type="dxa"/>
            <w:vAlign w:val="center"/>
          </w:tcPr>
          <w:p>
            <w:pPr>
              <w:pStyle w:val="TableNumber"/>
            </w:pPr>
            <w:r>
              <w:t>79.37%</w:t>
            </w:r>
          </w:p>
        </w:tc>
        <w:tc>
          <w:tcPr>
            <w:tcW w:w="1800" w:type="dxa"/>
            <w:vAlign w:val="center"/>
          </w:tcPr>
          <w:p>
            <w:pPr>
              <w:pStyle w:val="TableNumber"/>
            </w:pPr>
            <w:r>
              <w:t>0.00%</w:t>
            </w:r>
          </w:p>
        </w:tc>
        <w:tc>
          <w:tcPr>
            <w:tcW w:w="1800" w:type="dxa"/>
            <w:vAlign w:val="center"/>
          </w:tcPr>
          <w:p>
            <w:pPr>
              <w:pStyle w:val="TableNumber"/>
            </w:pPr>
            <w:r>
              <w:t>18.48%</w:t>
            </w:r>
          </w:p>
        </w:tc>
        <w:tc>
          <w:tcPr>
            <w:tcW w:w="3060" w:type="dxa"/>
            <w:vAlign w:val="center"/>
          </w:tcPr>
          <w:p>
            <w:pPr>
              <w:pStyle w:val="TableNumber"/>
            </w:pPr>
            <w:r>
              <w:t>196／235</w:t>
            </w:r>
          </w:p>
        </w:tc>
      </w:tr>
      <w:tr>
        <w:trPr>
          <w:cantSplit/>
        </w:trPr>
        <w:tc>
          <w:tcPr>
            <w:tcW w:w="900" w:type="dxa"/>
            <w:vAlign w:val="center"/>
          </w:tcPr>
          <w:p>
            <w:pPr>
              <w:pStyle w:val="TableText"/>
            </w:pPr>
            <w:r>
              <w:t>13d</w:t>
            </w:r>
          </w:p>
        </w:tc>
        <w:tc>
          <w:tcPr>
            <w:tcW w:w="1800" w:type="dxa"/>
            <w:vAlign w:val="center"/>
          </w:tcPr>
          <w:p>
            <w:pPr>
              <w:pStyle w:val="TableNumber"/>
            </w:pPr>
            <w:r>
              <w:t>78.23%</w:t>
            </w:r>
          </w:p>
        </w:tc>
        <w:tc>
          <w:tcPr>
            <w:tcW w:w="1800" w:type="dxa"/>
            <w:vAlign w:val="center"/>
          </w:tcPr>
          <w:p>
            <w:pPr>
              <w:pStyle w:val="TableNumber"/>
            </w:pPr>
            <w:r>
              <w:t>0.00%</w:t>
            </w:r>
          </w:p>
        </w:tc>
        <w:tc>
          <w:tcPr>
            <w:tcW w:w="1800" w:type="dxa"/>
            <w:vAlign w:val="center"/>
          </w:tcPr>
          <w:p>
            <w:pPr>
              <w:pStyle w:val="TableNumber"/>
            </w:pPr>
            <w:r>
              <w:t>19.75%</w:t>
            </w:r>
          </w:p>
        </w:tc>
        <w:tc>
          <w:tcPr>
            <w:tcW w:w="3060" w:type="dxa"/>
            <w:vAlign w:val="center"/>
          </w:tcPr>
          <w:p>
            <w:pPr>
              <w:pStyle w:val="TableNumber"/>
            </w:pPr>
            <w:r>
              <w:t>159／243</w:t>
            </w:r>
          </w:p>
        </w:tc>
      </w:tr>
      <w:tr>
        <w:trPr>
          <w:cantSplit/>
        </w:trPr>
        <w:tc>
          <w:tcPr>
            <w:tcW w:w="900" w:type="dxa"/>
            <w:vAlign w:val="center"/>
          </w:tcPr>
          <w:p>
            <w:pPr>
              <w:pStyle w:val="TableText"/>
            </w:pPr>
            <w:r>
              <w:t>14d</w:t>
            </w:r>
          </w:p>
        </w:tc>
        <w:tc>
          <w:tcPr>
            <w:tcW w:w="1800" w:type="dxa"/>
            <w:vAlign w:val="center"/>
          </w:tcPr>
          <w:p>
            <w:pPr>
              <w:pStyle w:val="TableNumber"/>
            </w:pPr>
            <w:r>
              <w:t>78.30%</w:t>
            </w:r>
          </w:p>
        </w:tc>
        <w:tc>
          <w:tcPr>
            <w:tcW w:w="1800" w:type="dxa"/>
            <w:vAlign w:val="center"/>
          </w:tcPr>
          <w:p>
            <w:pPr>
              <w:pStyle w:val="TableNumber"/>
            </w:pPr>
            <w:r>
              <w:t>0.00%</w:t>
            </w:r>
          </w:p>
        </w:tc>
        <w:tc>
          <w:tcPr>
            <w:tcW w:w="1800" w:type="dxa"/>
            <w:vAlign w:val="center"/>
          </w:tcPr>
          <w:p>
            <w:pPr>
              <w:pStyle w:val="TableNumber"/>
            </w:pPr>
            <w:r>
              <w:t>19.73%</w:t>
            </w:r>
          </w:p>
        </w:tc>
        <w:tc>
          <w:tcPr>
            <w:tcW w:w="3060" w:type="dxa"/>
            <w:vAlign w:val="center"/>
          </w:tcPr>
          <w:p>
            <w:pPr>
              <w:pStyle w:val="TableNumber"/>
            </w:pPr>
            <w:r>
              <w:t>101／293</w:t>
            </w:r>
          </w:p>
        </w:tc>
      </w:tr>
    </w:tbl>
    <w:p>
      <w:pPr>
        <w:pStyle w:val="a"/>
      </w:pPr>
      <w:r>
        <w:t>所有 horizon 均沒有 neutral 標籤；bearish 類別由 1 日 92.95% 變至 14 日 78.30%，整體明顯偏空。strong_bearish／strong_bullish 合計數分別為 6,091／1,070。這些互斥規則標籤描述 q10、q50、q90 相對 0 的位置，不是上漲或下跌機率；不能直接當成交易部位建議。</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EODHD / US</w:t>
            </w:r>
          </w:p>
        </w:tc>
        <w:tc>
          <w:tcPr>
            <w:tcW w:w="1100" w:type="dxa"/>
            <w:vAlign w:val="center"/>
          </w:tcPr>
          <w:p>
            <w:pPr>
              <w:pStyle w:val="TableNumber"/>
            </w:pPr>
            <w:r>
              <w:t>15,648</w:t>
            </w:r>
          </w:p>
        </w:tc>
        <w:tc>
          <w:tcPr>
            <w:tcW w:w="1300" w:type="dxa"/>
            <w:vAlign w:val="center"/>
          </w:tcPr>
          <w:p>
            <w:pPr>
              <w:pStyle w:val="TableNumber"/>
            </w:pPr>
            <w:r>
              <w:t>0.312015</w:t>
            </w:r>
          </w:p>
        </w:tc>
        <w:tc>
          <w:tcPr>
            <w:tcW w:w="1400" w:type="dxa"/>
            <w:vAlign w:val="center"/>
          </w:tcPr>
          <w:p>
            <w:pPr>
              <w:pStyle w:val="TableNumber"/>
            </w:pPr>
            <w:r>
              <w:t>0.1375</w:t>
            </w:r>
          </w:p>
        </w:tc>
        <w:tc>
          <w:tcPr>
            <w:tcW w:w="1800" w:type="dxa"/>
            <w:vAlign w:val="center"/>
          </w:tcPr>
          <w:p>
            <w:pPr>
              <w:pStyle w:val="TableNumber"/>
            </w:pPr>
            <w:r>
              <w:t>0.0347 至 0.1970</w:t>
            </w:r>
          </w:p>
        </w:tc>
        <w:tc>
          <w:tcPr>
            <w:tcW w:w="1250" w:type="dxa"/>
            <w:vAlign w:val="center"/>
          </w:tcPr>
          <w:p>
            <w:pPr>
              <w:pStyle w:val="TableNumber"/>
            </w:pPr>
            <w:r>
              <w:t>54.56%</w:t>
            </w:r>
          </w:p>
        </w:tc>
        <w:tc>
          <w:tcPr>
            <w:tcW w:w="1010" w:type="dxa"/>
            <w:vAlign w:val="center"/>
          </w:tcPr>
          <w:p>
            <w:pPr>
              <w:pStyle w:val="TableNumber"/>
            </w:pPr>
            <w:r>
              <w:t>73.84%</w:t>
            </w:r>
          </w:p>
        </w:tc>
      </w:tr>
      <w:tr>
        <w:trPr>
          <w:cantSplit/>
        </w:trPr>
        <w:tc>
          <w:tcPr>
            <w:tcW w:w="1500" w:type="dxa"/>
            <w:vAlign w:val="center"/>
          </w:tcPr>
          <w:p>
            <w:pPr>
              <w:pStyle w:val="TableText"/>
            </w:pPr>
            <w:r>
              <w:t>TPEx</w:t>
            </w:r>
          </w:p>
        </w:tc>
        <w:tc>
          <w:tcPr>
            <w:tcW w:w="1100" w:type="dxa"/>
            <w:vAlign w:val="center"/>
          </w:tcPr>
          <w:p>
            <w:pPr>
              <w:pStyle w:val="TableNumber"/>
            </w:pPr>
            <w:r>
              <w:t>1,726</w:t>
            </w:r>
          </w:p>
        </w:tc>
        <w:tc>
          <w:tcPr>
            <w:tcW w:w="1300" w:type="dxa"/>
            <w:vAlign w:val="center"/>
          </w:tcPr>
          <w:p>
            <w:pPr>
              <w:pStyle w:val="TableNumber"/>
            </w:pPr>
            <w:r>
              <w:t>0.313079</w:t>
            </w:r>
          </w:p>
        </w:tc>
        <w:tc>
          <w:tcPr>
            <w:tcW w:w="1400" w:type="dxa"/>
            <w:vAlign w:val="center"/>
          </w:tcPr>
          <w:p>
            <w:pPr>
              <w:pStyle w:val="TableNumber"/>
            </w:pPr>
            <w:r>
              <w:t>-0.0664</w:t>
            </w:r>
          </w:p>
        </w:tc>
        <w:tc>
          <w:tcPr>
            <w:tcW w:w="1800" w:type="dxa"/>
            <w:vAlign w:val="center"/>
          </w:tcPr>
          <w:p>
            <w:pPr>
              <w:pStyle w:val="TableNumber"/>
            </w:pPr>
            <w:r>
              <w:t>-0.1551 至 0.0165</w:t>
            </w:r>
          </w:p>
        </w:tc>
        <w:tc>
          <w:tcPr>
            <w:tcW w:w="1250" w:type="dxa"/>
            <w:vAlign w:val="center"/>
          </w:tcPr>
          <w:p>
            <w:pPr>
              <w:pStyle w:val="TableNumber"/>
            </w:pPr>
            <w:r>
              <w:t>65.45%</w:t>
            </w:r>
          </w:p>
        </w:tc>
        <w:tc>
          <w:tcPr>
            <w:tcW w:w="1010" w:type="dxa"/>
            <w:vAlign w:val="center"/>
          </w:tcPr>
          <w:p>
            <w:pPr>
              <w:pStyle w:val="TableNumber"/>
            </w:pPr>
            <w:r>
              <w:t>60.47%</w:t>
            </w:r>
          </w:p>
        </w:tc>
      </w:tr>
      <w:tr>
        <w:trPr>
          <w:cantSplit/>
        </w:trPr>
        <w:tc>
          <w:tcPr>
            <w:tcW w:w="1500" w:type="dxa"/>
            <w:vAlign w:val="center"/>
          </w:tcPr>
          <w:p>
            <w:pPr>
              <w:pStyle w:val="TableText"/>
            </w:pPr>
            <w:r>
              <w:t>TWSE</w:t>
            </w:r>
          </w:p>
        </w:tc>
        <w:tc>
          <w:tcPr>
            <w:tcW w:w="1100" w:type="dxa"/>
            <w:vAlign w:val="center"/>
          </w:tcPr>
          <w:p>
            <w:pPr>
              <w:pStyle w:val="TableNumber"/>
            </w:pPr>
            <w:r>
              <w:t>2,626</w:t>
            </w:r>
          </w:p>
        </w:tc>
        <w:tc>
          <w:tcPr>
            <w:tcW w:w="1300" w:type="dxa"/>
            <w:vAlign w:val="center"/>
          </w:tcPr>
          <w:p>
            <w:pPr>
              <w:pStyle w:val="TableNumber"/>
            </w:pPr>
            <w:r>
              <w:t>0.322937</w:t>
            </w:r>
          </w:p>
        </w:tc>
        <w:tc>
          <w:tcPr>
            <w:tcW w:w="1400" w:type="dxa"/>
            <w:vAlign w:val="center"/>
          </w:tcPr>
          <w:p>
            <w:pPr>
              <w:pStyle w:val="TableNumber"/>
            </w:pPr>
            <w:r>
              <w:t>-0.0194</w:t>
            </w:r>
          </w:p>
        </w:tc>
        <w:tc>
          <w:tcPr>
            <w:tcW w:w="1800" w:type="dxa"/>
            <w:vAlign w:val="center"/>
          </w:tcPr>
          <w:p>
            <w:pPr>
              <w:pStyle w:val="TableNumber"/>
            </w:pPr>
            <w:r>
              <w:t>-0.0451 至 0.0372</w:t>
            </w:r>
          </w:p>
        </w:tc>
        <w:tc>
          <w:tcPr>
            <w:tcW w:w="1250" w:type="dxa"/>
            <w:vAlign w:val="center"/>
          </w:tcPr>
          <w:p>
            <w:pPr>
              <w:pStyle w:val="TableNumber"/>
            </w:pPr>
            <w:r>
              <w:t>66.18%</w:t>
            </w:r>
          </w:p>
        </w:tc>
        <w:tc>
          <w:tcPr>
            <w:tcW w:w="1010" w:type="dxa"/>
            <w:vAlign w:val="center"/>
          </w:tcPr>
          <w:p>
            <w:pPr>
              <w:pStyle w:val="TableNumber"/>
            </w:pPr>
            <w:r>
              <w:t>64.80%</w:t>
            </w:r>
          </w:p>
        </w:tc>
      </w:tr>
    </w:tbl>
    <w:p>
      <w:pPr>
        <w:pStyle w:val="a"/>
      </w:pPr>
      <w:r>
        <w:t>Provider 切片的樣本數、交易所、期間與標的組成都不同。TPEx 與 TWSE 的平均 q50 correlation 為負，但方向一致率高於美股切片；correlation 衡量連續數值是否同向變動，direction agreement 只比較正負號，兩者可能呈現不同結果。這些分組只作穩定性警示，不可據此外推市場表現。</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2025</w:t>
            </w:r>
          </w:p>
        </w:tc>
        <w:tc>
          <w:tcPr>
            <w:tcW w:w="1200" w:type="dxa"/>
            <w:vAlign w:val="center"/>
          </w:tcPr>
          <w:p>
            <w:pPr>
              <w:pStyle w:val="TableNumber"/>
            </w:pPr>
            <w:r>
              <w:t>4,068</w:t>
            </w:r>
          </w:p>
        </w:tc>
        <w:tc>
          <w:tcPr>
            <w:tcW w:w="1400" w:type="dxa"/>
            <w:vAlign w:val="center"/>
          </w:tcPr>
          <w:p>
            <w:pPr>
              <w:pStyle w:val="TableNumber"/>
            </w:pPr>
            <w:r>
              <w:t>0.275344</w:t>
            </w:r>
          </w:p>
        </w:tc>
        <w:tc>
          <w:tcPr>
            <w:tcW w:w="1400" w:type="dxa"/>
            <w:vAlign w:val="center"/>
          </w:tcPr>
          <w:p>
            <w:pPr>
              <w:pStyle w:val="TableNumber"/>
            </w:pPr>
            <w:r>
              <w:t>0.0774</w:t>
            </w:r>
          </w:p>
        </w:tc>
        <w:tc>
          <w:tcPr>
            <w:tcW w:w="1800" w:type="dxa"/>
            <w:vAlign w:val="center"/>
          </w:tcPr>
          <w:p>
            <w:pPr>
              <w:pStyle w:val="TableNumber"/>
            </w:pPr>
            <w:r>
              <w:t>0.0277 至 0.1032</w:t>
            </w:r>
          </w:p>
        </w:tc>
        <w:tc>
          <w:tcPr>
            <w:tcW w:w="1200" w:type="dxa"/>
            <w:vAlign w:val="center"/>
          </w:tcPr>
          <w:p>
            <w:pPr>
              <w:pStyle w:val="TableNumber"/>
            </w:pPr>
            <w:r>
              <w:t>53.89%</w:t>
            </w:r>
          </w:p>
        </w:tc>
        <w:tc>
          <w:tcPr>
            <w:tcW w:w="1060" w:type="dxa"/>
            <w:vAlign w:val="center"/>
          </w:tcPr>
          <w:p>
            <w:pPr>
              <w:pStyle w:val="TableNumber"/>
            </w:pPr>
            <w:r>
              <w:t>75.94%</w:t>
            </w:r>
          </w:p>
        </w:tc>
      </w:tr>
      <w:tr>
        <w:trPr>
          <w:cantSplit/>
        </w:trPr>
        <w:tc>
          <w:tcPr>
            <w:tcW w:w="1300" w:type="dxa"/>
            <w:vAlign w:val="center"/>
          </w:tcPr>
          <w:p>
            <w:pPr>
              <w:pStyle w:val="TableText"/>
            </w:pPr>
            <w:r>
              <w:t>2026</w:t>
            </w:r>
          </w:p>
        </w:tc>
        <w:tc>
          <w:tcPr>
            <w:tcW w:w="1200" w:type="dxa"/>
            <w:vAlign w:val="center"/>
          </w:tcPr>
          <w:p>
            <w:pPr>
              <w:pStyle w:val="TableNumber"/>
            </w:pPr>
            <w:r>
              <w:t>15,932</w:t>
            </w:r>
          </w:p>
        </w:tc>
        <w:tc>
          <w:tcPr>
            <w:tcW w:w="1400" w:type="dxa"/>
            <w:vAlign w:val="center"/>
          </w:tcPr>
          <w:p>
            <w:pPr>
              <w:pStyle w:val="TableNumber"/>
            </w:pPr>
            <w:r>
              <w:t>0.323294</w:t>
            </w:r>
          </w:p>
        </w:tc>
        <w:tc>
          <w:tcPr>
            <w:tcW w:w="1400" w:type="dxa"/>
            <w:vAlign w:val="center"/>
          </w:tcPr>
          <w:p>
            <w:pPr>
              <w:pStyle w:val="TableNumber"/>
            </w:pPr>
            <w:r>
              <w:t>0.1160</w:t>
            </w:r>
          </w:p>
        </w:tc>
        <w:tc>
          <w:tcPr>
            <w:tcW w:w="1800" w:type="dxa"/>
            <w:vAlign w:val="center"/>
          </w:tcPr>
          <w:p>
            <w:pPr>
              <w:pStyle w:val="TableNumber"/>
            </w:pPr>
            <w:r>
              <w:t>0.0523 至 0.1659</w:t>
            </w:r>
          </w:p>
        </w:tc>
        <w:tc>
          <w:tcPr>
            <w:tcW w:w="1200" w:type="dxa"/>
            <w:vAlign w:val="center"/>
          </w:tcPr>
          <w:p>
            <w:pPr>
              <w:pStyle w:val="TableNumber"/>
            </w:pPr>
            <w:r>
              <w:t>57.82%</w:t>
            </w:r>
          </w:p>
        </w:tc>
        <w:tc>
          <w:tcPr>
            <w:tcW w:w="1060" w:type="dxa"/>
            <w:vAlign w:val="center"/>
          </w:tcPr>
          <w:p>
            <w:pPr>
              <w:pStyle w:val="TableNumber"/>
            </w:pPr>
            <w:r>
              <w:t>70.37%</w:t>
            </w:r>
          </w:p>
        </w:tc>
      </w:tr>
    </w:tbl>
    <w:p>
      <w:pPr>
        <w:pStyle w:val="Lead"/>
      </w:pPr>
      <w:r>
        <w:t>年度切片為 2025、2026；樣本數分別為 4,068 與 15,932。2026 佔比明顯較高，年度 score 與 coverage 只能作診斷；目前資料不足以單獨證明時間外推能力。</w:t>
      </w:r>
    </w:p>
    <w:p>
      <w:pPr>
        <w:pStyle w:val="11"/>
      </w:pPr>
      <w:r>
        <w:t>9. 風險與下一階段</w:t>
      </w:r>
    </w:p>
    <w:p>
      <w:pPr>
        <w:pStyle w:val="Decision"/>
        <w:keepNext/>
        <w:spacing w:after="80"/>
      </w:pPr>
      <w:r>
        <w:t>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Test 僅為一次性 holdout</w:t>
            </w:r>
          </w:p>
        </w:tc>
        <w:tc>
          <w:tcPr>
            <w:tcW w:w="2900" w:type="dxa"/>
            <w:vAlign w:val="center"/>
          </w:tcPr>
          <w:p>
            <w:pPr>
              <w:pStyle w:val="TableText"/>
            </w:pPr>
            <w:r>
              <w:t>test_unlocked=true；20,000 筆 test benchmark；checkpoint 僅由 validation 選出</w:t>
            </w:r>
          </w:p>
        </w:tc>
        <w:tc>
          <w:tcPr>
            <w:tcW w:w="3960" w:type="dxa"/>
            <w:vAlign w:val="center"/>
          </w:tcPr>
          <w:p>
            <w:pPr>
              <w:pStyle w:val="TableText"/>
            </w:pPr>
            <w:r>
              <w:t>保留 holdout 隔離；下一輪比較預先固定相同 membership 與 protocol</w:t>
            </w:r>
          </w:p>
        </w:tc>
      </w:tr>
      <w:tr>
        <w:trPr>
          <w:cantSplit/>
        </w:trPr>
        <w:tc>
          <w:tcPr>
            <w:tcW w:w="2500" w:type="dxa"/>
            <w:vAlign w:val="center"/>
          </w:tcPr>
          <w:p>
            <w:pPr>
              <w:pStyle w:val="TableText"/>
            </w:pPr>
            <w:r>
              <w:t>單一 seed</w:t>
            </w:r>
          </w:p>
        </w:tc>
        <w:tc>
          <w:tcPr>
            <w:tcW w:w="2900" w:type="dxa"/>
            <w:vAlign w:val="center"/>
          </w:tcPr>
          <w:p>
            <w:pPr>
              <w:pStyle w:val="TableText"/>
            </w:pPr>
            <w:r>
              <w:t>seed=42</w:t>
            </w:r>
          </w:p>
        </w:tc>
        <w:tc>
          <w:tcPr>
            <w:tcW w:w="3960" w:type="dxa"/>
            <w:vAlign w:val="center"/>
          </w:tcPr>
          <w:p>
            <w:pPr>
              <w:pStyle w:val="TableText"/>
            </w:pPr>
            <w:r>
              <w:t>使用多 seed 報告中位數、離散度及最差結果</w:t>
            </w:r>
          </w:p>
        </w:tc>
      </w:tr>
      <w:tr>
        <w:trPr>
          <w:cantSplit/>
        </w:trPr>
        <w:tc>
          <w:tcPr>
            <w:tcW w:w="2500" w:type="dxa"/>
            <w:vAlign w:val="center"/>
          </w:tcPr>
          <w:p>
            <w:pPr>
              <w:pStyle w:val="TableText"/>
            </w:pPr>
            <w:r>
              <w:t>區間低覆蓋</w:t>
            </w:r>
          </w:p>
        </w:tc>
        <w:tc>
          <w:tcPr>
            <w:tcW w:w="2900" w:type="dxa"/>
            <w:vAlign w:val="center"/>
          </w:tcPr>
          <w:p>
            <w:pPr>
              <w:pStyle w:val="TableText"/>
            </w:pPr>
            <w:r>
              <w:t>14／14 horizon 低於名目 80%；最低 69.58%</w:t>
            </w:r>
          </w:p>
        </w:tc>
        <w:tc>
          <w:tcPr>
            <w:tcW w:w="3960" w:type="dxa"/>
            <w:vAlign w:val="center"/>
          </w:tcPr>
          <w:p>
            <w:pPr>
              <w:pStyle w:val="TableText"/>
            </w:pPr>
            <w:r>
              <w:t>只用 validation 擬合分 horizon 校準，凍結後再評估</w:t>
            </w:r>
          </w:p>
        </w:tc>
      </w:tr>
      <w:tr>
        <w:trPr>
          <w:cantSplit/>
        </w:trPr>
        <w:tc>
          <w:tcPr>
            <w:tcW w:w="2500" w:type="dxa"/>
            <w:vAlign w:val="center"/>
          </w:tcPr>
          <w:p>
            <w:pPr>
              <w:pStyle w:val="TableText"/>
            </w:pPr>
            <w:r>
              <w:t>q50 關聯偏弱</w:t>
            </w:r>
          </w:p>
        </w:tc>
        <w:tc>
          <w:tcPr>
            <w:tcW w:w="2900" w:type="dxa"/>
            <w:vAlign w:val="center"/>
          </w:tcPr>
          <w:p>
            <w:pPr>
              <w:pStyle w:val="TableText"/>
            </w:pPr>
            <w:r>
              <w:t>Pearson corr. 0.0499 至 0.1588</w:t>
            </w:r>
          </w:p>
        </w:tc>
        <w:tc>
          <w:tcPr>
            <w:tcW w:w="3960" w:type="dxa"/>
            <w:vAlign w:val="center"/>
          </w:tcPr>
          <w:p>
            <w:pPr>
              <w:pStyle w:val="TableText"/>
            </w:pPr>
            <w:r>
              <w:t>檢查不同期間／provider 的排序穩定度及信號增益</w:t>
            </w:r>
          </w:p>
        </w:tc>
      </w:tr>
      <w:tr>
        <w:trPr>
          <w:cantSplit/>
        </w:trPr>
        <w:tc>
          <w:tcPr>
            <w:tcW w:w="2500" w:type="dxa"/>
            <w:vAlign w:val="center"/>
          </w:tcPr>
          <w:p>
            <w:pPr>
              <w:pStyle w:val="TableText"/>
            </w:pPr>
            <w:r>
              <w:t>訊號偏空</w:t>
            </w:r>
          </w:p>
        </w:tc>
        <w:tc>
          <w:tcPr>
            <w:tcW w:w="2900" w:type="dxa"/>
            <w:vAlign w:val="center"/>
          </w:tcPr>
          <w:p>
            <w:pPr>
              <w:pStyle w:val="TableText"/>
            </w:pPr>
            <w:r>
              <w:t>各日沒有 neutral；bearish 比例 78.23% 至 93.49%</w:t>
            </w:r>
          </w:p>
        </w:tc>
        <w:tc>
          <w:tcPr>
            <w:tcW w:w="3960" w:type="dxa"/>
            <w:vAlign w:val="center"/>
          </w:tcPr>
          <w:p>
            <w:pPr>
              <w:pStyle w:val="TableText"/>
            </w:pPr>
            <w:r>
              <w:t>逐 horizon 驗證 threshold 與部位映射，避免將標籤當作機率</w:t>
            </w:r>
          </w:p>
        </w:tc>
      </w:tr>
      <w:tr>
        <w:trPr>
          <w:cantSplit/>
        </w:trPr>
        <w:tc>
          <w:tcPr>
            <w:tcW w:w="2500" w:type="dxa"/>
            <w:vAlign w:val="center"/>
          </w:tcPr>
          <w:p>
            <w:pPr>
              <w:pStyle w:val="TableText"/>
            </w:pPr>
            <w:r>
              <w:t>長 horizon 回撤</w:t>
            </w:r>
          </w:p>
        </w:tc>
        <w:tc>
          <w:tcPr>
            <w:tcW w:w="2900" w:type="dxa"/>
            <w:vAlign w:val="center"/>
          </w:tcPr>
          <w:p>
            <w:pPr>
              <w:pStyle w:val="TableText"/>
            </w:pPr>
            <w:r>
              <w:t>最大回撤最低 -56.10%；最差為 10d</w:t>
            </w:r>
          </w:p>
        </w:tc>
        <w:tc>
          <w:tcPr>
            <w:tcW w:w="3960" w:type="dxa"/>
            <w:vAlign w:val="center"/>
          </w:tcPr>
          <w:p>
            <w:pPr>
              <w:pStyle w:val="TableText"/>
            </w:pPr>
            <w:r>
              <w:t>納入持有期曝險上限、回撤門檻、成本與再平衡方案</w:t>
            </w:r>
          </w:p>
        </w:tc>
      </w:tr>
      <w:tr>
        <w:trPr>
          <w:cantSplit/>
        </w:trPr>
        <w:tc>
          <w:tcPr>
            <w:tcW w:w="2500" w:type="dxa"/>
            <w:vAlign w:val="center"/>
          </w:tcPr>
          <w:p>
            <w:pPr>
              <w:pStyle w:val="TableText"/>
            </w:pPr>
            <w:r>
              <w:t>Provider 異質性</w:t>
            </w:r>
          </w:p>
        </w:tc>
        <w:tc>
          <w:tcPr>
            <w:tcW w:w="2900" w:type="dxa"/>
            <w:vAlign w:val="center"/>
          </w:tcPr>
          <w:p>
            <w:pPr>
              <w:pStyle w:val="TableText"/>
            </w:pPr>
            <w:r>
              <w:t>TPEx／TWSE 的平均 q50 correlation 與方向命中呈現不同訊號</w:t>
            </w:r>
          </w:p>
        </w:tc>
        <w:tc>
          <w:tcPr>
            <w:tcW w:w="3960" w:type="dxa"/>
            <w:vAlign w:val="center"/>
          </w:tcPr>
          <w:p>
            <w:pPr>
              <w:pStyle w:val="TableText"/>
            </w:pPr>
            <w:r>
              <w:t>擴增分層樣本與日期，逐 provider 校準並檢查資料品質</w:t>
            </w:r>
          </w:p>
        </w:tc>
      </w:tr>
      <w:tr>
        <w:trPr>
          <w:cantSplit/>
        </w:trPr>
        <w:tc>
          <w:tcPr>
            <w:tcW w:w="2500" w:type="dxa"/>
            <w:vAlign w:val="center"/>
          </w:tcPr>
          <w:p>
            <w:pPr>
              <w:pStyle w:val="TableText"/>
            </w:pPr>
            <w:r>
              <w:t>年度切片不均</w:t>
            </w:r>
          </w:p>
        </w:tc>
        <w:tc>
          <w:tcPr>
            <w:tcW w:w="2900" w:type="dxa"/>
            <w:vAlign w:val="center"/>
          </w:tcPr>
          <w:p>
            <w:pPr>
              <w:pStyle w:val="TableText"/>
            </w:pPr>
            <w:r>
              <w:t>2025=4,068；2026=15,932</w:t>
            </w:r>
          </w:p>
        </w:tc>
        <w:tc>
          <w:tcPr>
            <w:tcW w:w="3960" w:type="dxa"/>
            <w:vAlign w:val="center"/>
          </w:tcPr>
          <w:p>
            <w:pPr>
              <w:pStyle w:val="TableText"/>
            </w:pPr>
            <w:r>
              <w:t>增加 rolling、regime 及更多完整年度的獨立測試</w:t>
            </w:r>
          </w:p>
        </w:tc>
      </w:tr>
      <w:tr>
        <w:trPr>
          <w:cantSplit/>
        </w:trPr>
        <w:tc>
          <w:tcPr>
            <w:tcW w:w="2500" w:type="dxa"/>
            <w:vAlign w:val="center"/>
          </w:tcPr>
          <w:p>
            <w:pPr>
              <w:pStyle w:val="TableText"/>
            </w:pPr>
            <w:r>
              <w:t>簡化交易回測</w:t>
            </w:r>
          </w:p>
        </w:tc>
        <w:tc>
          <w:tcPr>
            <w:tcW w:w="2900" w:type="dxa"/>
            <w:vAlign w:val="center"/>
          </w:tcPr>
          <w:p>
            <w:pPr>
              <w:pStyle w:val="TableText"/>
            </w:pPr>
            <w:r>
              <w:t>固定 10 bps × turnover；不同 horizon 報酬重疊；Sharpe 未作自相關修正</w:t>
            </w:r>
          </w:p>
        </w:tc>
        <w:tc>
          <w:tcPr>
            <w:tcW w:w="3960" w:type="dxa"/>
            <w:vAlign w:val="center"/>
          </w:tcPr>
          <w:p>
            <w:pPr>
              <w:pStyle w:val="TableText"/>
            </w:pPr>
            <w:r>
              <w:t>納入滑價、借券、容量、稅費、市場衝擊及重疊報酬穩健估計</w:t>
            </w:r>
          </w:p>
        </w:tc>
      </w:tr>
    </w:tbl>
    <w:p>
      <w:pPr>
        <w:pStyle w:val="Lead"/>
      </w:pPr>
      <w:r>
        <w:t>最終判斷：本輪最佳 checkpoint 的 test 全 horizon score 為 0.313541，13 個模型排名第 1；逐 horizon normalized pinball、RankIC 與成本後 Sharpe 均在 9 個可比較模型中 14／14 排名第一。另一方面，q50 correlation 偏弱、coverage 全數低於 80%、訊號分布偏空，且 10d 最大回撤約 -56.10%；單一 seed 與簡化回測成本也限制結論。報告支持將其保留為候選模型，不支持直接部署或實盤績效宣稱。</w:t>
      </w:r>
    </w:p>
    <w:p>
      <w:pPr>
        <w:pStyle w:val="11"/>
        <w:pageBreakBefore/>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Coverage</w:t>
            </w:r>
          </w:p>
        </w:tc>
        <w:tc>
          <w:tcPr>
            <w:tcW w:w="1330" w:type="dxa"/>
            <w:shd w:val="clear" w:fill="DCE6F1"/>
            <w:vAlign w:val="center"/>
          </w:tcPr>
          <w:p>
            <w:pPr>
              <w:pStyle w:val="TableHeader"/>
            </w:pPr>
            <w:r>
              <w:t>q50 corr.</w:t>
            </w:r>
          </w:p>
        </w:tc>
        <w:tc>
          <w:tcPr>
            <w:tcW w:w="1350" w:type="dxa"/>
            <w:shd w:val="clear" w:fill="DCE6F1"/>
            <w:vAlign w:val="center"/>
          </w:tcPr>
          <w:p>
            <w:pPr>
              <w:pStyle w:val="TableHeader"/>
            </w:pPr>
            <w:r>
              <w:t>RankIC</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0.313541</w:t>
            </w:r>
          </w:p>
        </w:tc>
        <w:tc>
          <w:tcPr>
            <w:tcW w:w="1330" w:type="dxa"/>
            <w:shd w:val="clear" w:fill="EDF5FC"/>
            <w:vAlign w:val="center"/>
          </w:tcPr>
          <w:p>
            <w:pPr>
              <w:pStyle w:val="TableNumber"/>
            </w:pPr>
            <w:r>
              <w:t>71.02%</w:t>
            </w:r>
          </w:p>
        </w:tc>
        <w:tc>
          <w:tcPr>
            <w:tcW w:w="1330" w:type="dxa"/>
            <w:shd w:val="clear" w:fill="EDF5FC"/>
            <w:vAlign w:val="center"/>
          </w:tcPr>
          <w:p>
            <w:pPr>
              <w:pStyle w:val="TableNumber"/>
            </w:pPr>
            <w:r>
              <w:t>0.0980</w:t>
            </w:r>
          </w:p>
        </w:tc>
        <w:tc>
          <w:tcPr>
            <w:tcW w:w="1350" w:type="dxa"/>
            <w:shd w:val="clear" w:fill="EDF5FC"/>
            <w:vAlign w:val="center"/>
          </w:tcPr>
          <w:p>
            <w:pPr>
              <w:pStyle w:val="TableNumber"/>
            </w:pPr>
            <w:r>
              <w:t>0.0431</w:t>
            </w:r>
          </w:p>
        </w:tc>
      </w:tr>
      <w:tr>
        <w:trPr>
          <w:cantSplit/>
        </w:trPr>
        <w:tc>
          <w:tcPr>
            <w:tcW w:w="650" w:type="dxa"/>
            <w:vAlign w:val="center"/>
          </w:tcPr>
          <w:p>
            <w:pPr>
              <w:pStyle w:val="TableNumber"/>
            </w:pPr>
            <w:r>
              <w:t>2</w:t>
            </w:r>
          </w:p>
        </w:tc>
        <w:tc>
          <w:tcPr>
            <w:tcW w:w="2800" w:type="dxa"/>
            <w:vAlign w:val="center"/>
          </w:tcPr>
          <w:p>
            <w:pPr>
              <w:pStyle w:val="TableText"/>
            </w:pPr>
            <w:r>
              <w:t>Quantile GBDT</w:t>
            </w:r>
          </w:p>
        </w:tc>
        <w:tc>
          <w:tcPr>
            <w:tcW w:w="1900" w:type="dxa"/>
            <w:vAlign w:val="center"/>
          </w:tcPr>
          <w:p>
            <w:pPr>
              <w:pStyle w:val="TableNumber"/>
            </w:pPr>
            <w:r>
              <w:t>0.317588</w:t>
            </w:r>
          </w:p>
        </w:tc>
        <w:tc>
          <w:tcPr>
            <w:tcW w:w="1330" w:type="dxa"/>
            <w:vAlign w:val="center"/>
          </w:tcPr>
          <w:p>
            <w:pPr>
              <w:pStyle w:val="TableNumber"/>
            </w:pPr>
            <w:r>
              <w:t>73.98%</w:t>
            </w:r>
          </w:p>
        </w:tc>
        <w:tc>
          <w:tcPr>
            <w:tcW w:w="1330" w:type="dxa"/>
            <w:vAlign w:val="center"/>
          </w:tcPr>
          <w:p>
            <w:pPr>
              <w:pStyle w:val="TableNumber"/>
            </w:pPr>
            <w:r>
              <w:t>0.0240</w:t>
            </w:r>
          </w:p>
        </w:tc>
        <w:tc>
          <w:tcPr>
            <w:tcW w:w="1350" w:type="dxa"/>
            <w:vAlign w:val="center"/>
          </w:tcPr>
          <w:p>
            <w:pPr>
              <w:pStyle w:val="TableNumber"/>
            </w:pPr>
            <w:r>
              <w:t>-0.0138</w:t>
            </w:r>
          </w:p>
        </w:tc>
      </w:tr>
      <w:tr>
        <w:trPr>
          <w:cantSplit/>
        </w:trPr>
        <w:tc>
          <w:tcPr>
            <w:tcW w:w="650" w:type="dxa"/>
            <w:vAlign w:val="center"/>
          </w:tcPr>
          <w:p>
            <w:pPr>
              <w:pStyle w:val="TableNumber"/>
            </w:pPr>
            <w:r>
              <w:t>3</w:t>
            </w:r>
          </w:p>
        </w:tc>
        <w:tc>
          <w:tcPr>
            <w:tcW w:w="2800" w:type="dxa"/>
            <w:vAlign w:val="center"/>
          </w:tcPr>
          <w:p>
            <w:pPr>
              <w:pStyle w:val="TableText"/>
            </w:pPr>
            <w:r>
              <w:t>成對 GRU</w:t>
            </w:r>
          </w:p>
        </w:tc>
        <w:tc>
          <w:tcPr>
            <w:tcW w:w="1900" w:type="dxa"/>
            <w:vAlign w:val="center"/>
          </w:tcPr>
          <w:p>
            <w:pPr>
              <w:pStyle w:val="TableNumber"/>
            </w:pPr>
            <w:r>
              <w:t>0.320950</w:t>
            </w:r>
          </w:p>
        </w:tc>
        <w:tc>
          <w:tcPr>
            <w:tcW w:w="1330" w:type="dxa"/>
            <w:vAlign w:val="center"/>
          </w:tcPr>
          <w:p>
            <w:pPr>
              <w:pStyle w:val="TableNumber"/>
            </w:pPr>
            <w:r>
              <w:t>74.28%</w:t>
            </w:r>
          </w:p>
        </w:tc>
        <w:tc>
          <w:tcPr>
            <w:tcW w:w="1330" w:type="dxa"/>
            <w:vAlign w:val="center"/>
          </w:tcPr>
          <w:p>
            <w:pPr>
              <w:pStyle w:val="TableNumber"/>
            </w:pPr>
            <w:r>
              <w:t>0.0060</w:t>
            </w:r>
          </w:p>
        </w:tc>
        <w:tc>
          <w:tcPr>
            <w:tcW w:w="1350" w:type="dxa"/>
            <w:vAlign w:val="center"/>
          </w:tcPr>
          <w:p>
            <w:pPr>
              <w:pStyle w:val="TableNumber"/>
            </w:pPr>
            <w:r>
              <w:t>0.0064</w:t>
            </w:r>
          </w:p>
        </w:tc>
      </w:tr>
      <w:tr>
        <w:trPr>
          <w:cantSplit/>
        </w:trPr>
        <w:tc>
          <w:tcPr>
            <w:tcW w:w="650" w:type="dxa"/>
            <w:vAlign w:val="center"/>
          </w:tcPr>
          <w:p>
            <w:pPr>
              <w:pStyle w:val="TableNumber"/>
            </w:pPr>
            <w:r>
              <w:t>4</w:t>
            </w:r>
          </w:p>
        </w:tc>
        <w:tc>
          <w:tcPr>
            <w:tcW w:w="2800" w:type="dxa"/>
            <w:vAlign w:val="center"/>
          </w:tcPr>
          <w:p>
            <w:pPr>
              <w:pStyle w:val="TableText"/>
            </w:pPr>
            <w:r>
              <w:t>Compact PatchTST</w:t>
            </w:r>
          </w:p>
        </w:tc>
        <w:tc>
          <w:tcPr>
            <w:tcW w:w="1900" w:type="dxa"/>
            <w:vAlign w:val="center"/>
          </w:tcPr>
          <w:p>
            <w:pPr>
              <w:pStyle w:val="TableNumber"/>
            </w:pPr>
            <w:r>
              <w:t>0.328600</w:t>
            </w:r>
          </w:p>
        </w:tc>
        <w:tc>
          <w:tcPr>
            <w:tcW w:w="1330" w:type="dxa"/>
            <w:vAlign w:val="center"/>
          </w:tcPr>
          <w:p>
            <w:pPr>
              <w:pStyle w:val="TableNumber"/>
            </w:pPr>
            <w:r>
              <w:t>73.67%</w:t>
            </w:r>
          </w:p>
        </w:tc>
        <w:tc>
          <w:tcPr>
            <w:tcW w:w="1330" w:type="dxa"/>
            <w:vAlign w:val="center"/>
          </w:tcPr>
          <w:p>
            <w:pPr>
              <w:pStyle w:val="TableNumber"/>
            </w:pPr>
            <w:r>
              <w:t>0.0075</w:t>
            </w:r>
          </w:p>
        </w:tc>
        <w:tc>
          <w:tcPr>
            <w:tcW w:w="1350" w:type="dxa"/>
            <w:vAlign w:val="center"/>
          </w:tcPr>
          <w:p>
            <w:pPr>
              <w:pStyle w:val="TableNumber"/>
            </w:pPr>
            <w:r>
              <w:t>-0.0275</w:t>
            </w:r>
          </w:p>
        </w:tc>
      </w:tr>
      <w:tr>
        <w:trPr>
          <w:cantSplit/>
        </w:trPr>
        <w:tc>
          <w:tcPr>
            <w:tcW w:w="650" w:type="dxa"/>
            <w:vAlign w:val="center"/>
          </w:tcPr>
          <w:p>
            <w:pPr>
              <w:pStyle w:val="TableNumber"/>
            </w:pPr>
            <w:r>
              <w:t>5</w:t>
            </w:r>
          </w:p>
        </w:tc>
        <w:tc>
          <w:tcPr>
            <w:tcW w:w="2800" w:type="dxa"/>
            <w:vAlign w:val="center"/>
          </w:tcPr>
          <w:p>
            <w:pPr>
              <w:pStyle w:val="TableText"/>
            </w:pPr>
            <w:r>
              <w:t>固定偏多分布</w:t>
            </w:r>
          </w:p>
        </w:tc>
        <w:tc>
          <w:tcPr>
            <w:tcW w:w="1900" w:type="dxa"/>
            <w:vAlign w:val="center"/>
          </w:tcPr>
          <w:p>
            <w:pPr>
              <w:pStyle w:val="TableNumber"/>
            </w:pPr>
            <w:r>
              <w:t>0.332559</w:t>
            </w:r>
          </w:p>
        </w:tc>
        <w:tc>
          <w:tcPr>
            <w:tcW w:w="1330" w:type="dxa"/>
            <w:vAlign w:val="center"/>
          </w:tcPr>
          <w:p>
            <w:pPr>
              <w:pStyle w:val="TableNumber"/>
            </w:pPr>
            <w:r>
              <w:t>82.17%</w:t>
            </w:r>
          </w:p>
        </w:tc>
        <w:tc>
          <w:tcPr>
            <w:tcW w:w="1330" w:type="dxa"/>
            <w:vAlign w:val="center"/>
          </w:tcPr>
          <w:p>
            <w:pPr>
              <w:pStyle w:val="TableNumber"/>
            </w:pPr>
            <w:r>
              <w:t>0.0000</w:t>
            </w:r>
          </w:p>
        </w:tc>
        <w:tc>
          <w:tcPr>
            <w:tcW w:w="1350" w:type="dxa"/>
            <w:vAlign w:val="center"/>
          </w:tcPr>
          <w:p>
            <w:pPr>
              <w:pStyle w:val="TableNumber"/>
            </w:pPr>
            <w:r>
              <w:t>0.0000</w:t>
            </w:r>
          </w:p>
        </w:tc>
      </w:tr>
      <w:tr>
        <w:trPr>
          <w:cantSplit/>
        </w:trPr>
        <w:tc>
          <w:tcPr>
            <w:tcW w:w="650" w:type="dxa"/>
            <w:vAlign w:val="center"/>
          </w:tcPr>
          <w:p>
            <w:pPr>
              <w:pStyle w:val="TableNumber"/>
            </w:pPr>
            <w:r>
              <w:t>6</w:t>
            </w:r>
          </w:p>
        </w:tc>
        <w:tc>
          <w:tcPr>
            <w:tcW w:w="2800" w:type="dxa"/>
            <w:vAlign w:val="center"/>
          </w:tcPr>
          <w:p>
            <w:pPr>
              <w:pStyle w:val="TableText"/>
            </w:pPr>
            <w:r>
              <w:t>零報酬分布</w:t>
            </w:r>
          </w:p>
        </w:tc>
        <w:tc>
          <w:tcPr>
            <w:tcW w:w="1900" w:type="dxa"/>
            <w:vAlign w:val="center"/>
          </w:tcPr>
          <w:p>
            <w:pPr>
              <w:pStyle w:val="TableNumber"/>
            </w:pPr>
            <w:r>
              <w:t>0.332559</w:t>
            </w:r>
          </w:p>
        </w:tc>
        <w:tc>
          <w:tcPr>
            <w:tcW w:w="1330" w:type="dxa"/>
            <w:vAlign w:val="center"/>
          </w:tcPr>
          <w:p>
            <w:pPr>
              <w:pStyle w:val="TableNumber"/>
            </w:pPr>
            <w:r>
              <w:t>82.17%</w:t>
            </w:r>
          </w:p>
        </w:tc>
        <w:tc>
          <w:tcPr>
            <w:tcW w:w="1330" w:type="dxa"/>
            <w:vAlign w:val="center"/>
          </w:tcPr>
          <w:p>
            <w:pPr>
              <w:pStyle w:val="TableNumber"/>
            </w:pPr>
            <w:r>
              <w:t>-0.0000</w:t>
            </w:r>
          </w:p>
        </w:tc>
        <w:tc>
          <w:tcPr>
            <w:tcW w:w="1350" w:type="dxa"/>
            <w:vAlign w:val="center"/>
          </w:tcPr>
          <w:p>
            <w:pPr>
              <w:pStyle w:val="TableNumber"/>
            </w:pPr>
            <w:r>
              <w:t>0.0000</w:t>
            </w:r>
          </w:p>
        </w:tc>
      </w:tr>
      <w:tr>
        <w:trPr>
          <w:cantSplit/>
        </w:trPr>
        <w:tc>
          <w:tcPr>
            <w:tcW w:w="650" w:type="dxa"/>
            <w:vAlign w:val="center"/>
          </w:tcPr>
          <w:p>
            <w:pPr>
              <w:pStyle w:val="TableNumber"/>
            </w:pPr>
            <w:r>
              <w:t>7</w:t>
            </w:r>
          </w:p>
        </w:tc>
        <w:tc>
          <w:tcPr>
            <w:tcW w:w="2800" w:type="dxa"/>
            <w:vAlign w:val="center"/>
          </w:tcPr>
          <w:p>
            <w:pPr>
              <w:pStyle w:val="TableText"/>
            </w:pPr>
            <w:r>
              <w:t>MACD 規則</w:t>
            </w:r>
          </w:p>
        </w:tc>
        <w:tc>
          <w:tcPr>
            <w:tcW w:w="1900" w:type="dxa"/>
            <w:vAlign w:val="center"/>
          </w:tcPr>
          <w:p>
            <w:pPr>
              <w:pStyle w:val="TableNumber"/>
            </w:pPr>
            <w:r>
              <w:t>0.335059</w:t>
            </w:r>
          </w:p>
        </w:tc>
        <w:tc>
          <w:tcPr>
            <w:tcW w:w="1330" w:type="dxa"/>
            <w:vAlign w:val="center"/>
          </w:tcPr>
          <w:p>
            <w:pPr>
              <w:pStyle w:val="TableNumber"/>
            </w:pPr>
            <w:r>
              <w:t>82.30%</w:t>
            </w:r>
          </w:p>
        </w:tc>
        <w:tc>
          <w:tcPr>
            <w:tcW w:w="1330" w:type="dxa"/>
            <w:vAlign w:val="center"/>
          </w:tcPr>
          <w:p>
            <w:pPr>
              <w:pStyle w:val="TableNumber"/>
            </w:pPr>
            <w:r>
              <w:t>-0.0731</w:t>
            </w:r>
          </w:p>
        </w:tc>
        <w:tc>
          <w:tcPr>
            <w:tcW w:w="1350" w:type="dxa"/>
            <w:vAlign w:val="center"/>
          </w:tcPr>
          <w:p>
            <w:pPr>
              <w:pStyle w:val="TableNumber"/>
            </w:pPr>
            <w:r>
              <w:t>-0.0008</w:t>
            </w:r>
          </w:p>
        </w:tc>
      </w:tr>
      <w:tr>
        <w:trPr>
          <w:cantSplit/>
        </w:trPr>
        <w:tc>
          <w:tcPr>
            <w:tcW w:w="650" w:type="dxa"/>
            <w:vAlign w:val="center"/>
          </w:tcPr>
          <w:p>
            <w:pPr>
              <w:pStyle w:val="TableNumber"/>
            </w:pPr>
            <w:r>
              <w:t>8</w:t>
            </w:r>
          </w:p>
        </w:tc>
        <w:tc>
          <w:tcPr>
            <w:tcW w:w="2800" w:type="dxa"/>
            <w:vAlign w:val="center"/>
          </w:tcPr>
          <w:p>
            <w:pPr>
              <w:pStyle w:val="TableText"/>
            </w:pPr>
            <w:r>
              <w:t>均線交叉</w:t>
            </w:r>
          </w:p>
        </w:tc>
        <w:tc>
          <w:tcPr>
            <w:tcW w:w="1900" w:type="dxa"/>
            <w:vAlign w:val="center"/>
          </w:tcPr>
          <w:p>
            <w:pPr>
              <w:pStyle w:val="TableNumber"/>
            </w:pPr>
            <w:r>
              <w:t>0.363112</w:t>
            </w:r>
          </w:p>
        </w:tc>
        <w:tc>
          <w:tcPr>
            <w:tcW w:w="1330" w:type="dxa"/>
            <w:vAlign w:val="center"/>
          </w:tcPr>
          <w:p>
            <w:pPr>
              <w:pStyle w:val="TableNumber"/>
            </w:pPr>
            <w:r>
              <w:t>83.65%</w:t>
            </w:r>
          </w:p>
        </w:tc>
        <w:tc>
          <w:tcPr>
            <w:tcW w:w="1330" w:type="dxa"/>
            <w:vAlign w:val="center"/>
          </w:tcPr>
          <w:p>
            <w:pPr>
              <w:pStyle w:val="TableNumber"/>
            </w:pPr>
            <w:r>
              <w:t>0.0174</w:t>
            </w:r>
          </w:p>
        </w:tc>
        <w:tc>
          <w:tcPr>
            <w:tcW w:w="1350" w:type="dxa"/>
            <w:vAlign w:val="center"/>
          </w:tcPr>
          <w:p>
            <w:pPr>
              <w:pStyle w:val="TableNumber"/>
            </w:pPr>
            <w:r>
              <w:t>0.0327</w:t>
            </w:r>
          </w:p>
        </w:tc>
      </w:tr>
      <w:tr>
        <w:trPr>
          <w:cantSplit/>
        </w:trPr>
        <w:tc>
          <w:tcPr>
            <w:tcW w:w="650" w:type="dxa"/>
            <w:vAlign w:val="center"/>
          </w:tcPr>
          <w:p>
            <w:pPr>
              <w:pStyle w:val="TableNumber"/>
            </w:pPr>
            <w:r>
              <w:t>9</w:t>
            </w:r>
          </w:p>
        </w:tc>
        <w:tc>
          <w:tcPr>
            <w:tcW w:w="2800" w:type="dxa"/>
            <w:vAlign w:val="center"/>
          </w:tcPr>
          <w:p>
            <w:pPr>
              <w:pStyle w:val="TableText"/>
            </w:pPr>
            <w:r>
              <w:t>DLinear</w:t>
            </w:r>
          </w:p>
        </w:tc>
        <w:tc>
          <w:tcPr>
            <w:tcW w:w="1900" w:type="dxa"/>
            <w:vAlign w:val="center"/>
          </w:tcPr>
          <w:p>
            <w:pPr>
              <w:pStyle w:val="TableNumber"/>
            </w:pPr>
            <w:r>
              <w:t>0.368906</w:t>
            </w:r>
          </w:p>
        </w:tc>
        <w:tc>
          <w:tcPr>
            <w:tcW w:w="1330" w:type="dxa"/>
            <w:vAlign w:val="center"/>
          </w:tcPr>
          <w:p>
            <w:pPr>
              <w:pStyle w:val="TableNumber"/>
            </w:pPr>
            <w:r>
              <w:t>83.39%</w:t>
            </w:r>
          </w:p>
        </w:tc>
        <w:tc>
          <w:tcPr>
            <w:tcW w:w="1330" w:type="dxa"/>
            <w:vAlign w:val="center"/>
          </w:tcPr>
          <w:p>
            <w:pPr>
              <w:pStyle w:val="TableNumber"/>
            </w:pPr>
            <w:r>
              <w:t>0.0125</w:t>
            </w:r>
          </w:p>
        </w:tc>
        <w:tc>
          <w:tcPr>
            <w:tcW w:w="1350" w:type="dxa"/>
            <w:vAlign w:val="center"/>
          </w:tcPr>
          <w:p>
            <w:pPr>
              <w:pStyle w:val="TableNumber"/>
            </w:pPr>
            <w:r>
              <w:t>0.0055</w:t>
            </w:r>
          </w:p>
        </w:tc>
      </w:tr>
      <w:tr>
        <w:trPr>
          <w:cantSplit/>
        </w:trPr>
        <w:tc>
          <w:tcPr>
            <w:tcW w:w="650" w:type="dxa"/>
            <w:vAlign w:val="center"/>
          </w:tcPr>
          <w:p>
            <w:pPr>
              <w:pStyle w:val="TableNumber"/>
            </w:pPr>
            <w:r>
              <w:t>10</w:t>
            </w:r>
          </w:p>
        </w:tc>
        <w:tc>
          <w:tcPr>
            <w:tcW w:w="2800" w:type="dxa"/>
            <w:vAlign w:val="center"/>
          </w:tcPr>
          <w:p>
            <w:pPr>
              <w:pStyle w:val="TableText"/>
            </w:pPr>
            <w:r>
              <w:t>RSI 規則</w:t>
            </w:r>
          </w:p>
        </w:tc>
        <w:tc>
          <w:tcPr>
            <w:tcW w:w="1900" w:type="dxa"/>
            <w:vAlign w:val="center"/>
          </w:tcPr>
          <w:p>
            <w:pPr>
              <w:pStyle w:val="TableNumber"/>
            </w:pPr>
            <w:r>
              <w:t>0.399930</w:t>
            </w:r>
          </w:p>
        </w:tc>
        <w:tc>
          <w:tcPr>
            <w:tcW w:w="1330" w:type="dxa"/>
            <w:vAlign w:val="center"/>
          </w:tcPr>
          <w:p>
            <w:pPr>
              <w:pStyle w:val="TableNumber"/>
            </w:pPr>
            <w:r>
              <w:t>83.21%</w:t>
            </w:r>
          </w:p>
        </w:tc>
        <w:tc>
          <w:tcPr>
            <w:tcW w:w="1330" w:type="dxa"/>
            <w:vAlign w:val="center"/>
          </w:tcPr>
          <w:p>
            <w:pPr>
              <w:pStyle w:val="TableNumber"/>
            </w:pPr>
            <w:r>
              <w:t>0.0155</w:t>
            </w:r>
          </w:p>
        </w:tc>
        <w:tc>
          <w:tcPr>
            <w:tcW w:w="1350" w:type="dxa"/>
            <w:vAlign w:val="center"/>
          </w:tcPr>
          <w:p>
            <w:pPr>
              <w:pStyle w:val="TableNumber"/>
            </w:pPr>
            <w:r>
              <w:t>-0.0201</w:t>
            </w:r>
          </w:p>
        </w:tc>
      </w:tr>
      <w:tr>
        <w:trPr>
          <w:cantSplit/>
        </w:trPr>
        <w:tc>
          <w:tcPr>
            <w:tcW w:w="650" w:type="dxa"/>
            <w:vAlign w:val="center"/>
          </w:tcPr>
          <w:p>
            <w:pPr>
              <w:pStyle w:val="TableNumber"/>
            </w:pPr>
            <w:r>
              <w:t>11</w:t>
            </w:r>
          </w:p>
        </w:tc>
        <w:tc>
          <w:tcPr>
            <w:tcW w:w="2800" w:type="dxa"/>
            <w:vAlign w:val="center"/>
          </w:tcPr>
          <w:p>
            <w:pPr>
              <w:pStyle w:val="TableText"/>
            </w:pPr>
            <w:r>
              <w:t>波動率縮放規則</w:t>
            </w:r>
          </w:p>
        </w:tc>
        <w:tc>
          <w:tcPr>
            <w:tcW w:w="1900" w:type="dxa"/>
            <w:vAlign w:val="center"/>
          </w:tcPr>
          <w:p>
            <w:pPr>
              <w:pStyle w:val="TableNumber"/>
            </w:pPr>
            <w:r>
              <w:t>0.509903</w:t>
            </w:r>
          </w:p>
        </w:tc>
        <w:tc>
          <w:tcPr>
            <w:tcW w:w="1330" w:type="dxa"/>
            <w:vAlign w:val="center"/>
          </w:tcPr>
          <w:p>
            <w:pPr>
              <w:pStyle w:val="TableNumber"/>
            </w:pPr>
            <w:r>
              <w:t>83.40%</w:t>
            </w:r>
          </w:p>
        </w:tc>
        <w:tc>
          <w:tcPr>
            <w:tcW w:w="1330" w:type="dxa"/>
            <w:vAlign w:val="center"/>
          </w:tcPr>
          <w:p>
            <w:pPr>
              <w:pStyle w:val="TableNumber"/>
            </w:pPr>
            <w:r>
              <w:t>-0.0332</w:t>
            </w:r>
          </w:p>
        </w:tc>
        <w:tc>
          <w:tcPr>
            <w:tcW w:w="1350" w:type="dxa"/>
            <w:vAlign w:val="center"/>
          </w:tcPr>
          <w:p>
            <w:pPr>
              <w:pStyle w:val="TableNumber"/>
            </w:pPr>
            <w:r>
              <w:t>0.0104</w:t>
            </w:r>
          </w:p>
        </w:tc>
      </w:tr>
      <w:tr>
        <w:trPr>
          <w:cantSplit/>
        </w:trPr>
        <w:tc>
          <w:tcPr>
            <w:tcW w:w="650" w:type="dxa"/>
            <w:vAlign w:val="center"/>
          </w:tcPr>
          <w:p>
            <w:pPr>
              <w:pStyle w:val="TableNumber"/>
            </w:pPr>
            <w:r>
              <w:t>12</w:t>
            </w:r>
          </w:p>
        </w:tc>
        <w:tc>
          <w:tcPr>
            <w:tcW w:w="2800" w:type="dxa"/>
            <w:vAlign w:val="center"/>
          </w:tcPr>
          <w:p>
            <w:pPr>
              <w:pStyle w:val="TableText"/>
            </w:pPr>
            <w:r>
              <w:t>5 日反轉</w:t>
            </w:r>
          </w:p>
        </w:tc>
        <w:tc>
          <w:tcPr>
            <w:tcW w:w="1900" w:type="dxa"/>
            <w:vAlign w:val="center"/>
          </w:tcPr>
          <w:p>
            <w:pPr>
              <w:pStyle w:val="TableNumber"/>
            </w:pPr>
            <w:r>
              <w:t>0.524241</w:t>
            </w:r>
          </w:p>
        </w:tc>
        <w:tc>
          <w:tcPr>
            <w:tcW w:w="1330" w:type="dxa"/>
            <w:vAlign w:val="center"/>
          </w:tcPr>
          <w:p>
            <w:pPr>
              <w:pStyle w:val="TableNumber"/>
            </w:pPr>
            <w:r>
              <w:t>82.64%</w:t>
            </w:r>
          </w:p>
        </w:tc>
        <w:tc>
          <w:tcPr>
            <w:tcW w:w="1330" w:type="dxa"/>
            <w:vAlign w:val="center"/>
          </w:tcPr>
          <w:p>
            <w:pPr>
              <w:pStyle w:val="TableNumber"/>
            </w:pPr>
            <w:r>
              <w:t>0.0303</w:t>
            </w:r>
          </w:p>
        </w:tc>
        <w:tc>
          <w:tcPr>
            <w:tcW w:w="1350" w:type="dxa"/>
            <w:vAlign w:val="center"/>
          </w:tcPr>
          <w:p>
            <w:pPr>
              <w:pStyle w:val="TableNumber"/>
            </w:pPr>
            <w:r>
              <w:t>-0.0069</w:t>
            </w:r>
          </w:p>
        </w:tc>
      </w:tr>
      <w:tr>
        <w:trPr>
          <w:cantSplit/>
        </w:trPr>
        <w:tc>
          <w:tcPr>
            <w:tcW w:w="650" w:type="dxa"/>
            <w:vAlign w:val="center"/>
          </w:tcPr>
          <w:p>
            <w:pPr>
              <w:pStyle w:val="TableNumber"/>
            </w:pPr>
            <w:r>
              <w:t>13</w:t>
            </w:r>
          </w:p>
        </w:tc>
        <w:tc>
          <w:tcPr>
            <w:tcW w:w="2800" w:type="dxa"/>
            <w:vAlign w:val="center"/>
          </w:tcPr>
          <w:p>
            <w:pPr>
              <w:pStyle w:val="TableText"/>
            </w:pPr>
            <w:r>
              <w:t>5 日動能</w:t>
            </w:r>
          </w:p>
        </w:tc>
        <w:tc>
          <w:tcPr>
            <w:tcW w:w="1900" w:type="dxa"/>
            <w:vAlign w:val="center"/>
          </w:tcPr>
          <w:p>
            <w:pPr>
              <w:pStyle w:val="TableNumber"/>
            </w:pPr>
            <w:r>
              <w:t>0.529759</w:t>
            </w:r>
          </w:p>
        </w:tc>
        <w:tc>
          <w:tcPr>
            <w:tcW w:w="1330" w:type="dxa"/>
            <w:vAlign w:val="center"/>
          </w:tcPr>
          <w:p>
            <w:pPr>
              <w:pStyle w:val="TableNumber"/>
            </w:pPr>
            <w:r>
              <w:t>83.11%</w:t>
            </w:r>
          </w:p>
        </w:tc>
        <w:tc>
          <w:tcPr>
            <w:tcW w:w="1330" w:type="dxa"/>
            <w:vAlign w:val="center"/>
          </w:tcPr>
          <w:p>
            <w:pPr>
              <w:pStyle w:val="TableNumber"/>
            </w:pPr>
            <w:r>
              <w:t>-0.0303</w:t>
            </w:r>
          </w:p>
        </w:tc>
        <w:tc>
          <w:tcPr>
            <w:tcW w:w="1350" w:type="dxa"/>
            <w:vAlign w:val="center"/>
          </w:tcPr>
          <w:p>
            <w:pPr>
              <w:pStyle w:val="TableNumber"/>
            </w:pPr>
            <w:r>
              <w:t>0.0100</w:t>
            </w:r>
          </w:p>
        </w:tc>
      </w:tr>
    </w:tbl>
    <w:p>
      <w:pPr>
        <w:pStyle w:val="Note"/>
      </w:pPr>
      <w:r>
        <w:t>所有 learned baseline 均使用 seed 42；主排名只依 14 horizon selection score。</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run ID</w:t>
            </w:r>
          </w:p>
        </w:tc>
        <w:tc>
          <w:tcPr>
            <w:tcW w:w="6360" w:type="dxa"/>
            <w:vAlign w:val="center"/>
          </w:tcPr>
          <w:p>
            <w:pPr>
              <w:pStyle w:val="TableText"/>
            </w:pPr>
            <w:r>
              <w:t>run-20260917T110811Z-1986920595</w:t>
            </w:r>
          </w:p>
        </w:tc>
      </w:tr>
      <w:tr>
        <w:trPr>
          <w:cantSplit/>
        </w:trPr>
        <w:tc>
          <w:tcPr>
            <w:tcW w:w="3000" w:type="dxa"/>
            <w:vAlign w:val="center"/>
          </w:tcPr>
          <w:p>
            <w:pPr>
              <w:pStyle w:val="TableText"/>
            </w:pPr>
            <w:r>
              <w:t>最佳 checkpoint</w:t>
            </w:r>
          </w:p>
        </w:tc>
        <w:tc>
          <w:tcPr>
            <w:tcW w:w="6360" w:type="dxa"/>
            <w:vAlign w:val="center"/>
          </w:tcPr>
          <w:p>
            <w:pPr>
              <w:pStyle w:val="TableText"/>
            </w:pPr>
            <w:r>
              <w:t>checkpoint-094452；validation monitor 0.299332876409；test score 0.313540605815</w:t>
            </w:r>
          </w:p>
        </w:tc>
      </w:tr>
      <w:tr>
        <w:trPr>
          <w:cantSplit/>
        </w:trPr>
        <w:tc>
          <w:tcPr>
            <w:tcW w:w="3000" w:type="dxa"/>
            <w:vAlign w:val="center"/>
          </w:tcPr>
          <w:p>
            <w:pPr>
              <w:pStyle w:val="TableText"/>
            </w:pPr>
            <w:r>
              <w:t>輸出 schema</w:t>
            </w:r>
          </w:p>
        </w:tc>
        <w:tc>
          <w:tcPr>
            <w:tcW w:w="6360" w:type="dxa"/>
            <w:vAlign w:val="center"/>
          </w:tcPr>
          <w:p>
            <w:pPr>
              <w:pStyle w:val="TableText"/>
            </w:pPr>
            <w:r>
              <w:t>model_output_schema_version=5.0；alpha_quantiles [batch,14,3]；horizons 1–14；q10/q50/q90</w:t>
            </w:r>
          </w:p>
        </w:tc>
      </w:tr>
      <w:tr>
        <w:trPr>
          <w:cantSplit/>
        </w:trPr>
        <w:tc>
          <w:tcPr>
            <w:tcW w:w="3000" w:type="dxa"/>
            <w:vAlign w:val="center"/>
          </w:tcPr>
          <w:p>
            <w:pPr>
              <w:pStyle w:val="TableText"/>
            </w:pPr>
            <w:r>
              <w:t>evaluation 狀態</w:t>
            </w:r>
          </w:p>
        </w:tc>
        <w:tc>
          <w:tcPr>
            <w:tcW w:w="6360" w:type="dxa"/>
            <w:vAlign w:val="center"/>
          </w:tcPr>
          <w:p>
            <w:pPr>
              <w:pStyle w:val="TableText"/>
            </w:pPr>
            <w:r>
              <w:t>state=ready；split=test；test_unlocked=true；20,000 rows／112 dates</w:t>
            </w:r>
          </w:p>
        </w:tc>
      </w:tr>
      <w:tr>
        <w:trPr>
          <w:cantSplit/>
        </w:trPr>
        <w:tc>
          <w:tcPr>
            <w:tcW w:w="3000" w:type="dxa"/>
            <w:vAlign w:val="center"/>
          </w:tcPr>
          <w:p>
            <w:pPr>
              <w:pStyle w:val="TableText"/>
            </w:pPr>
            <w:r>
              <w:t>training lifecycle</w:t>
            </w:r>
          </w:p>
        </w:tc>
        <w:tc>
          <w:tcPr>
            <w:tcW w:w="6360" w:type="dxa"/>
            <w:vAlign w:val="center"/>
          </w:tcPr>
          <w:p>
            <w:pPr>
              <w:pStyle w:val="TableText"/>
            </w:pPr>
            <w:r>
              <w:t>state=ready；exit_code=0；timed_out=false；training_completed=true</w:t>
            </w:r>
          </w:p>
        </w:tc>
      </w:tr>
      <w:tr>
        <w:trPr>
          <w:cantSplit/>
        </w:trPr>
        <w:tc>
          <w:tcPr>
            <w:tcW w:w="3000" w:type="dxa"/>
            <w:vAlign w:val="center"/>
          </w:tcPr>
          <w:p>
            <w:pPr>
              <w:pStyle w:val="TableText"/>
            </w:pPr>
            <w:r>
              <w:t>資料 manifest SHA-256</w:t>
            </w:r>
          </w:p>
        </w:tc>
        <w:tc>
          <w:tcPr>
            <w:tcW w:w="6360" w:type="dxa"/>
            <w:vAlign w:val="center"/>
          </w:tcPr>
          <w:p>
            <w:pPr>
              <w:pStyle w:val="TableText"/>
            </w:pPr>
            <w:r>
              <w:t>93aca769f2e90113cb7da671953773f47f7df3e89855cb1e7c61dc95e87c83cf</w:t>
            </w:r>
          </w:p>
        </w:tc>
      </w:tr>
      <w:tr>
        <w:trPr>
          <w:cantSplit/>
        </w:trPr>
        <w:tc>
          <w:tcPr>
            <w:tcW w:w="3000" w:type="dxa"/>
            <w:vAlign w:val="center"/>
          </w:tcPr>
          <w:p>
            <w:pPr>
              <w:pStyle w:val="TableText"/>
            </w:pPr>
            <w:r>
              <w:t>Test membership SHA-256</w:t>
            </w:r>
          </w:p>
        </w:tc>
        <w:tc>
          <w:tcPr>
            <w:tcW w:w="6360" w:type="dxa"/>
            <w:vAlign w:val="center"/>
          </w:tcPr>
          <w:p>
            <w:pPr>
              <w:pStyle w:val="TableText"/>
            </w:pPr>
            <w:r>
              <w:t>a0d42f58718b85ce3c472046256c0137c7940848f2eb90ce0ecb5bcc543d85fd</w:t>
            </w:r>
          </w:p>
        </w:tc>
      </w:tr>
      <w:tr>
        <w:trPr>
          <w:cantSplit/>
        </w:trPr>
        <w:tc>
          <w:tcPr>
            <w:tcW w:w="3000" w:type="dxa"/>
            <w:vAlign w:val="center"/>
          </w:tcPr>
          <w:p>
            <w:pPr>
              <w:pStyle w:val="TableText"/>
            </w:pPr>
            <w:r>
              <w:t>主要 artifacts</w:t>
            </w:r>
          </w:p>
        </w:tc>
        <w:tc>
          <w:tcPr>
            <w:tcW w:w="6360" w:type="dxa"/>
            <w:vAlign w:val="center"/>
          </w:tcPr>
          <w:p>
            <w:pPr>
              <w:pStyle w:val="TableText"/>
            </w:pPr>
            <w:r>
              <w:t>best-checkpoint.json；checkpoint-leaderboard.json；completion-result/training-result.json；validation-benchmark.json；resolved-config.yaml；run-manifest.json</w:t>
            </w:r>
          </w:p>
        </w:tc>
      </w:tr>
    </w:tbl>
    <w:p>
      <w:pPr>
        <w:pStyle w:val="Note"/>
      </w:pPr>
      <w:r>
        <w:t>本報告數值直接取自本輪 run artifacts；沒有重新訓練、重新抽樣或修改 test protocol。test 評分使用 validation 選出的 checkpoint，所有 horizon 結果皆列出。</w:t>
      </w:r>
    </w:p>
    <w:p>
      <w:pPr>
        <w:pStyle w:val="Kicker"/>
      </w:pPr>
      <w:r>
        <w:t>MODEL PERFORMANCE EVALUATION</w:t>
      </w:r>
    </w:p>
    <w:p>
      <w:pPr>
        <w:pStyle w:val="ReportTitle"/>
      </w:pPr>
      <w:r>
        <w:t>One to Fourteen Day Alpha Forecast Validation</w:t>
      </w:r>
    </w:p>
    <w:p>
      <w:pPr>
        <w:pStyle w:val="1"/>
      </w:pPr>
      <w:r>
        <w:t>Stage 2 | run-20260917T110811Z-1986920595</w:t>
      </w:r>
    </w:p>
    <w:p>
      <w:pPr>
        <w:pStyle w:val="Metadata"/>
      </w:pPr>
      <w:r>
        <w:t>Report date: 2026-09-19</w:t>
      </w:r>
    </w:p>
    <w:p>
      <w:pPr>
        <w:pStyle w:val="Metadata"/>
      </w:pPr>
      <w:r>
        <w:t>Best checkpoint: checkpoint-094452 (global step 94,452)</w:t>
      </w:r>
    </w:p>
    <w:p>
      <w:pPr>
        <w:pStyle w:val="Metadata"/>
      </w:pPr>
      <w:r>
        <w:t>Evaluation split: test; checkpoint selected on validation; test is unlocked</w:t>
      </w:r>
    </w:p>
    <w:p>
      <w:pPr>
        <w:pStyle w:val="Lead"/>
      </w:pPr>
      <w:r>
        <w:t>Conclusion: the best checkpoint scores 0.313541 across 20,000 fixed test rows and ranks 1 of 13 models. Among nine models with complete horizon outputs, normalized pinball, RankIC, and net Sharpe each rank first at all 14 horizons. q50 correlation is 0.0499 to 0.1588, direction agreement is 53.03% to 58.88%, and q10–q90 coverage is 69.58% to 75.90%, below nominal 80% at every horizon. Maximum drawdown ranges from -5.13% to -56.10%, worst at 10d. This supports candidate-model forecast and ranking evidence, not realized profit or deployment readiness.</w:t>
      </w:r>
    </w:p>
    <w:p>
      <w:pPr>
        <w:pStyle w:val="11"/>
      </w:pPr>
      <w:r>
        <w:t>1. Executive summary</w:t>
      </w:r>
    </w:p>
    <w:p>
      <w:pPr>
        <w:pStyle w:val="21"/>
      </w:pPr>
      <w:r>
        <w:t>1.1 The unit of evaluation is all 14 horizons</w:t>
      </w:r>
    </w:p>
    <w:p>
      <w:pPr>
        <w:pStyle w:val="a"/>
      </w:pPr>
      <w:r>
        <w:t>Each sample contains 14 separate q10, q50, and q90 triplets. They describe benchmark-relative outcomes after holding for 1, 2, and up to 14 common trading days. The selection score is the equal-weight mean normalized pinball across all horizons. The horizon tables test whether the aggregate result is supported broadly rather than by only a few holding periods.</w:t>
      </w:r>
    </w:p>
    <w:p>
      <w:pPr>
        <w:pStyle w:val="Decision"/>
        <w:keepNext/>
        <w:spacing w:after="80"/>
      </w:pPr>
      <w:r>
        <w:t>Table 1 | Main findings across days 1 through 14</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Evaluation area</w:t>
            </w:r>
          </w:p>
        </w:tc>
        <w:tc>
          <w:tcPr>
            <w:tcW w:w="2800" w:type="dxa"/>
            <w:shd w:val="clear" w:fill="DCE6F1"/>
            <w:vAlign w:val="center"/>
          </w:tcPr>
          <w:p>
            <w:pPr>
              <w:pStyle w:val="TableHeader"/>
            </w:pPr>
            <w:r>
              <w:t>Result</w:t>
            </w:r>
          </w:p>
        </w:tc>
        <w:tc>
          <w:tcPr>
            <w:tcW w:w="3910" w:type="dxa"/>
            <w:shd w:val="clear" w:fill="DCE6F1"/>
            <w:vAlign w:val="center"/>
          </w:tcPr>
          <w:p>
            <w:pPr>
              <w:pStyle w:val="TableHeader"/>
            </w:pPr>
            <w:r>
              <w:t>Correct interpretation</w:t>
            </w:r>
          </w:p>
        </w:tc>
      </w:tr>
      <w:tr>
        <w:trPr>
          <w:cantSplit/>
        </w:trPr>
        <w:tc>
          <w:tcPr>
            <w:tcW w:w="2650" w:type="dxa"/>
            <w:vAlign w:val="center"/>
          </w:tcPr>
          <w:p>
            <w:pPr>
              <w:pStyle w:val="TableText"/>
            </w:pPr>
            <w:r>
              <w:t>All-horizon test score</w:t>
            </w:r>
          </w:p>
        </w:tc>
        <w:tc>
          <w:tcPr>
            <w:tcW w:w="2800" w:type="dxa"/>
            <w:vAlign w:val="center"/>
          </w:tcPr>
          <w:p>
            <w:pPr>
              <w:pStyle w:val="TableNumber"/>
            </w:pPr>
            <w:r>
              <w:t>0.313541</w:t>
            </w:r>
          </w:p>
        </w:tc>
        <w:tc>
          <w:tcPr>
            <w:tcW w:w="3910" w:type="dxa"/>
            <w:vAlign w:val="center"/>
          </w:tcPr>
          <w:p>
            <w:pPr>
              <w:pStyle w:val="TableText"/>
            </w:pPr>
            <w:r>
              <w:t>Rank 1 of 13; equal-weight mean across 14 horizons; checkpoint selected on validation</w:t>
            </w:r>
          </w:p>
        </w:tc>
      </w:tr>
      <w:tr>
        <w:trPr>
          <w:cantSplit/>
        </w:trPr>
        <w:tc>
          <w:tcPr>
            <w:tcW w:w="2650" w:type="dxa"/>
            <w:vAlign w:val="center"/>
          </w:tcPr>
          <w:p>
            <w:pPr>
              <w:pStyle w:val="TableText"/>
            </w:pPr>
            <w:r>
              <w:t>Per-horizon normalized pinball</w:t>
            </w:r>
          </w:p>
        </w:tc>
        <w:tc>
          <w:tcPr>
            <w:tcW w:w="2800" w:type="dxa"/>
            <w:vAlign w:val="center"/>
          </w:tcPr>
          <w:p>
            <w:pPr>
              <w:pStyle w:val="TableNumber"/>
            </w:pPr>
            <w:r>
              <w:t>Rank 1 at 14/14 (9 full-output models)</w:t>
            </w:r>
          </w:p>
        </w:tc>
        <w:tc>
          <w:tcPr>
            <w:tcW w:w="3910" w:type="dxa"/>
            <w:vAlign w:val="center"/>
          </w:tcPr>
          <w:p>
            <w:pPr>
              <w:pStyle w:val="TableText"/>
            </w:pPr>
            <w:r>
              <w:t>Ranks first from day 1 through 14; not profit or hit rate</w:t>
            </w:r>
          </w:p>
        </w:tc>
      </w:tr>
      <w:tr>
        <w:trPr>
          <w:cantSplit/>
        </w:trPr>
        <w:tc>
          <w:tcPr>
            <w:tcW w:w="2650" w:type="dxa"/>
            <w:vAlign w:val="center"/>
          </w:tcPr>
          <w:p>
            <w:pPr>
              <w:pStyle w:val="TableText"/>
            </w:pPr>
            <w:r>
              <w:t>q50 Pearson correlation</w:t>
            </w:r>
          </w:p>
        </w:tc>
        <w:tc>
          <w:tcPr>
            <w:tcW w:w="2800" w:type="dxa"/>
            <w:vAlign w:val="center"/>
          </w:tcPr>
          <w:p>
            <w:pPr>
              <w:pStyle w:val="TableNumber"/>
            </w:pPr>
            <w:r>
              <w:t>0.0499 to 0.1588</w:t>
            </w:r>
          </w:p>
        </w:tc>
        <w:tc>
          <w:tcPr>
            <w:tcW w:w="3910" w:type="dxa"/>
            <w:vAlign w:val="center"/>
          </w:tcPr>
          <w:p>
            <w:pPr>
              <w:pStyle w:val="TableText"/>
            </w:pPr>
            <w:r>
              <w:t>Positive but weak throughout; not a reliable direction signal by itself</w:t>
            </w:r>
          </w:p>
        </w:tc>
      </w:tr>
      <w:tr>
        <w:trPr>
          <w:cantSplit/>
        </w:trPr>
        <w:tc>
          <w:tcPr>
            <w:tcW w:w="2650" w:type="dxa"/>
            <w:vAlign w:val="center"/>
          </w:tcPr>
          <w:p>
            <w:pPr>
              <w:pStyle w:val="TableText"/>
            </w:pPr>
            <w:r>
              <w:t>Direction agreement</w:t>
            </w:r>
          </w:p>
        </w:tc>
        <w:tc>
          <w:tcPr>
            <w:tcW w:w="2800" w:type="dxa"/>
            <w:vAlign w:val="center"/>
          </w:tcPr>
          <w:p>
            <w:pPr>
              <w:pStyle w:val="TableNumber"/>
            </w:pPr>
            <w:r>
              <w:t>53.03% to 58.88%</w:t>
            </w:r>
          </w:p>
        </w:tc>
        <w:tc>
          <w:tcPr>
            <w:tcW w:w="3910" w:type="dxa"/>
            <w:vAlign w:val="center"/>
          </w:tcPr>
          <w:p>
            <w:pPr>
              <w:pStyle w:val="TableText"/>
            </w:pPr>
            <w:r>
              <w:t>Only modestly above 50%; direction hits do not predict return magnitude</w:t>
            </w:r>
          </w:p>
        </w:tc>
      </w:tr>
      <w:tr>
        <w:trPr>
          <w:cantSplit/>
        </w:trPr>
        <w:tc>
          <w:tcPr>
            <w:tcW w:w="2650" w:type="dxa"/>
            <w:vAlign w:val="center"/>
          </w:tcPr>
          <w:p>
            <w:pPr>
              <w:pStyle w:val="TableText"/>
            </w:pPr>
            <w:r>
              <w:t>q10 to q90 coverage</w:t>
            </w:r>
          </w:p>
        </w:tc>
        <w:tc>
          <w:tcPr>
            <w:tcW w:w="2800" w:type="dxa"/>
            <w:vAlign w:val="center"/>
          </w:tcPr>
          <w:p>
            <w:pPr>
              <w:pStyle w:val="TableNumber"/>
            </w:pPr>
            <w:r>
              <w:t>69.58% to 75.90%</w:t>
            </w:r>
          </w:p>
        </w:tc>
        <w:tc>
          <w:tcPr>
            <w:tcW w:w="3910" w:type="dxa"/>
            <w:vAlign w:val="center"/>
          </w:tcPr>
          <w:p>
            <w:pPr>
              <w:pStyle w:val="TableText"/>
            </w:pPr>
            <w:r>
              <w:t>Below nominal 80% at all 14 horizons; intervals are under-covering</w:t>
            </w:r>
          </w:p>
        </w:tc>
      </w:tr>
      <w:tr>
        <w:trPr>
          <w:cantSplit/>
        </w:trPr>
        <w:tc>
          <w:tcPr>
            <w:tcW w:w="2650" w:type="dxa"/>
            <w:vAlign w:val="center"/>
          </w:tcPr>
          <w:p>
            <w:pPr>
              <w:pStyle w:val="TableText"/>
            </w:pPr>
            <w:r>
              <w:t>RankIC</w:t>
            </w:r>
          </w:p>
        </w:tc>
        <w:tc>
          <w:tcPr>
            <w:tcW w:w="2800" w:type="dxa"/>
            <w:vAlign w:val="center"/>
          </w:tcPr>
          <w:p>
            <w:pPr>
              <w:pStyle w:val="TableNumber"/>
            </w:pPr>
            <w:r>
              <w:t>0.0423 to 0.0821; rank 1 at 14/14</w:t>
            </w:r>
          </w:p>
        </w:tc>
        <w:tc>
          <w:tcPr>
            <w:tcW w:w="3910" w:type="dxa"/>
            <w:vAlign w:val="center"/>
          </w:tcPr>
          <w:p>
            <w:pPr>
              <w:pStyle w:val="TableText"/>
            </w:pPr>
            <w:r>
              <w:t>Ranks first among nine models with complete horizon outputs</w:t>
            </w:r>
          </w:p>
        </w:tc>
      </w:tr>
      <w:tr>
        <w:trPr>
          <w:cantSplit/>
        </w:trPr>
        <w:tc>
          <w:tcPr>
            <w:tcW w:w="2650" w:type="dxa"/>
            <w:vAlign w:val="center"/>
          </w:tcPr>
          <w:p>
            <w:pPr>
              <w:pStyle w:val="TableText"/>
            </w:pPr>
            <w:r>
              <w:t>Net Sharpe</w:t>
            </w:r>
          </w:p>
        </w:tc>
        <w:tc>
          <w:tcPr>
            <w:tcW w:w="2800" w:type="dxa"/>
            <w:vAlign w:val="center"/>
          </w:tcPr>
          <w:p>
            <w:pPr>
              <w:pStyle w:val="TableNumber"/>
            </w:pPr>
            <w:r>
              <w:t>1.52 to 4.72; rank 1 at 14/14</w:t>
            </w:r>
          </w:p>
        </w:tc>
        <w:tc>
          <w:tcPr>
            <w:tcW w:w="3910" w:type="dxa"/>
            <w:vAlign w:val="center"/>
          </w:tcPr>
          <w:p>
            <w:pPr>
              <w:pStyle w:val="TableText"/>
            </w:pPr>
            <w:r>
              <w:t>Simplified backtest risk-adjusted return, not realized performance</w:t>
            </w:r>
          </w:p>
        </w:tc>
      </w:tr>
      <w:tr>
        <w:trPr>
          <w:cantSplit/>
        </w:trPr>
        <w:tc>
          <w:tcPr>
            <w:tcW w:w="2650" w:type="dxa"/>
            <w:vAlign w:val="center"/>
          </w:tcPr>
          <w:p>
            <w:pPr>
              <w:pStyle w:val="TableText"/>
            </w:pPr>
            <w:r>
              <w:t>Maximum drawdown</w:t>
            </w:r>
          </w:p>
        </w:tc>
        <w:tc>
          <w:tcPr>
            <w:tcW w:w="2800" w:type="dxa"/>
            <w:vAlign w:val="center"/>
          </w:tcPr>
          <w:p>
            <w:pPr>
              <w:pStyle w:val="TableNumber"/>
            </w:pPr>
            <w:r>
              <w:t>-56.10% to -5.13%</w:t>
            </w:r>
          </w:p>
        </w:tc>
        <w:tc>
          <w:tcPr>
            <w:tcW w:w="3910" w:type="dxa"/>
            <w:vAlign w:val="center"/>
          </w:tcPr>
          <w:p>
            <w:pPr>
              <w:pStyle w:val="TableText"/>
            </w:pPr>
            <w:r>
              <w:t>Worst at 10d; long-horizon capital path carries substantial risk</w:t>
            </w:r>
          </w:p>
        </w:tc>
      </w:tr>
    </w:tbl>
    <w:p>
      <w:pPr>
        <w:pStyle w:val="21"/>
      </w:pPr>
      <w:r>
        <w:t>1.2 Decision and evidence strength</w:t>
      </w:r>
    </w:p>
    <w:p>
      <w:pPr>
        <w:pStyle w:val="a"/>
      </w:pPr>
      <w:r>
        <w:t>Kronos scores 0.313541 on test, ranking first of 13; it is 1.27% lower than second-place Quantile GBDT (0.317588) and 5.72% below the zero-return baseline (0.332559). Per-horizon normalized pinball ranks first at all 14 horizons among nine models with full horizon output. The prior run also used test, but its dataset manifest and symbol-date membership differ, so this report makes no like-for-like improvement claim.</w:t>
      </w:r>
    </w:p>
    <w:p>
      <w:pPr>
        <w:pStyle w:val="Decision"/>
      </w:pPr>
      <w:r>
        <w:t>Decision: retain this checkpoint and fixed test results as candidate evidence. The one-time test scoring is complete; do not approve deployment or live use until multi-seed stability, interval calibration, Taiwan-provider slices, and long-horizon drawdown risk have been validated.</w:t>
      </w:r>
    </w:p>
    <w:p>
      <w:pPr>
        <w:pStyle w:val="Note"/>
      </w:pPr>
      <w:r>
        <w:t>Selection score measures distribution error across 14 horizons. It is not return, hit rate, or a tradability score.</w:t>
      </w:r>
    </w:p>
    <w:p>
      <w:pPr>
        <w:pStyle w:val="11"/>
      </w:pPr>
      <w:r>
        <w:t>2. Validation design and evidence boundary</w:t>
      </w:r>
    </w:p>
    <w:p>
      <w:pPr>
        <w:pStyle w:val="21"/>
      </w:pPr>
      <w:r>
        <w:t>2.1 Data and splits</w:t>
      </w:r>
    </w:p>
    <w:p>
      <w:pPr>
        <w:pStyle w:val="a"/>
      </w:pPr>
      <w:r>
        <w:t>The us_tw_eodhd profile combines EODHD US data with official TPEx and TWSE data. Every model uses the same fixed test membership, benchmark mapping, cutoff-inclusive input context, and entry and exit timestamps; dataset and membership hashes are listed in the appendix.</w:t>
      </w:r>
    </w:p>
    <w:p>
      <w:pPr>
        <w:pStyle w:val="Decision"/>
        <w:keepNext/>
        <w:spacing w:after="80"/>
      </w:pPr>
      <w:r>
        <w:t>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Full train split</w:t>
            </w:r>
          </w:p>
        </w:tc>
        <w:tc>
          <w:tcPr>
            <w:tcW w:w="2050" w:type="dxa"/>
            <w:vAlign w:val="center"/>
          </w:tcPr>
          <w:p>
            <w:pPr>
              <w:pStyle w:val="TableNumber"/>
            </w:pPr>
            <w:r>
              <w:t>30,224,227</w:t>
            </w:r>
          </w:p>
        </w:tc>
        <w:tc>
          <w:tcPr>
            <w:tcW w:w="4510" w:type="dxa"/>
            <w:vAlign w:val="center"/>
          </w:tcPr>
          <w:p>
            <w:pPr>
              <w:pStyle w:val="TableText"/>
            </w:pPr>
            <w:r>
              <w:t>Available raw split rows; training follows the deterministic blockwise target-count policy</w:t>
            </w:r>
          </w:p>
        </w:tc>
      </w:tr>
      <w:tr>
        <w:trPr>
          <w:cantSplit/>
        </w:trPr>
        <w:tc>
          <w:tcPr>
            <w:tcW w:w="2800" w:type="dxa"/>
            <w:vAlign w:val="center"/>
          </w:tcPr>
          <w:p>
            <w:pPr>
              <w:pStyle w:val="TableText"/>
            </w:pPr>
            <w:r>
              <w:t>Processed training samples</w:t>
            </w:r>
          </w:p>
        </w:tc>
        <w:tc>
          <w:tcPr>
            <w:tcW w:w="2050" w:type="dxa"/>
            <w:vAlign w:val="center"/>
          </w:tcPr>
          <w:p>
            <w:pPr>
              <w:pStyle w:val="TableNumber"/>
            </w:pPr>
            <w:r>
              <w:t>54,403,968 / 151,121,135 (36.00%; about 1.80 raw-split passes)</w:t>
            </w:r>
          </w:p>
        </w:tc>
        <w:tc>
          <w:tcPr>
            <w:tcW w:w="4510" w:type="dxa"/>
            <w:vAlign w:val="center"/>
          </w:tcPr>
          <w:p>
            <w:pPr>
              <w:pStyle w:val="TableText"/>
            </w:pPr>
            <w:r>
              <w:t>Early stopping was used; the planned sample target was not fully processed</w:t>
            </w:r>
          </w:p>
        </w:tc>
      </w:tr>
      <w:tr>
        <w:trPr>
          <w:cantSplit/>
        </w:trPr>
        <w:tc>
          <w:tcPr>
            <w:tcW w:w="2800" w:type="dxa"/>
            <w:vAlign w:val="center"/>
          </w:tcPr>
          <w:p>
            <w:pPr>
              <w:pStyle w:val="TableText"/>
            </w:pPr>
            <w:r>
              <w:t>Full validation split</w:t>
            </w:r>
          </w:p>
        </w:tc>
        <w:tc>
          <w:tcPr>
            <w:tcW w:w="2050" w:type="dxa"/>
            <w:vAlign w:val="center"/>
          </w:tcPr>
          <w:p>
            <w:pPr>
              <w:pStyle w:val="TableNumber"/>
            </w:pPr>
            <w:r>
              <w:t>1,232,972</w:t>
            </w:r>
          </w:p>
        </w:tc>
        <w:tc>
          <w:tcPr>
            <w:tcW w:w="4510" w:type="dxa"/>
            <w:vAlign w:val="center"/>
          </w:tcPr>
          <w:p>
            <w:pPr>
              <w:pStyle w:val="TableText"/>
            </w:pPr>
            <w:r>
              <w:t>Used for checkpoint selection and early stopping, not as this report’s test score</w:t>
            </w:r>
          </w:p>
        </w:tc>
      </w:tr>
      <w:tr>
        <w:trPr>
          <w:cantSplit/>
        </w:trPr>
        <w:tc>
          <w:tcPr>
            <w:tcW w:w="2800" w:type="dxa"/>
            <w:vAlign w:val="center"/>
          </w:tcPr>
          <w:p>
            <w:pPr>
              <w:pStyle w:val="TableText"/>
            </w:pPr>
            <w:r>
              <w:t>Full test split</w:t>
            </w:r>
          </w:p>
        </w:tc>
        <w:tc>
          <w:tcPr>
            <w:tcW w:w="2050" w:type="dxa"/>
            <w:vAlign w:val="center"/>
          </w:tcPr>
          <w:p>
            <w:pPr>
              <w:pStyle w:val="TableNumber"/>
            </w:pPr>
            <w:r>
              <w:t>1,264,861</w:t>
            </w:r>
          </w:p>
        </w:tc>
        <w:tc>
          <w:tcPr>
            <w:tcW w:w="4510" w:type="dxa"/>
            <w:vAlign w:val="center"/>
          </w:tcPr>
          <w:p>
            <w:pPr>
              <w:pStyle w:val="TableText"/>
            </w:pPr>
            <w:r>
              <w:t>test_unlocked=true; evaluation uses a fixed benchmark subset</w:t>
            </w:r>
          </w:p>
        </w:tc>
      </w:tr>
      <w:tr>
        <w:trPr>
          <w:cantSplit/>
        </w:trPr>
        <w:tc>
          <w:tcPr>
            <w:tcW w:w="2800" w:type="dxa"/>
            <w:vAlign w:val="center"/>
          </w:tcPr>
          <w:p>
            <w:pPr>
              <w:pStyle w:val="TableText"/>
            </w:pPr>
            <w:r>
              <w:t>Benchmark rows per split</w:t>
            </w:r>
          </w:p>
        </w:tc>
        <w:tc>
          <w:tcPr>
            <w:tcW w:w="2050" w:type="dxa"/>
            <w:vAlign w:val="center"/>
          </w:tcPr>
          <w:p>
            <w:pPr>
              <w:pStyle w:val="TableNumber"/>
            </w:pPr>
            <w:r>
              <w:t>20,000</w:t>
            </w:r>
          </w:p>
        </w:tc>
        <w:tc>
          <w:tcPr>
            <w:tcW w:w="4510" w:type="dxa"/>
            <w:vAlign w:val="center"/>
          </w:tcPr>
          <w:p>
            <w:pPr>
              <w:pStyle w:val="TableText"/>
            </w:pPr>
            <w:r>
              <w:t>Train, validation, and test benchmarks each contain 20,000 rows; models share the same test set</w:t>
            </w:r>
          </w:p>
        </w:tc>
      </w:tr>
      <w:tr>
        <w:trPr>
          <w:cantSplit/>
        </w:trPr>
        <w:tc>
          <w:tcPr>
            <w:tcW w:w="2800" w:type="dxa"/>
            <w:vAlign w:val="center"/>
          </w:tcPr>
          <w:p>
            <w:pPr>
              <w:pStyle w:val="TableText"/>
            </w:pPr>
            <w:r>
              <w:t>Test dates and date count</w:t>
            </w:r>
          </w:p>
        </w:tc>
        <w:tc>
          <w:tcPr>
            <w:tcW w:w="2050" w:type="dxa"/>
            <w:vAlign w:val="center"/>
          </w:tcPr>
          <w:p>
            <w:pPr>
              <w:pStyle w:val="TableNumber"/>
            </w:pPr>
            <w:r>
              <w:t>2025-12-01 to 2026-05-11; 112 dates</w:t>
            </w:r>
          </w:p>
        </w:tc>
        <w:tc>
          <w:tcPr>
            <w:tcW w:w="4510" w:type="dxa"/>
            <w:vAlign w:val="center"/>
          </w:tcPr>
          <w:p>
            <w:pPr>
              <w:pStyle w:val="TableText"/>
            </w:pPr>
            <w:r>
              <w:t>All 14 horizons use the same fixed symbol-date membership</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One seed; retraining variability has not been estimated</w:t>
            </w:r>
          </w:p>
        </w:tc>
      </w:tr>
    </w:tbl>
    <w:p>
      <w:pPr>
        <w:pStyle w:val="a"/>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tells whether the stock outperformed or underperformed its benchmark over the same holding period. It is not valuation, a price target, or standalone stock return. If alpha=0.05, the exact relative gross ratio is exp(0.05)-1=5.13%; for small values, this is approximately 5% benchmark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Every number is benchmark-relative adjusted execution log return for that horizon.</w:t>
      </w:r>
    </w:p>
    <w:p>
      <w:pPr>
        <w:pStyle w:val="Decision"/>
        <w:keepNext/>
        <w:spacing w:after="80"/>
      </w:pPr>
      <w:r>
        <w:t>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it is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used as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it is not a guaranteed ceiling</w:t>
            </w:r>
          </w:p>
        </w:tc>
      </w:tr>
    </w:tbl>
    <w:p>
      <w:pPr>
        <w:pStyle w:val="21"/>
      </w:pPr>
      <w:r>
        <w:t>3.2 Three stock scenarios</w:t>
      </w:r>
    </w:p>
    <w:p>
      <w:pPr>
        <w:pStyle w:val="Decision"/>
        <w:keepNext/>
        <w:spacing w:after="80"/>
      </w:pPr>
      <w:r>
        <w:t>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the bearish-side q10 is above zero; all three scenarios forecast benchmark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the bullish-side q90 is below zero; all three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scenario is near flat, but the optimistic tail is large; this is not a 25% chance of a rise</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remains negative; central outlook is strong but a bearish outcome remains possible</w:t>
            </w:r>
          </w:p>
        </w:tc>
      </w:tr>
    </w:tbl>
    <w:p>
      <w:pPr>
        <w:pStyle w:val="Note"/>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by design. Bullish, bearish, and strong signals are post-processing labels, not classifier outputs. forecast_horizon=5 and primary_5d are legacy-compatible field names; actual output shape is [batch,14,3], and the checkpoint monitor is the equal-weight normalized pinball mean across days 1–14. This report evaluates all 14 days.</w:t>
      </w:r>
    </w:p>
    <w:p>
      <w:pPr>
        <w:pStyle w:val="11"/>
      </w:pPr>
      <w:r>
        <w:t>4. Training completion early stopping and checkpoint</w:t>
      </w:r>
    </w:p>
    <w:p>
      <w:pPr>
        <w:pStyle w:val="21"/>
      </w:pPr>
      <w:r>
        <w:t>4.1 Execution state</w:t>
      </w:r>
    </w:p>
    <w:p>
      <w:pPr>
        <w:pStyle w:val="Decision"/>
        <w:keepNext/>
        <w:spacing w:after="80"/>
      </w:pPr>
      <w:r>
        <w:t>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Completion evidence</w:t>
            </w:r>
          </w:p>
        </w:tc>
        <w:tc>
          <w:tcPr>
            <w:tcW w:w="6260" w:type="dxa"/>
            <w:vAlign w:val="center"/>
          </w:tcPr>
          <w:p>
            <w:pPr>
              <w:pStyle w:val="TableText"/>
            </w:pPr>
            <w:r>
              <w:t>training_completed=true; training marker and lifecycle are ready; completion result is present</w:t>
            </w:r>
          </w:p>
        </w:tc>
      </w:tr>
      <w:tr>
        <w:trPr>
          <w:cantSplit/>
        </w:trPr>
        <w:tc>
          <w:tcPr>
            <w:tcW w:w="3100" w:type="dxa"/>
            <w:vAlign w:val="center"/>
          </w:tcPr>
          <w:p>
            <w:pPr>
              <w:pStyle w:val="TableText"/>
            </w:pPr>
            <w:r>
              <w:t>Lifecycle state</w:t>
            </w:r>
          </w:p>
        </w:tc>
        <w:tc>
          <w:tcPr>
            <w:tcW w:w="6260" w:type="dxa"/>
            <w:vAlign w:val="center"/>
          </w:tcPr>
          <w:p>
            <w:pPr>
              <w:pStyle w:val="TableText"/>
            </w:pPr>
            <w:r>
              <w:t>training exit code 0; validation exit code 0; neither timed out; both stages completed</w:t>
            </w:r>
          </w:p>
        </w:tc>
      </w:tr>
      <w:tr>
        <w:trPr>
          <w:cantSplit/>
        </w:trPr>
        <w:tc>
          <w:tcPr>
            <w:tcW w:w="3100" w:type="dxa"/>
            <w:vAlign w:val="center"/>
          </w:tcPr>
          <w:p>
            <w:pPr>
              <w:pStyle w:val="TableText"/>
            </w:pPr>
            <w:r>
              <w:t>Epochs and global step</w:t>
            </w:r>
          </w:p>
        </w:tc>
        <w:tc>
          <w:tcPr>
            <w:tcW w:w="6260" w:type="dxa"/>
            <w:vAlign w:val="center"/>
          </w:tcPr>
          <w:p>
            <w:pPr>
              <w:pStyle w:val="TableText"/>
            </w:pPr>
            <w:r>
              <w:t>1 completed epoch; stopped at step 212,516</w:t>
            </w:r>
          </w:p>
        </w:tc>
      </w:tr>
      <w:tr>
        <w:trPr>
          <w:cantSplit/>
        </w:trPr>
        <w:tc>
          <w:tcPr>
            <w:tcW w:w="3100" w:type="dxa"/>
            <w:vAlign w:val="center"/>
          </w:tcPr>
          <w:p>
            <w:pPr>
              <w:pStyle w:val="TableText"/>
            </w:pPr>
            <w:r>
              <w:t>Processed training samples</w:t>
            </w:r>
          </w:p>
        </w:tc>
        <w:tc>
          <w:tcPr>
            <w:tcW w:w="6260" w:type="dxa"/>
            <w:vAlign w:val="center"/>
          </w:tcPr>
          <w:p>
            <w:pPr>
              <w:pStyle w:val="TableText"/>
            </w:pPr>
            <w:r>
              <w:t>54,403,968 / 151,121,135 (36.00%; about 1.80 raw-split passes)</w:t>
            </w:r>
          </w:p>
        </w:tc>
      </w:tr>
      <w:tr>
        <w:trPr>
          <w:cantSplit/>
        </w:trPr>
        <w:tc>
          <w:tcPr>
            <w:tcW w:w="3100" w:type="dxa"/>
            <w:vAlign w:val="center"/>
          </w:tcPr>
          <w:p>
            <w:pPr>
              <w:pStyle w:val="TableText"/>
            </w:pPr>
            <w:r>
              <w:t>Validation evaluations</w:t>
            </w:r>
          </w:p>
        </w:tc>
        <w:tc>
          <w:tcPr>
            <w:tcW w:w="6260" w:type="dxa"/>
            <w:vAlign w:val="center"/>
          </w:tcPr>
          <w:p>
            <w:pPr>
              <w:pStyle w:val="TableText"/>
            </w:pPr>
            <w:r>
              <w:t>9</w:t>
            </w:r>
          </w:p>
        </w:tc>
      </w:tr>
      <w:tr>
        <w:trPr>
          <w:cantSplit/>
        </w:trPr>
        <w:tc>
          <w:tcPr>
            <w:tcW w:w="3100" w:type="dxa"/>
            <w:vAlign w:val="center"/>
          </w:tcPr>
          <w:p>
            <w:pPr>
              <w:pStyle w:val="TableText"/>
            </w:pPr>
            <w:r>
              <w:t>Stop reason</w:t>
            </w:r>
          </w:p>
        </w:tc>
        <w:tc>
          <w:tcPr>
            <w:tcW w:w="6260" w:type="dxa"/>
            <w:vAlign w:val="center"/>
          </w:tcPr>
          <w:p>
            <w:pPr>
              <w:pStyle w:val="TableText"/>
            </w:pPr>
            <w:r>
              <w:t>early_stopping; early stopping after the configured patience of 5 evaluation checks</w:t>
            </w:r>
          </w:p>
        </w:tc>
      </w:tr>
      <w:tr>
        <w:trPr>
          <w:cantSplit/>
        </w:trPr>
        <w:tc>
          <w:tcPr>
            <w:tcW w:w="3100" w:type="dxa"/>
            <w:vAlign w:val="center"/>
          </w:tcPr>
          <w:p>
            <w:pPr>
              <w:pStyle w:val="TableText"/>
            </w:pPr>
            <w:r>
              <w:t>Best and final validation monitor</w:t>
            </w:r>
          </w:p>
        </w:tc>
        <w:tc>
          <w:tcPr>
            <w:tcW w:w="6260" w:type="dxa"/>
            <w:vAlign w:val="center"/>
          </w:tcPr>
          <w:p>
            <w:pPr>
              <w:pStyle w:val="TableText"/>
            </w:pPr>
            <w:r>
              <w:t>0.299333 / 0.302594</w:t>
            </w:r>
          </w:p>
        </w:tc>
      </w:tr>
      <w:tr>
        <w:trPr>
          <w:cantSplit/>
        </w:trPr>
        <w:tc>
          <w:tcPr>
            <w:tcW w:w="3100" w:type="dxa"/>
            <w:vAlign w:val="center"/>
          </w:tcPr>
          <w:p>
            <w:pPr>
              <w:pStyle w:val="TableText"/>
            </w:pPr>
            <w:r>
              <w:t>Model</w:t>
            </w:r>
          </w:p>
        </w:tc>
        <w:tc>
          <w:tcPr>
            <w:tcW w:w="6260" w:type="dxa"/>
            <w:vAlign w:val="center"/>
          </w:tcPr>
          <w:p>
            <w:pPr>
              <w:pStyle w:val="TableText"/>
            </w:pPr>
            <w:r>
              <w:t>Kronos-base + LoRA; shared causal resampler; benchmark conditioner; alpha head</w:t>
            </w:r>
          </w:p>
        </w:tc>
      </w:tr>
      <w:tr>
        <w:trPr>
          <w:cantSplit/>
        </w:trPr>
        <w:tc>
          <w:tcPr>
            <w:tcW w:w="3100" w:type="dxa"/>
            <w:vAlign w:val="center"/>
          </w:tcPr>
          <w:p>
            <w:pPr>
              <w:pStyle w:val="TableText"/>
            </w:pPr>
            <w:r>
              <w:t>Training hardware and precision</w:t>
            </w:r>
          </w:p>
        </w:tc>
        <w:tc>
          <w:tcPr>
            <w:tcW w:w="6260" w:type="dxa"/>
            <w:vAlign w:val="center"/>
          </w:tcPr>
          <w:p>
            <w:pPr>
              <w:pStyle w:val="TableText"/>
            </w:pPr>
            <w:r>
              <w:t>NVIDIA RTX PRO 6000 Blackwell Server Edition; bfloat16</w:t>
            </w:r>
          </w:p>
        </w:tc>
      </w:tr>
      <w:tr>
        <w:trPr>
          <w:cantSplit/>
        </w:trPr>
        <w:tc>
          <w:tcPr>
            <w:tcW w:w="3100" w:type="dxa"/>
            <w:vAlign w:val="center"/>
          </w:tcPr>
          <w:p>
            <w:pPr>
              <w:pStyle w:val="TableText"/>
            </w:pPr>
            <w:r>
              <w:t>Validation hardware</w:t>
            </w:r>
          </w:p>
        </w:tc>
        <w:tc>
          <w:tcPr>
            <w:tcW w:w="6260" w:type="dxa"/>
            <w:vAlign w:val="center"/>
          </w:tcPr>
          <w:p>
            <w:pPr>
              <w:pStyle w:val="TableText"/>
            </w:pPr>
            <w:r>
              <w:t>The validation benchmark does not record a separate GPU field; no hardware from another run is carried over</w:t>
            </w:r>
          </w:p>
        </w:tc>
      </w:tr>
    </w:tbl>
    <w:p>
      <w:pPr>
        <w:pStyle w:val="21"/>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checkpoint-094452</w:t>
            </w:r>
          </w:p>
        </w:tc>
        <w:tc>
          <w:tcPr>
            <w:tcW w:w="1800" w:type="dxa"/>
            <w:shd w:val="clear" w:fill="EDF5FC"/>
            <w:vAlign w:val="center"/>
          </w:tcPr>
          <w:p>
            <w:pPr>
              <w:pStyle w:val="TableNumber"/>
            </w:pPr>
            <w:r>
              <w:t>94,452</w:t>
            </w:r>
          </w:p>
        </w:tc>
        <w:tc>
          <w:tcPr>
            <w:tcW w:w="3560" w:type="dxa"/>
            <w:shd w:val="clear" w:fill="EDF5FC"/>
            <w:vAlign w:val="center"/>
          </w:tcPr>
          <w:p>
            <w:pPr>
              <w:pStyle w:val="TableNumber"/>
            </w:pPr>
            <w:r>
              <w:t>0.299333</w:t>
            </w:r>
          </w:p>
        </w:tc>
      </w:tr>
      <w:tr>
        <w:trPr>
          <w:cantSplit/>
        </w:trPr>
        <w:tc>
          <w:tcPr>
            <w:tcW w:w="900" w:type="dxa"/>
            <w:vAlign w:val="center"/>
          </w:tcPr>
          <w:p>
            <w:pPr>
              <w:pStyle w:val="TableNumber"/>
            </w:pPr>
            <w:r>
              <w:t>2</w:t>
            </w:r>
          </w:p>
        </w:tc>
        <w:tc>
          <w:tcPr>
            <w:tcW w:w="3100" w:type="dxa"/>
            <w:vAlign w:val="center"/>
          </w:tcPr>
          <w:p>
            <w:pPr>
              <w:pStyle w:val="TableText"/>
            </w:pPr>
            <w:r>
              <w:t>checkpoint-165290</w:t>
            </w:r>
          </w:p>
        </w:tc>
        <w:tc>
          <w:tcPr>
            <w:tcW w:w="1800" w:type="dxa"/>
            <w:vAlign w:val="center"/>
          </w:tcPr>
          <w:p>
            <w:pPr>
              <w:pStyle w:val="TableNumber"/>
            </w:pPr>
            <w:r>
              <w:t>165,290</w:t>
            </w:r>
          </w:p>
        </w:tc>
        <w:tc>
          <w:tcPr>
            <w:tcW w:w="3560" w:type="dxa"/>
            <w:vAlign w:val="center"/>
          </w:tcPr>
          <w:p>
            <w:pPr>
              <w:pStyle w:val="TableNumber"/>
            </w:pPr>
            <w:r>
              <w:t>0.299802</w:t>
            </w:r>
          </w:p>
        </w:tc>
      </w:tr>
      <w:tr>
        <w:trPr>
          <w:cantSplit/>
        </w:trPr>
        <w:tc>
          <w:tcPr>
            <w:tcW w:w="900" w:type="dxa"/>
            <w:vAlign w:val="center"/>
          </w:tcPr>
          <w:p>
            <w:pPr>
              <w:pStyle w:val="TableNumber"/>
            </w:pPr>
            <w:r>
              <w:t>3</w:t>
            </w:r>
          </w:p>
        </w:tc>
        <w:tc>
          <w:tcPr>
            <w:tcW w:w="3100" w:type="dxa"/>
            <w:vAlign w:val="center"/>
          </w:tcPr>
          <w:p>
            <w:pPr>
              <w:pStyle w:val="TableText"/>
            </w:pPr>
            <w:r>
              <w:t>checkpoint-118064</w:t>
            </w:r>
          </w:p>
        </w:tc>
        <w:tc>
          <w:tcPr>
            <w:tcW w:w="1800" w:type="dxa"/>
            <w:vAlign w:val="center"/>
          </w:tcPr>
          <w:p>
            <w:pPr>
              <w:pStyle w:val="TableNumber"/>
            </w:pPr>
            <w:r>
              <w:t>118,064</w:t>
            </w:r>
          </w:p>
        </w:tc>
        <w:tc>
          <w:tcPr>
            <w:tcW w:w="3560" w:type="dxa"/>
            <w:vAlign w:val="center"/>
          </w:tcPr>
          <w:p>
            <w:pPr>
              <w:pStyle w:val="TableNumber"/>
            </w:pPr>
            <w:r>
              <w:t>0.301289</w:t>
            </w:r>
          </w:p>
        </w:tc>
      </w:tr>
      <w:tr>
        <w:trPr>
          <w:cantSplit/>
        </w:trPr>
        <w:tc>
          <w:tcPr>
            <w:tcW w:w="900" w:type="dxa"/>
            <w:vAlign w:val="center"/>
          </w:tcPr>
          <w:p>
            <w:pPr>
              <w:pStyle w:val="TableNumber"/>
            </w:pPr>
            <w:r>
              <w:t>4</w:t>
            </w:r>
          </w:p>
        </w:tc>
        <w:tc>
          <w:tcPr>
            <w:tcW w:w="3100" w:type="dxa"/>
            <w:vAlign w:val="center"/>
          </w:tcPr>
          <w:p>
            <w:pPr>
              <w:pStyle w:val="TableText"/>
            </w:pPr>
            <w:r>
              <w:t>checkpoint-070839</w:t>
            </w:r>
          </w:p>
        </w:tc>
        <w:tc>
          <w:tcPr>
            <w:tcW w:w="1800" w:type="dxa"/>
            <w:vAlign w:val="center"/>
          </w:tcPr>
          <w:p>
            <w:pPr>
              <w:pStyle w:val="TableNumber"/>
            </w:pPr>
            <w:r>
              <w:t>70,839</w:t>
            </w:r>
          </w:p>
        </w:tc>
        <w:tc>
          <w:tcPr>
            <w:tcW w:w="3560" w:type="dxa"/>
            <w:vAlign w:val="center"/>
          </w:tcPr>
          <w:p>
            <w:pPr>
              <w:pStyle w:val="TableNumber"/>
            </w:pPr>
            <w:r>
              <w:t>0.301777</w:t>
            </w:r>
          </w:p>
        </w:tc>
      </w:tr>
      <w:tr>
        <w:trPr>
          <w:cantSplit/>
        </w:trPr>
        <w:tc>
          <w:tcPr>
            <w:tcW w:w="900" w:type="dxa"/>
            <w:vAlign w:val="center"/>
          </w:tcPr>
          <w:p>
            <w:pPr>
              <w:pStyle w:val="TableNumber"/>
            </w:pPr>
            <w:r>
              <w:t>5</w:t>
            </w:r>
          </w:p>
        </w:tc>
        <w:tc>
          <w:tcPr>
            <w:tcW w:w="3100" w:type="dxa"/>
            <w:vAlign w:val="center"/>
          </w:tcPr>
          <w:p>
            <w:pPr>
              <w:pStyle w:val="TableText"/>
            </w:pPr>
            <w:r>
              <w:t>checkpoint-212516</w:t>
            </w:r>
          </w:p>
        </w:tc>
        <w:tc>
          <w:tcPr>
            <w:tcW w:w="1800" w:type="dxa"/>
            <w:vAlign w:val="center"/>
          </w:tcPr>
          <w:p>
            <w:pPr>
              <w:pStyle w:val="TableNumber"/>
            </w:pPr>
            <w:r>
              <w:t>212,516</w:t>
            </w:r>
          </w:p>
        </w:tc>
        <w:tc>
          <w:tcPr>
            <w:tcW w:w="3560" w:type="dxa"/>
            <w:vAlign w:val="center"/>
          </w:tcPr>
          <w:p>
            <w:pPr>
              <w:pStyle w:val="TableNumber"/>
            </w:pPr>
            <w:r>
              <w:t>0.302594</w:t>
            </w:r>
          </w:p>
        </w:tc>
      </w:tr>
    </w:tbl>
    <w:p>
      <w:pPr>
        <w:pStyle w:val="a"/>
      </w:pPr>
      <w:r>
        <w:t>Checkpoint checkpoint-094452 has a validation monitor of 0.299333 and a test score of 0.313541. The final training monitor is 0.302594, 1.09% above the best validation value. Early stopping followed 9 validation evaluations. Production inference must use the best-checkpoint.json target, not the final completion-result adapter.</w:t>
      </w:r>
    </w:p>
    <w:p>
      <w:pPr>
        <w:pStyle w:val="11"/>
      </w:pPr>
      <w:r>
        <w:t>5. All-horizon comparison of thirteen models</w:t>
      </w:r>
    </w:p>
    <w:p>
      <w:pPr>
        <w:pStyle w:val="Decision"/>
        <w:keepNext/>
        <w:spacing w:after="80"/>
      </w:pPr>
      <w:r>
        <w:t>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Coverage</w:t>
            </w:r>
          </w:p>
        </w:tc>
        <w:tc>
          <w:tcPr>
            <w:tcW w:w="1330" w:type="dxa"/>
            <w:shd w:val="clear" w:fill="DCE6F1"/>
            <w:vAlign w:val="center"/>
          </w:tcPr>
          <w:p>
            <w:pPr>
              <w:pStyle w:val="TableHeader"/>
            </w:pPr>
            <w:r>
              <w:t>q50 corr.</w:t>
            </w:r>
          </w:p>
        </w:tc>
        <w:tc>
          <w:tcPr>
            <w:tcW w:w="1350" w:type="dxa"/>
            <w:shd w:val="clear" w:fill="DCE6F1"/>
            <w:vAlign w:val="center"/>
          </w:tcPr>
          <w:p>
            <w:pPr>
              <w:pStyle w:val="TableHeader"/>
            </w:pPr>
            <w:r>
              <w:t>Net Sharpe</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0.313541</w:t>
            </w:r>
          </w:p>
        </w:tc>
        <w:tc>
          <w:tcPr>
            <w:tcW w:w="1330" w:type="dxa"/>
            <w:shd w:val="clear" w:fill="EDF5FC"/>
            <w:vAlign w:val="center"/>
          </w:tcPr>
          <w:p>
            <w:pPr>
              <w:pStyle w:val="TableNumber"/>
            </w:pPr>
            <w:r>
              <w:t>71.02%</w:t>
            </w:r>
          </w:p>
        </w:tc>
        <w:tc>
          <w:tcPr>
            <w:tcW w:w="1330" w:type="dxa"/>
            <w:shd w:val="clear" w:fill="EDF5FC"/>
            <w:vAlign w:val="center"/>
          </w:tcPr>
          <w:p>
            <w:pPr>
              <w:pStyle w:val="TableNumber"/>
            </w:pPr>
            <w:r>
              <w:t>0.0980</w:t>
            </w:r>
          </w:p>
        </w:tc>
        <w:tc>
          <w:tcPr>
            <w:tcW w:w="1350" w:type="dxa"/>
            <w:shd w:val="clear" w:fill="EDF5FC"/>
            <w:vAlign w:val="center"/>
          </w:tcPr>
          <w:p>
            <w:pPr>
              <w:pStyle w:val="TableNumber"/>
            </w:pPr>
            <w:r>
              <w:t>1.587</w:t>
            </w:r>
          </w:p>
        </w:tc>
      </w:tr>
      <w:tr>
        <w:trPr>
          <w:cantSplit/>
        </w:trPr>
        <w:tc>
          <w:tcPr>
            <w:tcW w:w="650" w:type="dxa"/>
            <w:vAlign w:val="center"/>
          </w:tcPr>
          <w:p>
            <w:pPr>
              <w:pStyle w:val="TableNumber"/>
            </w:pPr>
            <w:r>
              <w:t>2</w:t>
            </w:r>
          </w:p>
        </w:tc>
        <w:tc>
          <w:tcPr>
            <w:tcW w:w="2800" w:type="dxa"/>
            <w:vAlign w:val="center"/>
          </w:tcPr>
          <w:p>
            <w:pPr>
              <w:pStyle w:val="TableText"/>
            </w:pPr>
            <w:r>
              <w:t>Quantile GBDT</w:t>
            </w:r>
          </w:p>
        </w:tc>
        <w:tc>
          <w:tcPr>
            <w:tcW w:w="1900" w:type="dxa"/>
            <w:vAlign w:val="center"/>
          </w:tcPr>
          <w:p>
            <w:pPr>
              <w:pStyle w:val="TableNumber"/>
            </w:pPr>
            <w:r>
              <w:t>0.317588</w:t>
            </w:r>
          </w:p>
        </w:tc>
        <w:tc>
          <w:tcPr>
            <w:tcW w:w="1330" w:type="dxa"/>
            <w:vAlign w:val="center"/>
          </w:tcPr>
          <w:p>
            <w:pPr>
              <w:pStyle w:val="TableNumber"/>
            </w:pPr>
            <w:r>
              <w:t>73.98%</w:t>
            </w:r>
          </w:p>
        </w:tc>
        <w:tc>
          <w:tcPr>
            <w:tcW w:w="1330" w:type="dxa"/>
            <w:vAlign w:val="center"/>
          </w:tcPr>
          <w:p>
            <w:pPr>
              <w:pStyle w:val="TableNumber"/>
            </w:pPr>
            <w:r>
              <w:t>0.0240</w:t>
            </w:r>
          </w:p>
        </w:tc>
        <w:tc>
          <w:tcPr>
            <w:tcW w:w="1350" w:type="dxa"/>
            <w:vAlign w:val="center"/>
          </w:tcPr>
          <w:p>
            <w:pPr>
              <w:pStyle w:val="TableNumber"/>
            </w:pPr>
            <w:r>
              <w:t>-0.231</w:t>
            </w:r>
          </w:p>
        </w:tc>
      </w:tr>
      <w:tr>
        <w:trPr>
          <w:cantSplit/>
        </w:trPr>
        <w:tc>
          <w:tcPr>
            <w:tcW w:w="650" w:type="dxa"/>
            <w:vAlign w:val="center"/>
          </w:tcPr>
          <w:p>
            <w:pPr>
              <w:pStyle w:val="TableNumber"/>
            </w:pPr>
            <w:r>
              <w:t>3</w:t>
            </w:r>
          </w:p>
        </w:tc>
        <w:tc>
          <w:tcPr>
            <w:tcW w:w="2800" w:type="dxa"/>
            <w:vAlign w:val="center"/>
          </w:tcPr>
          <w:p>
            <w:pPr>
              <w:pStyle w:val="TableText"/>
            </w:pPr>
            <w:r>
              <w:t>Paired GRU</w:t>
            </w:r>
          </w:p>
        </w:tc>
        <w:tc>
          <w:tcPr>
            <w:tcW w:w="1900" w:type="dxa"/>
            <w:vAlign w:val="center"/>
          </w:tcPr>
          <w:p>
            <w:pPr>
              <w:pStyle w:val="TableNumber"/>
            </w:pPr>
            <w:r>
              <w:t>0.320950</w:t>
            </w:r>
          </w:p>
        </w:tc>
        <w:tc>
          <w:tcPr>
            <w:tcW w:w="1330" w:type="dxa"/>
            <w:vAlign w:val="center"/>
          </w:tcPr>
          <w:p>
            <w:pPr>
              <w:pStyle w:val="TableNumber"/>
            </w:pPr>
            <w:r>
              <w:t>74.28%</w:t>
            </w:r>
          </w:p>
        </w:tc>
        <w:tc>
          <w:tcPr>
            <w:tcW w:w="1330" w:type="dxa"/>
            <w:vAlign w:val="center"/>
          </w:tcPr>
          <w:p>
            <w:pPr>
              <w:pStyle w:val="TableNumber"/>
            </w:pPr>
            <w:r>
              <w:t>0.0060</w:t>
            </w:r>
          </w:p>
        </w:tc>
        <w:tc>
          <w:tcPr>
            <w:tcW w:w="1350" w:type="dxa"/>
            <w:vAlign w:val="center"/>
          </w:tcPr>
          <w:p>
            <w:pPr>
              <w:pStyle w:val="TableNumber"/>
            </w:pPr>
            <w:r>
              <w:t>-0.797</w:t>
            </w:r>
          </w:p>
        </w:tc>
      </w:tr>
      <w:tr>
        <w:trPr>
          <w:cantSplit/>
        </w:trPr>
        <w:tc>
          <w:tcPr>
            <w:tcW w:w="650" w:type="dxa"/>
            <w:vAlign w:val="center"/>
          </w:tcPr>
          <w:p>
            <w:pPr>
              <w:pStyle w:val="TableNumber"/>
            </w:pPr>
            <w:r>
              <w:t>4</w:t>
            </w:r>
          </w:p>
        </w:tc>
        <w:tc>
          <w:tcPr>
            <w:tcW w:w="2800" w:type="dxa"/>
            <w:vAlign w:val="center"/>
          </w:tcPr>
          <w:p>
            <w:pPr>
              <w:pStyle w:val="TableText"/>
            </w:pPr>
            <w:r>
              <w:t>Compact PatchTST</w:t>
            </w:r>
          </w:p>
        </w:tc>
        <w:tc>
          <w:tcPr>
            <w:tcW w:w="1900" w:type="dxa"/>
            <w:vAlign w:val="center"/>
          </w:tcPr>
          <w:p>
            <w:pPr>
              <w:pStyle w:val="TableNumber"/>
            </w:pPr>
            <w:r>
              <w:t>0.328600</w:t>
            </w:r>
          </w:p>
        </w:tc>
        <w:tc>
          <w:tcPr>
            <w:tcW w:w="1330" w:type="dxa"/>
            <w:vAlign w:val="center"/>
          </w:tcPr>
          <w:p>
            <w:pPr>
              <w:pStyle w:val="TableNumber"/>
            </w:pPr>
            <w:r>
              <w:t>73.67%</w:t>
            </w:r>
          </w:p>
        </w:tc>
        <w:tc>
          <w:tcPr>
            <w:tcW w:w="1330" w:type="dxa"/>
            <w:vAlign w:val="center"/>
          </w:tcPr>
          <w:p>
            <w:pPr>
              <w:pStyle w:val="TableNumber"/>
            </w:pPr>
            <w:r>
              <w:t>0.0075</w:t>
            </w:r>
          </w:p>
        </w:tc>
        <w:tc>
          <w:tcPr>
            <w:tcW w:w="1350" w:type="dxa"/>
            <w:vAlign w:val="center"/>
          </w:tcPr>
          <w:p>
            <w:pPr>
              <w:pStyle w:val="TableNumber"/>
            </w:pPr>
            <w:r>
              <w:t>0.106</w:t>
            </w:r>
          </w:p>
        </w:tc>
      </w:tr>
      <w:tr>
        <w:trPr>
          <w:cantSplit/>
        </w:trPr>
        <w:tc>
          <w:tcPr>
            <w:tcW w:w="650" w:type="dxa"/>
            <w:vAlign w:val="center"/>
          </w:tcPr>
          <w:p>
            <w:pPr>
              <w:pStyle w:val="TableNumber"/>
            </w:pPr>
            <w:r>
              <w:t>5</w:t>
            </w:r>
          </w:p>
        </w:tc>
        <w:tc>
          <w:tcPr>
            <w:tcW w:w="2800" w:type="dxa"/>
            <w:vAlign w:val="center"/>
          </w:tcPr>
          <w:p>
            <w:pPr>
              <w:pStyle w:val="TableText"/>
            </w:pPr>
            <w:r>
              <w:t>Always-bullish distribution</w:t>
            </w:r>
          </w:p>
        </w:tc>
        <w:tc>
          <w:tcPr>
            <w:tcW w:w="1900" w:type="dxa"/>
            <w:vAlign w:val="center"/>
          </w:tcPr>
          <w:p>
            <w:pPr>
              <w:pStyle w:val="TableNumber"/>
            </w:pPr>
            <w:r>
              <w:t>0.332559</w:t>
            </w:r>
          </w:p>
        </w:tc>
        <w:tc>
          <w:tcPr>
            <w:tcW w:w="1330" w:type="dxa"/>
            <w:vAlign w:val="center"/>
          </w:tcPr>
          <w:p>
            <w:pPr>
              <w:pStyle w:val="TableNumber"/>
            </w:pPr>
            <w:r>
              <w:t>82.17%</w:t>
            </w:r>
          </w:p>
        </w:tc>
        <w:tc>
          <w:tcPr>
            <w:tcW w:w="1330" w:type="dxa"/>
            <w:vAlign w:val="center"/>
          </w:tcPr>
          <w:p>
            <w:pPr>
              <w:pStyle w:val="TableNumber"/>
            </w:pPr>
            <w:r>
              <w:t>0.0000</w:t>
            </w:r>
          </w:p>
        </w:tc>
        <w:tc>
          <w:tcPr>
            <w:tcW w:w="1350" w:type="dxa"/>
            <w:vAlign w:val="center"/>
          </w:tcPr>
          <w:p>
            <w:pPr>
              <w:pStyle w:val="TableNumber"/>
            </w:pPr>
            <w:r>
              <w:t>0.000</w:t>
            </w:r>
          </w:p>
        </w:tc>
      </w:tr>
      <w:tr>
        <w:trPr>
          <w:cantSplit/>
        </w:trPr>
        <w:tc>
          <w:tcPr>
            <w:tcW w:w="650" w:type="dxa"/>
            <w:vAlign w:val="center"/>
          </w:tcPr>
          <w:p>
            <w:pPr>
              <w:pStyle w:val="TableNumber"/>
            </w:pPr>
            <w:r>
              <w:t>6</w:t>
            </w:r>
          </w:p>
        </w:tc>
        <w:tc>
          <w:tcPr>
            <w:tcW w:w="2800" w:type="dxa"/>
            <w:vAlign w:val="center"/>
          </w:tcPr>
          <w:p>
            <w:pPr>
              <w:pStyle w:val="TableText"/>
            </w:pPr>
            <w:r>
              <w:t>Zero-return distribution</w:t>
            </w:r>
          </w:p>
        </w:tc>
        <w:tc>
          <w:tcPr>
            <w:tcW w:w="1900" w:type="dxa"/>
            <w:vAlign w:val="center"/>
          </w:tcPr>
          <w:p>
            <w:pPr>
              <w:pStyle w:val="TableNumber"/>
            </w:pPr>
            <w:r>
              <w:t>0.332559</w:t>
            </w:r>
          </w:p>
        </w:tc>
        <w:tc>
          <w:tcPr>
            <w:tcW w:w="1330" w:type="dxa"/>
            <w:vAlign w:val="center"/>
          </w:tcPr>
          <w:p>
            <w:pPr>
              <w:pStyle w:val="TableNumber"/>
            </w:pPr>
            <w:r>
              <w:t>82.17%</w:t>
            </w:r>
          </w:p>
        </w:tc>
        <w:tc>
          <w:tcPr>
            <w:tcW w:w="1330" w:type="dxa"/>
            <w:vAlign w:val="center"/>
          </w:tcPr>
          <w:p>
            <w:pPr>
              <w:pStyle w:val="TableNumber"/>
            </w:pPr>
            <w:r>
              <w:t>-0.0000</w:t>
            </w:r>
          </w:p>
        </w:tc>
        <w:tc>
          <w:tcPr>
            <w:tcW w:w="1350" w:type="dxa"/>
            <w:vAlign w:val="center"/>
          </w:tcPr>
          <w:p>
            <w:pPr>
              <w:pStyle w:val="TableNumber"/>
            </w:pPr>
            <w:r>
              <w:t>0.000</w:t>
            </w:r>
          </w:p>
        </w:tc>
      </w:tr>
    </w:tbl>
    <w:p>
      <w:pPr>
        <w:pStyle w:val="a"/>
      </w:pPr>
      <w:r>
        <w:t>Kronos ranks first of 13 on the all-horizon test score, and its per-horizon normalized pinball ranks first at every day among nine models with complete outputs. This is a descriptive fixed-holdout comparison, not checkpoint selection; the previous run has different dataset and symbol-date membership, so no like-for-like score gain is claimed.</w:t>
      </w:r>
    </w:p>
    <w:p>
      <w:pPr>
        <w:pStyle w:val="11"/>
      </w:pPr>
      <w:r>
        <w:t>6. Complete results for days one through fourteen</w:t>
      </w:r>
    </w:p>
    <w:p>
      <w:pPr>
        <w:pStyle w:val="21"/>
      </w:pPr>
      <w:r>
        <w:t>6.1 Error and comparability across horizons</w:t>
      </w:r>
    </w:p>
    <w:p>
      <w:pPr>
        <w:pStyle w:val="Decision"/>
        <w:keepNext/>
        <w:spacing w:after="80"/>
      </w:pPr>
      <w:r>
        <w:t>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0.01711</w:t>
            </w:r>
          </w:p>
        </w:tc>
        <w:tc>
          <w:tcPr>
            <w:tcW w:w="1550" w:type="dxa"/>
            <w:vAlign w:val="center"/>
          </w:tcPr>
          <w:p>
            <w:pPr>
              <w:pStyle w:val="TableNumber"/>
            </w:pPr>
            <w:r>
              <w:t>0.00631</w:t>
            </w:r>
          </w:p>
        </w:tc>
        <w:tc>
          <w:tcPr>
            <w:tcW w:w="1550" w:type="dxa"/>
            <w:vAlign w:val="center"/>
          </w:tcPr>
          <w:p>
            <w:pPr>
              <w:pStyle w:val="TableNumber"/>
            </w:pPr>
            <w:r>
              <w:t>0.36882</w:t>
            </w:r>
          </w:p>
        </w:tc>
        <w:tc>
          <w:tcPr>
            <w:tcW w:w="1050" w:type="dxa"/>
            <w:vAlign w:val="center"/>
          </w:tcPr>
          <w:p>
            <w:pPr>
              <w:pStyle w:val="TableNumber"/>
            </w:pPr>
            <w:r>
              <w:t>1/9</w:t>
            </w:r>
          </w:p>
        </w:tc>
        <w:tc>
          <w:tcPr>
            <w:tcW w:w="1550" w:type="dxa"/>
            <w:vAlign w:val="center"/>
          </w:tcPr>
          <w:p>
            <w:pPr>
              <w:pStyle w:val="TableNumber"/>
            </w:pPr>
            <w:r>
              <w:t>0.01865</w:t>
            </w:r>
          </w:p>
        </w:tc>
        <w:tc>
          <w:tcPr>
            <w:tcW w:w="1610" w:type="dxa"/>
            <w:vAlign w:val="center"/>
          </w:tcPr>
          <w:p>
            <w:pPr>
              <w:pStyle w:val="TableNumber"/>
            </w:pPr>
            <w:r>
              <w:t>1.0900</w:t>
            </w:r>
          </w:p>
        </w:tc>
      </w:tr>
      <w:tr>
        <w:trPr>
          <w:cantSplit/>
        </w:trPr>
        <w:tc>
          <w:tcPr>
            <w:tcW w:w="650" w:type="dxa"/>
            <w:vAlign w:val="center"/>
          </w:tcPr>
          <w:p>
            <w:pPr>
              <w:pStyle w:val="TableText"/>
            </w:pPr>
            <w:r>
              <w:t>2d</w:t>
            </w:r>
          </w:p>
        </w:tc>
        <w:tc>
          <w:tcPr>
            <w:tcW w:w="1400" w:type="dxa"/>
            <w:vAlign w:val="center"/>
          </w:tcPr>
          <w:p>
            <w:pPr>
              <w:pStyle w:val="TableNumber"/>
            </w:pPr>
            <w:r>
              <w:t>0.02958</w:t>
            </w:r>
          </w:p>
        </w:tc>
        <w:tc>
          <w:tcPr>
            <w:tcW w:w="1550" w:type="dxa"/>
            <w:vAlign w:val="center"/>
          </w:tcPr>
          <w:p>
            <w:pPr>
              <w:pStyle w:val="TableNumber"/>
            </w:pPr>
            <w:r>
              <w:t>0.00978</w:t>
            </w:r>
          </w:p>
        </w:tc>
        <w:tc>
          <w:tcPr>
            <w:tcW w:w="1550" w:type="dxa"/>
            <w:vAlign w:val="center"/>
          </w:tcPr>
          <w:p>
            <w:pPr>
              <w:pStyle w:val="TableNumber"/>
            </w:pPr>
            <w:r>
              <w:t>0.33066</w:t>
            </w:r>
          </w:p>
        </w:tc>
        <w:tc>
          <w:tcPr>
            <w:tcW w:w="1050" w:type="dxa"/>
            <w:vAlign w:val="center"/>
          </w:tcPr>
          <w:p>
            <w:pPr>
              <w:pStyle w:val="TableNumber"/>
            </w:pPr>
            <w:r>
              <w:t>1/9</w:t>
            </w:r>
          </w:p>
        </w:tc>
        <w:tc>
          <w:tcPr>
            <w:tcW w:w="1550" w:type="dxa"/>
            <w:vAlign w:val="center"/>
          </w:tcPr>
          <w:p>
            <w:pPr>
              <w:pStyle w:val="TableNumber"/>
            </w:pPr>
            <w:r>
              <w:t>0.02904</w:t>
            </w:r>
          </w:p>
        </w:tc>
        <w:tc>
          <w:tcPr>
            <w:tcW w:w="1610" w:type="dxa"/>
            <w:vAlign w:val="center"/>
          </w:tcPr>
          <w:p>
            <w:pPr>
              <w:pStyle w:val="TableNumber"/>
            </w:pPr>
            <w:r>
              <w:t>0.9819</w:t>
            </w:r>
          </w:p>
        </w:tc>
      </w:tr>
      <w:tr>
        <w:trPr>
          <w:cantSplit/>
        </w:trPr>
        <w:tc>
          <w:tcPr>
            <w:tcW w:w="650" w:type="dxa"/>
            <w:vAlign w:val="center"/>
          </w:tcPr>
          <w:p>
            <w:pPr>
              <w:pStyle w:val="TableText"/>
            </w:pPr>
            <w:r>
              <w:t>3d</w:t>
            </w:r>
          </w:p>
        </w:tc>
        <w:tc>
          <w:tcPr>
            <w:tcW w:w="1400" w:type="dxa"/>
            <w:vAlign w:val="center"/>
          </w:tcPr>
          <w:p>
            <w:pPr>
              <w:pStyle w:val="TableNumber"/>
            </w:pPr>
            <w:r>
              <w:t>0.03812</w:t>
            </w:r>
          </w:p>
        </w:tc>
        <w:tc>
          <w:tcPr>
            <w:tcW w:w="1550" w:type="dxa"/>
            <w:vAlign w:val="center"/>
          </w:tcPr>
          <w:p>
            <w:pPr>
              <w:pStyle w:val="TableNumber"/>
            </w:pPr>
            <w:r>
              <w:t>0.01223</w:t>
            </w:r>
          </w:p>
        </w:tc>
        <w:tc>
          <w:tcPr>
            <w:tcW w:w="1550" w:type="dxa"/>
            <w:vAlign w:val="center"/>
          </w:tcPr>
          <w:p>
            <w:pPr>
              <w:pStyle w:val="TableNumber"/>
            </w:pPr>
            <w:r>
              <w:t>0.32070</w:t>
            </w:r>
          </w:p>
        </w:tc>
        <w:tc>
          <w:tcPr>
            <w:tcW w:w="1050" w:type="dxa"/>
            <w:vAlign w:val="center"/>
          </w:tcPr>
          <w:p>
            <w:pPr>
              <w:pStyle w:val="TableNumber"/>
            </w:pPr>
            <w:r>
              <w:t>1/9</w:t>
            </w:r>
          </w:p>
        </w:tc>
        <w:tc>
          <w:tcPr>
            <w:tcW w:w="1550" w:type="dxa"/>
            <w:vAlign w:val="center"/>
          </w:tcPr>
          <w:p>
            <w:pPr>
              <w:pStyle w:val="TableNumber"/>
            </w:pPr>
            <w:r>
              <w:t>0.03626</w:t>
            </w:r>
          </w:p>
        </w:tc>
        <w:tc>
          <w:tcPr>
            <w:tcW w:w="1610" w:type="dxa"/>
            <w:vAlign w:val="center"/>
          </w:tcPr>
          <w:p>
            <w:pPr>
              <w:pStyle w:val="TableNumber"/>
            </w:pPr>
            <w:r>
              <w:t>0.9511</w:t>
            </w:r>
          </w:p>
        </w:tc>
      </w:tr>
      <w:tr>
        <w:trPr>
          <w:cantSplit/>
        </w:trPr>
        <w:tc>
          <w:tcPr>
            <w:tcW w:w="650" w:type="dxa"/>
            <w:vAlign w:val="center"/>
          </w:tcPr>
          <w:p>
            <w:pPr>
              <w:pStyle w:val="TableText"/>
            </w:pPr>
            <w:r>
              <w:t>4d</w:t>
            </w:r>
          </w:p>
        </w:tc>
        <w:tc>
          <w:tcPr>
            <w:tcW w:w="1400" w:type="dxa"/>
            <w:vAlign w:val="center"/>
          </w:tcPr>
          <w:p>
            <w:pPr>
              <w:pStyle w:val="TableNumber"/>
            </w:pPr>
            <w:r>
              <w:t>0.04485</w:t>
            </w:r>
          </w:p>
        </w:tc>
        <w:tc>
          <w:tcPr>
            <w:tcW w:w="1550" w:type="dxa"/>
            <w:vAlign w:val="center"/>
          </w:tcPr>
          <w:p>
            <w:pPr>
              <w:pStyle w:val="TableNumber"/>
            </w:pPr>
            <w:r>
              <w:t>0.01427</w:t>
            </w:r>
          </w:p>
        </w:tc>
        <w:tc>
          <w:tcPr>
            <w:tcW w:w="1550" w:type="dxa"/>
            <w:vAlign w:val="center"/>
          </w:tcPr>
          <w:p>
            <w:pPr>
              <w:pStyle w:val="TableNumber"/>
            </w:pPr>
            <w:r>
              <w:t>0.31808</w:t>
            </w:r>
          </w:p>
        </w:tc>
        <w:tc>
          <w:tcPr>
            <w:tcW w:w="1050" w:type="dxa"/>
            <w:vAlign w:val="center"/>
          </w:tcPr>
          <w:p>
            <w:pPr>
              <w:pStyle w:val="TableNumber"/>
            </w:pPr>
            <w:r>
              <w:t>1/9</w:t>
            </w:r>
          </w:p>
        </w:tc>
        <w:tc>
          <w:tcPr>
            <w:tcW w:w="1550" w:type="dxa"/>
            <w:vAlign w:val="center"/>
          </w:tcPr>
          <w:p>
            <w:pPr>
              <w:pStyle w:val="TableNumber"/>
            </w:pPr>
            <w:r>
              <w:t>0.04243</w:t>
            </w:r>
          </w:p>
        </w:tc>
        <w:tc>
          <w:tcPr>
            <w:tcW w:w="1610" w:type="dxa"/>
            <w:vAlign w:val="center"/>
          </w:tcPr>
          <w:p>
            <w:pPr>
              <w:pStyle w:val="TableNumber"/>
            </w:pPr>
            <w:r>
              <w:t>0.9459</w:t>
            </w:r>
          </w:p>
        </w:tc>
      </w:tr>
      <w:tr>
        <w:trPr>
          <w:cantSplit/>
        </w:trPr>
        <w:tc>
          <w:tcPr>
            <w:tcW w:w="650" w:type="dxa"/>
            <w:vAlign w:val="center"/>
          </w:tcPr>
          <w:p>
            <w:pPr>
              <w:pStyle w:val="TableText"/>
            </w:pPr>
            <w:r>
              <w:t>5d</w:t>
            </w:r>
          </w:p>
        </w:tc>
        <w:tc>
          <w:tcPr>
            <w:tcW w:w="1400" w:type="dxa"/>
            <w:vAlign w:val="center"/>
          </w:tcPr>
          <w:p>
            <w:pPr>
              <w:pStyle w:val="TableNumber"/>
            </w:pPr>
            <w:r>
              <w:t>0.05100</w:t>
            </w:r>
          </w:p>
        </w:tc>
        <w:tc>
          <w:tcPr>
            <w:tcW w:w="1550" w:type="dxa"/>
            <w:vAlign w:val="center"/>
          </w:tcPr>
          <w:p>
            <w:pPr>
              <w:pStyle w:val="TableNumber"/>
            </w:pPr>
            <w:r>
              <w:t>0.01606</w:t>
            </w:r>
          </w:p>
        </w:tc>
        <w:tc>
          <w:tcPr>
            <w:tcW w:w="1550" w:type="dxa"/>
            <w:vAlign w:val="center"/>
          </w:tcPr>
          <w:p>
            <w:pPr>
              <w:pStyle w:val="TableNumber"/>
            </w:pPr>
            <w:r>
              <w:t>0.31497</w:t>
            </w:r>
          </w:p>
        </w:tc>
        <w:tc>
          <w:tcPr>
            <w:tcW w:w="1050" w:type="dxa"/>
            <w:vAlign w:val="center"/>
          </w:tcPr>
          <w:p>
            <w:pPr>
              <w:pStyle w:val="TableNumber"/>
            </w:pPr>
            <w:r>
              <w:t>1/9</w:t>
            </w:r>
          </w:p>
        </w:tc>
        <w:tc>
          <w:tcPr>
            <w:tcW w:w="1550" w:type="dxa"/>
            <w:vAlign w:val="center"/>
          </w:tcPr>
          <w:p>
            <w:pPr>
              <w:pStyle w:val="TableNumber"/>
            </w:pPr>
            <w:r>
              <w:t>0.04782</w:t>
            </w:r>
          </w:p>
        </w:tc>
        <w:tc>
          <w:tcPr>
            <w:tcW w:w="1610" w:type="dxa"/>
            <w:vAlign w:val="center"/>
          </w:tcPr>
          <w:p>
            <w:pPr>
              <w:pStyle w:val="TableNumber"/>
            </w:pPr>
            <w:r>
              <w:t>0.9376</w:t>
            </w:r>
          </w:p>
        </w:tc>
      </w:tr>
      <w:tr>
        <w:trPr>
          <w:cantSplit/>
        </w:trPr>
        <w:tc>
          <w:tcPr>
            <w:tcW w:w="650" w:type="dxa"/>
            <w:vAlign w:val="center"/>
          </w:tcPr>
          <w:p>
            <w:pPr>
              <w:pStyle w:val="TableText"/>
            </w:pPr>
            <w:r>
              <w:t>6d</w:t>
            </w:r>
          </w:p>
        </w:tc>
        <w:tc>
          <w:tcPr>
            <w:tcW w:w="1400" w:type="dxa"/>
            <w:vAlign w:val="center"/>
          </w:tcPr>
          <w:p>
            <w:pPr>
              <w:pStyle w:val="TableNumber"/>
            </w:pPr>
            <w:r>
              <w:t>0.05656</w:t>
            </w:r>
          </w:p>
        </w:tc>
        <w:tc>
          <w:tcPr>
            <w:tcW w:w="1550" w:type="dxa"/>
            <w:vAlign w:val="center"/>
          </w:tcPr>
          <w:p>
            <w:pPr>
              <w:pStyle w:val="TableNumber"/>
            </w:pPr>
            <w:r>
              <w:t>0.01769</w:t>
            </w:r>
          </w:p>
        </w:tc>
        <w:tc>
          <w:tcPr>
            <w:tcW w:w="1550" w:type="dxa"/>
            <w:vAlign w:val="center"/>
          </w:tcPr>
          <w:p>
            <w:pPr>
              <w:pStyle w:val="TableNumber"/>
            </w:pPr>
            <w:r>
              <w:t>0.31281</w:t>
            </w:r>
          </w:p>
        </w:tc>
        <w:tc>
          <w:tcPr>
            <w:tcW w:w="1050" w:type="dxa"/>
            <w:vAlign w:val="center"/>
          </w:tcPr>
          <w:p>
            <w:pPr>
              <w:pStyle w:val="TableNumber"/>
            </w:pPr>
            <w:r>
              <w:t>1/9</w:t>
            </w:r>
          </w:p>
        </w:tc>
        <w:tc>
          <w:tcPr>
            <w:tcW w:w="1550" w:type="dxa"/>
            <w:vAlign w:val="center"/>
          </w:tcPr>
          <w:p>
            <w:pPr>
              <w:pStyle w:val="TableNumber"/>
            </w:pPr>
            <w:r>
              <w:t>0.05274</w:t>
            </w:r>
          </w:p>
        </w:tc>
        <w:tc>
          <w:tcPr>
            <w:tcW w:w="1610" w:type="dxa"/>
            <w:vAlign w:val="center"/>
          </w:tcPr>
          <w:p>
            <w:pPr>
              <w:pStyle w:val="TableNumber"/>
            </w:pPr>
            <w:r>
              <w:t>0.9324</w:t>
            </w:r>
          </w:p>
        </w:tc>
      </w:tr>
      <w:tr>
        <w:trPr>
          <w:cantSplit/>
        </w:trPr>
        <w:tc>
          <w:tcPr>
            <w:tcW w:w="650" w:type="dxa"/>
            <w:vAlign w:val="center"/>
          </w:tcPr>
          <w:p>
            <w:pPr>
              <w:pStyle w:val="TableText"/>
            </w:pPr>
            <w:r>
              <w:t>7d</w:t>
            </w:r>
          </w:p>
        </w:tc>
        <w:tc>
          <w:tcPr>
            <w:tcW w:w="1400" w:type="dxa"/>
            <w:vAlign w:val="center"/>
          </w:tcPr>
          <w:p>
            <w:pPr>
              <w:pStyle w:val="TableNumber"/>
            </w:pPr>
            <w:r>
              <w:t>0.06162</w:t>
            </w:r>
          </w:p>
        </w:tc>
        <w:tc>
          <w:tcPr>
            <w:tcW w:w="1550" w:type="dxa"/>
            <w:vAlign w:val="center"/>
          </w:tcPr>
          <w:p>
            <w:pPr>
              <w:pStyle w:val="TableNumber"/>
            </w:pPr>
            <w:r>
              <w:t>0.01923</w:t>
            </w:r>
          </w:p>
        </w:tc>
        <w:tc>
          <w:tcPr>
            <w:tcW w:w="1550" w:type="dxa"/>
            <w:vAlign w:val="center"/>
          </w:tcPr>
          <w:p>
            <w:pPr>
              <w:pStyle w:val="TableNumber"/>
            </w:pPr>
            <w:r>
              <w:t>0.31202</w:t>
            </w:r>
          </w:p>
        </w:tc>
        <w:tc>
          <w:tcPr>
            <w:tcW w:w="1050" w:type="dxa"/>
            <w:vAlign w:val="center"/>
          </w:tcPr>
          <w:p>
            <w:pPr>
              <w:pStyle w:val="TableNumber"/>
            </w:pPr>
            <w:r>
              <w:t>1/9</w:t>
            </w:r>
          </w:p>
        </w:tc>
        <w:tc>
          <w:tcPr>
            <w:tcW w:w="1550" w:type="dxa"/>
            <w:vAlign w:val="center"/>
          </w:tcPr>
          <w:p>
            <w:pPr>
              <w:pStyle w:val="TableNumber"/>
            </w:pPr>
            <w:r>
              <w:t>0.05734</w:t>
            </w:r>
          </w:p>
        </w:tc>
        <w:tc>
          <w:tcPr>
            <w:tcW w:w="1610" w:type="dxa"/>
            <w:vAlign w:val="center"/>
          </w:tcPr>
          <w:p>
            <w:pPr>
              <w:pStyle w:val="TableNumber"/>
            </w:pPr>
            <w:r>
              <w:t>0.9305</w:t>
            </w:r>
          </w:p>
        </w:tc>
      </w:tr>
      <w:tr>
        <w:trPr>
          <w:cantSplit/>
        </w:trPr>
        <w:tc>
          <w:tcPr>
            <w:tcW w:w="650" w:type="dxa"/>
            <w:vAlign w:val="center"/>
          </w:tcPr>
          <w:p>
            <w:pPr>
              <w:pStyle w:val="TableText"/>
            </w:pPr>
            <w:r>
              <w:t>8d</w:t>
            </w:r>
          </w:p>
        </w:tc>
        <w:tc>
          <w:tcPr>
            <w:tcW w:w="1400" w:type="dxa"/>
            <w:vAlign w:val="center"/>
          </w:tcPr>
          <w:p>
            <w:pPr>
              <w:pStyle w:val="TableNumber"/>
            </w:pPr>
            <w:r>
              <w:t>0.06659</w:t>
            </w:r>
          </w:p>
        </w:tc>
        <w:tc>
          <w:tcPr>
            <w:tcW w:w="1550" w:type="dxa"/>
            <w:vAlign w:val="center"/>
          </w:tcPr>
          <w:p>
            <w:pPr>
              <w:pStyle w:val="TableNumber"/>
            </w:pPr>
            <w:r>
              <w:t>0.02050</w:t>
            </w:r>
          </w:p>
        </w:tc>
        <w:tc>
          <w:tcPr>
            <w:tcW w:w="1550" w:type="dxa"/>
            <w:vAlign w:val="center"/>
          </w:tcPr>
          <w:p>
            <w:pPr>
              <w:pStyle w:val="TableNumber"/>
            </w:pPr>
            <w:r>
              <w:t>0.30778</w:t>
            </w:r>
          </w:p>
        </w:tc>
        <w:tc>
          <w:tcPr>
            <w:tcW w:w="1050" w:type="dxa"/>
            <w:vAlign w:val="center"/>
          </w:tcPr>
          <w:p>
            <w:pPr>
              <w:pStyle w:val="TableNumber"/>
            </w:pPr>
            <w:r>
              <w:t>1/9</w:t>
            </w:r>
          </w:p>
        </w:tc>
        <w:tc>
          <w:tcPr>
            <w:tcW w:w="1550" w:type="dxa"/>
            <w:vAlign w:val="center"/>
          </w:tcPr>
          <w:p>
            <w:pPr>
              <w:pStyle w:val="TableNumber"/>
            </w:pPr>
            <w:r>
              <w:t>0.06113</w:t>
            </w:r>
          </w:p>
        </w:tc>
        <w:tc>
          <w:tcPr>
            <w:tcW w:w="1610" w:type="dxa"/>
            <w:vAlign w:val="center"/>
          </w:tcPr>
          <w:p>
            <w:pPr>
              <w:pStyle w:val="TableNumber"/>
            </w:pPr>
            <w:r>
              <w:t>0.9180</w:t>
            </w:r>
          </w:p>
        </w:tc>
      </w:tr>
      <w:tr>
        <w:trPr>
          <w:cantSplit/>
        </w:trPr>
        <w:tc>
          <w:tcPr>
            <w:tcW w:w="650" w:type="dxa"/>
            <w:vAlign w:val="center"/>
          </w:tcPr>
          <w:p>
            <w:pPr>
              <w:pStyle w:val="TableText"/>
            </w:pPr>
            <w:r>
              <w:t>9d</w:t>
            </w:r>
          </w:p>
        </w:tc>
        <w:tc>
          <w:tcPr>
            <w:tcW w:w="1400" w:type="dxa"/>
            <w:vAlign w:val="center"/>
          </w:tcPr>
          <w:p>
            <w:pPr>
              <w:pStyle w:val="TableNumber"/>
            </w:pPr>
            <w:r>
              <w:t>0.07116</w:t>
            </w:r>
          </w:p>
        </w:tc>
        <w:tc>
          <w:tcPr>
            <w:tcW w:w="1550" w:type="dxa"/>
            <w:vAlign w:val="center"/>
          </w:tcPr>
          <w:p>
            <w:pPr>
              <w:pStyle w:val="TableNumber"/>
            </w:pPr>
            <w:r>
              <w:t>0.02179</w:t>
            </w:r>
          </w:p>
        </w:tc>
        <w:tc>
          <w:tcPr>
            <w:tcW w:w="1550" w:type="dxa"/>
            <w:vAlign w:val="center"/>
          </w:tcPr>
          <w:p>
            <w:pPr>
              <w:pStyle w:val="TableNumber"/>
            </w:pPr>
            <w:r>
              <w:t>0.30622</w:t>
            </w:r>
          </w:p>
        </w:tc>
        <w:tc>
          <w:tcPr>
            <w:tcW w:w="1050" w:type="dxa"/>
            <w:vAlign w:val="center"/>
          </w:tcPr>
          <w:p>
            <w:pPr>
              <w:pStyle w:val="TableNumber"/>
            </w:pPr>
            <w:r>
              <w:t>1/9</w:t>
            </w:r>
          </w:p>
        </w:tc>
        <w:tc>
          <w:tcPr>
            <w:tcW w:w="1550" w:type="dxa"/>
            <w:vAlign w:val="center"/>
          </w:tcPr>
          <w:p>
            <w:pPr>
              <w:pStyle w:val="TableNumber"/>
            </w:pPr>
            <w:r>
              <w:t>0.06495</w:t>
            </w:r>
          </w:p>
        </w:tc>
        <w:tc>
          <w:tcPr>
            <w:tcW w:w="1610" w:type="dxa"/>
            <w:vAlign w:val="center"/>
          </w:tcPr>
          <w:p>
            <w:pPr>
              <w:pStyle w:val="TableNumber"/>
            </w:pPr>
            <w:r>
              <w:t>0.9126</w:t>
            </w:r>
          </w:p>
        </w:tc>
      </w:tr>
      <w:tr>
        <w:trPr>
          <w:cantSplit/>
        </w:trPr>
        <w:tc>
          <w:tcPr>
            <w:tcW w:w="650" w:type="dxa"/>
            <w:vAlign w:val="center"/>
          </w:tcPr>
          <w:p>
            <w:pPr>
              <w:pStyle w:val="TableText"/>
            </w:pPr>
            <w:r>
              <w:t>10d</w:t>
            </w:r>
          </w:p>
        </w:tc>
        <w:tc>
          <w:tcPr>
            <w:tcW w:w="1400" w:type="dxa"/>
            <w:vAlign w:val="center"/>
          </w:tcPr>
          <w:p>
            <w:pPr>
              <w:pStyle w:val="TableNumber"/>
            </w:pPr>
            <w:r>
              <w:t>0.07547</w:t>
            </w:r>
          </w:p>
        </w:tc>
        <w:tc>
          <w:tcPr>
            <w:tcW w:w="1550" w:type="dxa"/>
            <w:vAlign w:val="center"/>
          </w:tcPr>
          <w:p>
            <w:pPr>
              <w:pStyle w:val="TableNumber"/>
            </w:pPr>
            <w:r>
              <w:t>0.02298</w:t>
            </w:r>
          </w:p>
        </w:tc>
        <w:tc>
          <w:tcPr>
            <w:tcW w:w="1550" w:type="dxa"/>
            <w:vAlign w:val="center"/>
          </w:tcPr>
          <w:p>
            <w:pPr>
              <w:pStyle w:val="TableNumber"/>
            </w:pPr>
            <w:r>
              <w:t>0.30449</w:t>
            </w:r>
          </w:p>
        </w:tc>
        <w:tc>
          <w:tcPr>
            <w:tcW w:w="1050" w:type="dxa"/>
            <w:vAlign w:val="center"/>
          </w:tcPr>
          <w:p>
            <w:pPr>
              <w:pStyle w:val="TableNumber"/>
            </w:pPr>
            <w:r>
              <w:t>1/9</w:t>
            </w:r>
          </w:p>
        </w:tc>
        <w:tc>
          <w:tcPr>
            <w:tcW w:w="1550" w:type="dxa"/>
            <w:vAlign w:val="center"/>
          </w:tcPr>
          <w:p>
            <w:pPr>
              <w:pStyle w:val="TableNumber"/>
            </w:pPr>
            <w:r>
              <w:t>0.06858</w:t>
            </w:r>
          </w:p>
        </w:tc>
        <w:tc>
          <w:tcPr>
            <w:tcW w:w="1610" w:type="dxa"/>
            <w:vAlign w:val="center"/>
          </w:tcPr>
          <w:p>
            <w:pPr>
              <w:pStyle w:val="TableNumber"/>
            </w:pPr>
            <w:r>
              <w:t>0.9088</w:t>
            </w:r>
          </w:p>
        </w:tc>
      </w:tr>
      <w:tr>
        <w:trPr>
          <w:cantSplit/>
        </w:trPr>
        <w:tc>
          <w:tcPr>
            <w:tcW w:w="650" w:type="dxa"/>
            <w:vAlign w:val="center"/>
          </w:tcPr>
          <w:p>
            <w:pPr>
              <w:pStyle w:val="TableText"/>
            </w:pPr>
            <w:r>
              <w:t>11d</w:t>
            </w:r>
          </w:p>
        </w:tc>
        <w:tc>
          <w:tcPr>
            <w:tcW w:w="1400" w:type="dxa"/>
            <w:vAlign w:val="center"/>
          </w:tcPr>
          <w:p>
            <w:pPr>
              <w:pStyle w:val="TableNumber"/>
            </w:pPr>
            <w:r>
              <w:t>0.08001</w:t>
            </w:r>
          </w:p>
        </w:tc>
        <w:tc>
          <w:tcPr>
            <w:tcW w:w="1550" w:type="dxa"/>
            <w:vAlign w:val="center"/>
          </w:tcPr>
          <w:p>
            <w:pPr>
              <w:pStyle w:val="TableNumber"/>
            </w:pPr>
            <w:r>
              <w:t>0.02411</w:t>
            </w:r>
          </w:p>
        </w:tc>
        <w:tc>
          <w:tcPr>
            <w:tcW w:w="1550" w:type="dxa"/>
            <w:vAlign w:val="center"/>
          </w:tcPr>
          <w:p>
            <w:pPr>
              <w:pStyle w:val="TableNumber"/>
            </w:pPr>
            <w:r>
              <w:t>0.30137</w:t>
            </w:r>
          </w:p>
        </w:tc>
        <w:tc>
          <w:tcPr>
            <w:tcW w:w="1050" w:type="dxa"/>
            <w:vAlign w:val="center"/>
          </w:tcPr>
          <w:p>
            <w:pPr>
              <w:pStyle w:val="TableNumber"/>
            </w:pPr>
            <w:r>
              <w:t>1/9</w:t>
            </w:r>
          </w:p>
        </w:tc>
        <w:tc>
          <w:tcPr>
            <w:tcW w:w="1550" w:type="dxa"/>
            <w:vAlign w:val="center"/>
          </w:tcPr>
          <w:p>
            <w:pPr>
              <w:pStyle w:val="TableNumber"/>
            </w:pPr>
            <w:r>
              <w:t>0.07198</w:t>
            </w:r>
          </w:p>
        </w:tc>
        <w:tc>
          <w:tcPr>
            <w:tcW w:w="1610" w:type="dxa"/>
            <w:vAlign w:val="center"/>
          </w:tcPr>
          <w:p>
            <w:pPr>
              <w:pStyle w:val="TableNumber"/>
            </w:pPr>
            <w:r>
              <w:t>0.8996</w:t>
            </w:r>
          </w:p>
        </w:tc>
      </w:tr>
      <w:tr>
        <w:trPr>
          <w:cantSplit/>
        </w:trPr>
        <w:tc>
          <w:tcPr>
            <w:tcW w:w="650" w:type="dxa"/>
            <w:vAlign w:val="center"/>
          </w:tcPr>
          <w:p>
            <w:pPr>
              <w:pStyle w:val="TableText"/>
            </w:pPr>
            <w:r>
              <w:t>12d</w:t>
            </w:r>
          </w:p>
        </w:tc>
        <w:tc>
          <w:tcPr>
            <w:tcW w:w="1400" w:type="dxa"/>
            <w:vAlign w:val="center"/>
          </w:tcPr>
          <w:p>
            <w:pPr>
              <w:pStyle w:val="TableNumber"/>
            </w:pPr>
            <w:r>
              <w:t>0.08466</w:t>
            </w:r>
          </w:p>
        </w:tc>
        <w:tc>
          <w:tcPr>
            <w:tcW w:w="1550" w:type="dxa"/>
            <w:vAlign w:val="center"/>
          </w:tcPr>
          <w:p>
            <w:pPr>
              <w:pStyle w:val="TableNumber"/>
            </w:pPr>
            <w:r>
              <w:t>0.02524</w:t>
            </w:r>
          </w:p>
        </w:tc>
        <w:tc>
          <w:tcPr>
            <w:tcW w:w="1550" w:type="dxa"/>
            <w:vAlign w:val="center"/>
          </w:tcPr>
          <w:p>
            <w:pPr>
              <w:pStyle w:val="TableNumber"/>
            </w:pPr>
            <w:r>
              <w:t>0.29816</w:t>
            </w:r>
          </w:p>
        </w:tc>
        <w:tc>
          <w:tcPr>
            <w:tcW w:w="1050" w:type="dxa"/>
            <w:vAlign w:val="center"/>
          </w:tcPr>
          <w:p>
            <w:pPr>
              <w:pStyle w:val="TableNumber"/>
            </w:pPr>
            <w:r>
              <w:t>1/9</w:t>
            </w:r>
          </w:p>
        </w:tc>
        <w:tc>
          <w:tcPr>
            <w:tcW w:w="1550" w:type="dxa"/>
            <w:vAlign w:val="center"/>
          </w:tcPr>
          <w:p>
            <w:pPr>
              <w:pStyle w:val="TableNumber"/>
            </w:pPr>
            <w:r>
              <w:t>0.07548</w:t>
            </w:r>
          </w:p>
        </w:tc>
        <w:tc>
          <w:tcPr>
            <w:tcW w:w="1610" w:type="dxa"/>
            <w:vAlign w:val="center"/>
          </w:tcPr>
          <w:p>
            <w:pPr>
              <w:pStyle w:val="TableNumber"/>
            </w:pPr>
            <w:r>
              <w:t>0.8915</w:t>
            </w:r>
          </w:p>
        </w:tc>
      </w:tr>
      <w:tr>
        <w:trPr>
          <w:cantSplit/>
        </w:trPr>
        <w:tc>
          <w:tcPr>
            <w:tcW w:w="650" w:type="dxa"/>
            <w:vAlign w:val="center"/>
          </w:tcPr>
          <w:p>
            <w:pPr>
              <w:pStyle w:val="TableText"/>
            </w:pPr>
            <w:r>
              <w:t>13d</w:t>
            </w:r>
          </w:p>
        </w:tc>
        <w:tc>
          <w:tcPr>
            <w:tcW w:w="1400" w:type="dxa"/>
            <w:vAlign w:val="center"/>
          </w:tcPr>
          <w:p>
            <w:pPr>
              <w:pStyle w:val="TableNumber"/>
            </w:pPr>
            <w:r>
              <w:t>0.08906</w:t>
            </w:r>
          </w:p>
        </w:tc>
        <w:tc>
          <w:tcPr>
            <w:tcW w:w="1550" w:type="dxa"/>
            <w:vAlign w:val="center"/>
          </w:tcPr>
          <w:p>
            <w:pPr>
              <w:pStyle w:val="TableNumber"/>
            </w:pPr>
            <w:r>
              <w:t>0.02636</w:t>
            </w:r>
          </w:p>
        </w:tc>
        <w:tc>
          <w:tcPr>
            <w:tcW w:w="1550" w:type="dxa"/>
            <w:vAlign w:val="center"/>
          </w:tcPr>
          <w:p>
            <w:pPr>
              <w:pStyle w:val="TableNumber"/>
            </w:pPr>
            <w:r>
              <w:t>0.29603</w:t>
            </w:r>
          </w:p>
        </w:tc>
        <w:tc>
          <w:tcPr>
            <w:tcW w:w="1050" w:type="dxa"/>
            <w:vAlign w:val="center"/>
          </w:tcPr>
          <w:p>
            <w:pPr>
              <w:pStyle w:val="TableNumber"/>
            </w:pPr>
            <w:r>
              <w:t>1/9</w:t>
            </w:r>
          </w:p>
        </w:tc>
        <w:tc>
          <w:tcPr>
            <w:tcW w:w="1550" w:type="dxa"/>
            <w:vAlign w:val="center"/>
          </w:tcPr>
          <w:p>
            <w:pPr>
              <w:pStyle w:val="TableNumber"/>
            </w:pPr>
            <w:r>
              <w:t>0.07897</w:t>
            </w:r>
          </w:p>
        </w:tc>
        <w:tc>
          <w:tcPr>
            <w:tcW w:w="1610" w:type="dxa"/>
            <w:vAlign w:val="center"/>
          </w:tcPr>
          <w:p>
            <w:pPr>
              <w:pStyle w:val="TableNumber"/>
            </w:pPr>
            <w:r>
              <w:t>0.8867</w:t>
            </w:r>
          </w:p>
        </w:tc>
      </w:tr>
      <w:tr>
        <w:trPr>
          <w:cantSplit/>
        </w:trPr>
        <w:tc>
          <w:tcPr>
            <w:tcW w:w="650" w:type="dxa"/>
            <w:vAlign w:val="center"/>
          </w:tcPr>
          <w:p>
            <w:pPr>
              <w:pStyle w:val="TableText"/>
            </w:pPr>
            <w:r>
              <w:t>14d</w:t>
            </w:r>
          </w:p>
        </w:tc>
        <w:tc>
          <w:tcPr>
            <w:tcW w:w="1400" w:type="dxa"/>
            <w:vAlign w:val="center"/>
          </w:tcPr>
          <w:p>
            <w:pPr>
              <w:pStyle w:val="TableNumber"/>
            </w:pPr>
            <w:r>
              <w:t>0.09233</w:t>
            </w:r>
          </w:p>
        </w:tc>
        <w:tc>
          <w:tcPr>
            <w:tcW w:w="1550" w:type="dxa"/>
            <w:vAlign w:val="center"/>
          </w:tcPr>
          <w:p>
            <w:pPr>
              <w:pStyle w:val="TableNumber"/>
            </w:pPr>
            <w:r>
              <w:t>0.02746</w:t>
            </w:r>
          </w:p>
        </w:tc>
        <w:tc>
          <w:tcPr>
            <w:tcW w:w="1550" w:type="dxa"/>
            <w:vAlign w:val="center"/>
          </w:tcPr>
          <w:p>
            <w:pPr>
              <w:pStyle w:val="TableNumber"/>
            </w:pPr>
            <w:r>
              <w:t>0.29746</w:t>
            </w:r>
          </w:p>
        </w:tc>
        <w:tc>
          <w:tcPr>
            <w:tcW w:w="1050" w:type="dxa"/>
            <w:vAlign w:val="center"/>
          </w:tcPr>
          <w:p>
            <w:pPr>
              <w:pStyle w:val="TableNumber"/>
            </w:pPr>
            <w:r>
              <w:t>1/9</w:t>
            </w:r>
          </w:p>
        </w:tc>
        <w:tc>
          <w:tcPr>
            <w:tcW w:w="1550" w:type="dxa"/>
            <w:vAlign w:val="center"/>
          </w:tcPr>
          <w:p>
            <w:pPr>
              <w:pStyle w:val="TableNumber"/>
            </w:pPr>
            <w:r>
              <w:t>0.08244</w:t>
            </w:r>
          </w:p>
        </w:tc>
        <w:tc>
          <w:tcPr>
            <w:tcW w:w="1610" w:type="dxa"/>
            <w:vAlign w:val="center"/>
          </w:tcPr>
          <w:p>
            <w:pPr>
              <w:pStyle w:val="TableNumber"/>
            </w:pPr>
            <w:r>
              <w:t>0.8929</w:t>
            </w:r>
          </w:p>
        </w:tc>
      </w:tr>
    </w:tbl>
    <w:p>
      <w:pPr>
        <w:pStyle w:val="a"/>
      </w:pPr>
      <w:r>
        <w:t>Raw pinball and q50 MAE rise with horizon because longer-horizon targets vary more. After normalization by train-only robust scales, normalized pinball is 0.3688 at day 1 and 0.2975 at day 14. This compares distribution error with each horizon's training scale; it does not mean day-14 raw return error is smaller.</w:t>
      </w:r>
    </w:p>
    <w:p>
      <w:pPr>
        <w:pStyle w:val="21"/>
      </w:pPr>
      <w:r>
        <w:t>6.2 q50 and interval calibration</w:t>
      </w:r>
    </w:p>
    <w:p>
      <w:pPr>
        <w:pStyle w:val="Decision"/>
        <w:keepNext/>
        <w:spacing w:after="80"/>
      </w:pPr>
      <w:r>
        <w:t>Table 8 | Point forecast and interval at every horizon</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 agreement</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Below 80% (pp)</w:t>
            </w:r>
          </w:p>
        </w:tc>
        <w:tc>
          <w:tcPr>
            <w:tcW w:w="1960" w:type="dxa"/>
            <w:shd w:val="clear" w:fill="DCE6F1"/>
            <w:vAlign w:val="center"/>
          </w:tcPr>
          <w:p>
            <w:pPr>
              <w:pStyle w:val="TableHeader"/>
            </w:pPr>
            <w:r>
              <w:t>Interval width</w:t>
            </w:r>
          </w:p>
        </w:tc>
      </w:tr>
      <w:tr>
        <w:trPr>
          <w:cantSplit/>
        </w:trPr>
        <w:tc>
          <w:tcPr>
            <w:tcW w:w="700" w:type="dxa"/>
            <w:vAlign w:val="center"/>
          </w:tcPr>
          <w:p>
            <w:pPr>
              <w:pStyle w:val="TableText"/>
            </w:pPr>
            <w:r>
              <w:t>1d</w:t>
            </w:r>
          </w:p>
        </w:tc>
        <w:tc>
          <w:tcPr>
            <w:tcW w:w="1600" w:type="dxa"/>
            <w:vAlign w:val="center"/>
          </w:tcPr>
          <w:p>
            <w:pPr>
              <w:pStyle w:val="TableNumber"/>
            </w:pPr>
            <w:r>
              <w:t>0.0499</w:t>
            </w:r>
          </w:p>
        </w:tc>
        <w:tc>
          <w:tcPr>
            <w:tcW w:w="1650" w:type="dxa"/>
            <w:vAlign w:val="center"/>
          </w:tcPr>
          <w:p>
            <w:pPr>
              <w:pStyle w:val="TableNumber"/>
            </w:pPr>
            <w:r>
              <w:t>53.03%</w:t>
            </w:r>
          </w:p>
        </w:tc>
        <w:tc>
          <w:tcPr>
            <w:tcW w:w="1650" w:type="dxa"/>
            <w:vAlign w:val="center"/>
          </w:tcPr>
          <w:p>
            <w:pPr>
              <w:pStyle w:val="TableNumber"/>
            </w:pPr>
            <w:r>
              <w:t>75.90%</w:t>
            </w:r>
          </w:p>
        </w:tc>
        <w:tc>
          <w:tcPr>
            <w:tcW w:w="1800" w:type="dxa"/>
            <w:vAlign w:val="center"/>
          </w:tcPr>
          <w:p>
            <w:pPr>
              <w:pStyle w:val="TableNumber"/>
            </w:pPr>
            <w:r>
              <w:t>4.10</w:t>
            </w:r>
          </w:p>
        </w:tc>
        <w:tc>
          <w:tcPr>
            <w:tcW w:w="1960" w:type="dxa"/>
            <w:vAlign w:val="center"/>
          </w:tcPr>
          <w:p>
            <w:pPr>
              <w:pStyle w:val="TableNumber"/>
            </w:pPr>
            <w:r>
              <w:t>0.05589</w:t>
            </w:r>
          </w:p>
        </w:tc>
      </w:tr>
      <w:tr>
        <w:trPr>
          <w:cantSplit/>
        </w:trPr>
        <w:tc>
          <w:tcPr>
            <w:tcW w:w="700" w:type="dxa"/>
            <w:vAlign w:val="center"/>
          </w:tcPr>
          <w:p>
            <w:pPr>
              <w:pStyle w:val="TableText"/>
            </w:pPr>
            <w:r>
              <w:t>2d</w:t>
            </w:r>
          </w:p>
        </w:tc>
        <w:tc>
          <w:tcPr>
            <w:tcW w:w="1600" w:type="dxa"/>
            <w:vAlign w:val="center"/>
          </w:tcPr>
          <w:p>
            <w:pPr>
              <w:pStyle w:val="TableNumber"/>
            </w:pPr>
            <w:r>
              <w:t>0.0545</w:t>
            </w:r>
          </w:p>
        </w:tc>
        <w:tc>
          <w:tcPr>
            <w:tcW w:w="1650" w:type="dxa"/>
            <w:vAlign w:val="center"/>
          </w:tcPr>
          <w:p>
            <w:pPr>
              <w:pStyle w:val="TableNumber"/>
            </w:pPr>
            <w:r>
              <w:t>55.02%</w:t>
            </w:r>
          </w:p>
        </w:tc>
        <w:tc>
          <w:tcPr>
            <w:tcW w:w="1650" w:type="dxa"/>
            <w:vAlign w:val="center"/>
          </w:tcPr>
          <w:p>
            <w:pPr>
              <w:pStyle w:val="TableNumber"/>
            </w:pPr>
            <w:r>
              <w:t>74.95%</w:t>
            </w:r>
          </w:p>
        </w:tc>
        <w:tc>
          <w:tcPr>
            <w:tcW w:w="1800" w:type="dxa"/>
            <w:vAlign w:val="center"/>
          </w:tcPr>
          <w:p>
            <w:pPr>
              <w:pStyle w:val="TableNumber"/>
            </w:pPr>
            <w:r>
              <w:t>5.04</w:t>
            </w:r>
          </w:p>
        </w:tc>
        <w:tc>
          <w:tcPr>
            <w:tcW w:w="1960" w:type="dxa"/>
            <w:vAlign w:val="center"/>
          </w:tcPr>
          <w:p>
            <w:pPr>
              <w:pStyle w:val="TableNumber"/>
            </w:pPr>
            <w:r>
              <w:t>0.08405</w:t>
            </w:r>
          </w:p>
        </w:tc>
      </w:tr>
      <w:tr>
        <w:trPr>
          <w:cantSplit/>
        </w:trPr>
        <w:tc>
          <w:tcPr>
            <w:tcW w:w="700" w:type="dxa"/>
            <w:vAlign w:val="center"/>
          </w:tcPr>
          <w:p>
            <w:pPr>
              <w:pStyle w:val="TableText"/>
            </w:pPr>
            <w:r>
              <w:t>3d</w:t>
            </w:r>
          </w:p>
        </w:tc>
        <w:tc>
          <w:tcPr>
            <w:tcW w:w="1600" w:type="dxa"/>
            <w:vAlign w:val="center"/>
          </w:tcPr>
          <w:p>
            <w:pPr>
              <w:pStyle w:val="TableNumber"/>
            </w:pPr>
            <w:r>
              <w:t>0.0691</w:t>
            </w:r>
          </w:p>
        </w:tc>
        <w:tc>
          <w:tcPr>
            <w:tcW w:w="1650" w:type="dxa"/>
            <w:vAlign w:val="center"/>
          </w:tcPr>
          <w:p>
            <w:pPr>
              <w:pStyle w:val="TableNumber"/>
            </w:pPr>
            <w:r>
              <w:t>56.56%</w:t>
            </w:r>
          </w:p>
        </w:tc>
        <w:tc>
          <w:tcPr>
            <w:tcW w:w="1650" w:type="dxa"/>
            <w:vAlign w:val="center"/>
          </w:tcPr>
          <w:p>
            <w:pPr>
              <w:pStyle w:val="TableNumber"/>
            </w:pPr>
            <w:r>
              <w:t>73.50%</w:t>
            </w:r>
          </w:p>
        </w:tc>
        <w:tc>
          <w:tcPr>
            <w:tcW w:w="1800" w:type="dxa"/>
            <w:vAlign w:val="center"/>
          </w:tcPr>
          <w:p>
            <w:pPr>
              <w:pStyle w:val="TableNumber"/>
            </w:pPr>
            <w:r>
              <w:t>6.50</w:t>
            </w:r>
          </w:p>
        </w:tc>
        <w:tc>
          <w:tcPr>
            <w:tcW w:w="1960" w:type="dxa"/>
            <w:vAlign w:val="center"/>
          </w:tcPr>
          <w:p>
            <w:pPr>
              <w:pStyle w:val="TableNumber"/>
            </w:pPr>
            <w:r>
              <w:t>0.10367</w:t>
            </w:r>
          </w:p>
        </w:tc>
      </w:tr>
      <w:tr>
        <w:trPr>
          <w:cantSplit/>
        </w:trPr>
        <w:tc>
          <w:tcPr>
            <w:tcW w:w="700" w:type="dxa"/>
            <w:vAlign w:val="center"/>
          </w:tcPr>
          <w:p>
            <w:pPr>
              <w:pStyle w:val="TableText"/>
            </w:pPr>
            <w:r>
              <w:t>4d</w:t>
            </w:r>
          </w:p>
        </w:tc>
        <w:tc>
          <w:tcPr>
            <w:tcW w:w="1600" w:type="dxa"/>
            <w:vAlign w:val="center"/>
          </w:tcPr>
          <w:p>
            <w:pPr>
              <w:pStyle w:val="TableNumber"/>
            </w:pPr>
            <w:r>
              <w:t>0.0842</w:t>
            </w:r>
          </w:p>
        </w:tc>
        <w:tc>
          <w:tcPr>
            <w:tcW w:w="1650" w:type="dxa"/>
            <w:vAlign w:val="center"/>
          </w:tcPr>
          <w:p>
            <w:pPr>
              <w:pStyle w:val="TableNumber"/>
            </w:pPr>
            <w:r>
              <w:t>56.34%</w:t>
            </w:r>
          </w:p>
        </w:tc>
        <w:tc>
          <w:tcPr>
            <w:tcW w:w="1650" w:type="dxa"/>
            <w:vAlign w:val="center"/>
          </w:tcPr>
          <w:p>
            <w:pPr>
              <w:pStyle w:val="TableNumber"/>
            </w:pPr>
            <w:r>
              <w:t>72.60%</w:t>
            </w:r>
          </w:p>
        </w:tc>
        <w:tc>
          <w:tcPr>
            <w:tcW w:w="1800" w:type="dxa"/>
            <w:vAlign w:val="center"/>
          </w:tcPr>
          <w:p>
            <w:pPr>
              <w:pStyle w:val="TableNumber"/>
            </w:pPr>
            <w:r>
              <w:t>7.40</w:t>
            </w:r>
          </w:p>
        </w:tc>
        <w:tc>
          <w:tcPr>
            <w:tcW w:w="1960" w:type="dxa"/>
            <w:vAlign w:val="center"/>
          </w:tcPr>
          <w:p>
            <w:pPr>
              <w:pStyle w:val="TableNumber"/>
            </w:pPr>
            <w:r>
              <w:t>0.11940</w:t>
            </w:r>
          </w:p>
        </w:tc>
      </w:tr>
      <w:tr>
        <w:trPr>
          <w:cantSplit/>
        </w:trPr>
        <w:tc>
          <w:tcPr>
            <w:tcW w:w="700" w:type="dxa"/>
            <w:vAlign w:val="center"/>
          </w:tcPr>
          <w:p>
            <w:pPr>
              <w:pStyle w:val="TableText"/>
            </w:pPr>
            <w:r>
              <w:t>5d</w:t>
            </w:r>
          </w:p>
        </w:tc>
        <w:tc>
          <w:tcPr>
            <w:tcW w:w="1600" w:type="dxa"/>
            <w:vAlign w:val="center"/>
          </w:tcPr>
          <w:p>
            <w:pPr>
              <w:pStyle w:val="TableNumber"/>
            </w:pPr>
            <w:r>
              <w:t>0.0980</w:t>
            </w:r>
          </w:p>
        </w:tc>
        <w:tc>
          <w:tcPr>
            <w:tcW w:w="1650" w:type="dxa"/>
            <w:vAlign w:val="center"/>
          </w:tcPr>
          <w:p>
            <w:pPr>
              <w:pStyle w:val="TableNumber"/>
            </w:pPr>
            <w:r>
              <w:t>56.44%</w:t>
            </w:r>
          </w:p>
        </w:tc>
        <w:tc>
          <w:tcPr>
            <w:tcW w:w="1650" w:type="dxa"/>
            <w:vAlign w:val="center"/>
          </w:tcPr>
          <w:p>
            <w:pPr>
              <w:pStyle w:val="TableNumber"/>
            </w:pPr>
            <w:r>
              <w:t>71.02%</w:t>
            </w:r>
          </w:p>
        </w:tc>
        <w:tc>
          <w:tcPr>
            <w:tcW w:w="1800" w:type="dxa"/>
            <w:vAlign w:val="center"/>
          </w:tcPr>
          <w:p>
            <w:pPr>
              <w:pStyle w:val="TableNumber"/>
            </w:pPr>
            <w:r>
              <w:t>8.99</w:t>
            </w:r>
          </w:p>
        </w:tc>
        <w:tc>
          <w:tcPr>
            <w:tcW w:w="1960" w:type="dxa"/>
            <w:vAlign w:val="center"/>
          </w:tcPr>
          <w:p>
            <w:pPr>
              <w:pStyle w:val="TableNumber"/>
            </w:pPr>
            <w:r>
              <w:t>0.13224</w:t>
            </w:r>
          </w:p>
        </w:tc>
      </w:tr>
      <w:tr>
        <w:trPr>
          <w:cantSplit/>
        </w:trPr>
        <w:tc>
          <w:tcPr>
            <w:tcW w:w="700" w:type="dxa"/>
            <w:vAlign w:val="center"/>
          </w:tcPr>
          <w:p>
            <w:pPr>
              <w:pStyle w:val="TableText"/>
            </w:pPr>
            <w:r>
              <w:t>6d</w:t>
            </w:r>
          </w:p>
        </w:tc>
        <w:tc>
          <w:tcPr>
            <w:tcW w:w="1600" w:type="dxa"/>
            <w:vAlign w:val="center"/>
          </w:tcPr>
          <w:p>
            <w:pPr>
              <w:pStyle w:val="TableNumber"/>
            </w:pPr>
            <w:r>
              <w:t>0.1088</w:t>
            </w:r>
          </w:p>
        </w:tc>
        <w:tc>
          <w:tcPr>
            <w:tcW w:w="1650" w:type="dxa"/>
            <w:vAlign w:val="center"/>
          </w:tcPr>
          <w:p>
            <w:pPr>
              <w:pStyle w:val="TableNumber"/>
            </w:pPr>
            <w:r>
              <w:t>56.63%</w:t>
            </w:r>
          </w:p>
        </w:tc>
        <w:tc>
          <w:tcPr>
            <w:tcW w:w="1650" w:type="dxa"/>
            <w:vAlign w:val="center"/>
          </w:tcPr>
          <w:p>
            <w:pPr>
              <w:pStyle w:val="TableNumber"/>
            </w:pPr>
            <w:r>
              <w:t>71.78%</w:t>
            </w:r>
          </w:p>
        </w:tc>
        <w:tc>
          <w:tcPr>
            <w:tcW w:w="1800" w:type="dxa"/>
            <w:vAlign w:val="center"/>
          </w:tcPr>
          <w:p>
            <w:pPr>
              <w:pStyle w:val="TableNumber"/>
            </w:pPr>
            <w:r>
              <w:t>8.23</w:t>
            </w:r>
          </w:p>
        </w:tc>
        <w:tc>
          <w:tcPr>
            <w:tcW w:w="1960" w:type="dxa"/>
            <w:vAlign w:val="center"/>
          </w:tcPr>
          <w:p>
            <w:pPr>
              <w:pStyle w:val="TableNumber"/>
            </w:pPr>
            <w:r>
              <w:t>0.14790</w:t>
            </w:r>
          </w:p>
        </w:tc>
      </w:tr>
      <w:tr>
        <w:trPr>
          <w:cantSplit/>
        </w:trPr>
        <w:tc>
          <w:tcPr>
            <w:tcW w:w="700" w:type="dxa"/>
            <w:vAlign w:val="center"/>
          </w:tcPr>
          <w:p>
            <w:pPr>
              <w:pStyle w:val="TableText"/>
            </w:pPr>
            <w:r>
              <w:t>7d</w:t>
            </w:r>
          </w:p>
        </w:tc>
        <w:tc>
          <w:tcPr>
            <w:tcW w:w="1600" w:type="dxa"/>
            <w:vAlign w:val="center"/>
          </w:tcPr>
          <w:p>
            <w:pPr>
              <w:pStyle w:val="TableNumber"/>
            </w:pPr>
            <w:r>
              <w:t>0.1164</w:t>
            </w:r>
          </w:p>
        </w:tc>
        <w:tc>
          <w:tcPr>
            <w:tcW w:w="1650" w:type="dxa"/>
            <w:vAlign w:val="center"/>
          </w:tcPr>
          <w:p>
            <w:pPr>
              <w:pStyle w:val="TableNumber"/>
            </w:pPr>
            <w:r>
              <w:t>56.73%</w:t>
            </w:r>
          </w:p>
        </w:tc>
        <w:tc>
          <w:tcPr>
            <w:tcW w:w="1650" w:type="dxa"/>
            <w:vAlign w:val="center"/>
          </w:tcPr>
          <w:p>
            <w:pPr>
              <w:pStyle w:val="TableNumber"/>
            </w:pPr>
            <w:r>
              <w:t>70.23%</w:t>
            </w:r>
          </w:p>
        </w:tc>
        <w:tc>
          <w:tcPr>
            <w:tcW w:w="1800" w:type="dxa"/>
            <w:vAlign w:val="center"/>
          </w:tcPr>
          <w:p>
            <w:pPr>
              <w:pStyle w:val="TableNumber"/>
            </w:pPr>
            <w:r>
              <w:t>9.78</w:t>
            </w:r>
          </w:p>
        </w:tc>
        <w:tc>
          <w:tcPr>
            <w:tcW w:w="1960" w:type="dxa"/>
            <w:vAlign w:val="center"/>
          </w:tcPr>
          <w:p>
            <w:pPr>
              <w:pStyle w:val="TableNumber"/>
            </w:pPr>
            <w:r>
              <w:t>0.15772</w:t>
            </w:r>
          </w:p>
        </w:tc>
      </w:tr>
      <w:tr>
        <w:trPr>
          <w:cantSplit/>
        </w:trPr>
        <w:tc>
          <w:tcPr>
            <w:tcW w:w="700" w:type="dxa"/>
            <w:vAlign w:val="center"/>
          </w:tcPr>
          <w:p>
            <w:pPr>
              <w:pStyle w:val="TableText"/>
            </w:pPr>
            <w:r>
              <w:t>8d</w:t>
            </w:r>
          </w:p>
        </w:tc>
        <w:tc>
          <w:tcPr>
            <w:tcW w:w="1600" w:type="dxa"/>
            <w:vAlign w:val="center"/>
          </w:tcPr>
          <w:p>
            <w:pPr>
              <w:pStyle w:val="TableNumber"/>
            </w:pPr>
            <w:r>
              <w:t>0.1265</w:t>
            </w:r>
          </w:p>
        </w:tc>
        <w:tc>
          <w:tcPr>
            <w:tcW w:w="1650" w:type="dxa"/>
            <w:vAlign w:val="center"/>
          </w:tcPr>
          <w:p>
            <w:pPr>
              <w:pStyle w:val="TableNumber"/>
            </w:pPr>
            <w:r>
              <w:t>56.51%</w:t>
            </w:r>
          </w:p>
        </w:tc>
        <w:tc>
          <w:tcPr>
            <w:tcW w:w="1650" w:type="dxa"/>
            <w:vAlign w:val="center"/>
          </w:tcPr>
          <w:p>
            <w:pPr>
              <w:pStyle w:val="TableNumber"/>
            </w:pPr>
            <w:r>
              <w:t>70.84%</w:t>
            </w:r>
          </w:p>
        </w:tc>
        <w:tc>
          <w:tcPr>
            <w:tcW w:w="1800" w:type="dxa"/>
            <w:vAlign w:val="center"/>
          </w:tcPr>
          <w:p>
            <w:pPr>
              <w:pStyle w:val="TableNumber"/>
            </w:pPr>
            <w:r>
              <w:t>9.16</w:t>
            </w:r>
          </w:p>
        </w:tc>
        <w:tc>
          <w:tcPr>
            <w:tcW w:w="1960" w:type="dxa"/>
            <w:vAlign w:val="center"/>
          </w:tcPr>
          <w:p>
            <w:pPr>
              <w:pStyle w:val="TableNumber"/>
            </w:pPr>
            <w:r>
              <w:t>0.17111</w:t>
            </w:r>
          </w:p>
        </w:tc>
      </w:tr>
      <w:tr>
        <w:trPr>
          <w:cantSplit/>
        </w:trPr>
        <w:tc>
          <w:tcPr>
            <w:tcW w:w="700" w:type="dxa"/>
            <w:vAlign w:val="center"/>
          </w:tcPr>
          <w:p>
            <w:pPr>
              <w:pStyle w:val="TableText"/>
            </w:pPr>
            <w:r>
              <w:t>9d</w:t>
            </w:r>
          </w:p>
        </w:tc>
        <w:tc>
          <w:tcPr>
            <w:tcW w:w="1600" w:type="dxa"/>
            <w:vAlign w:val="center"/>
          </w:tcPr>
          <w:p>
            <w:pPr>
              <w:pStyle w:val="TableNumber"/>
            </w:pPr>
            <w:r>
              <w:t>0.1350</w:t>
            </w:r>
          </w:p>
        </w:tc>
        <w:tc>
          <w:tcPr>
            <w:tcW w:w="1650" w:type="dxa"/>
            <w:vAlign w:val="center"/>
          </w:tcPr>
          <w:p>
            <w:pPr>
              <w:pStyle w:val="TableNumber"/>
            </w:pPr>
            <w:r>
              <w:t>57.29%</w:t>
            </w:r>
          </w:p>
        </w:tc>
        <w:tc>
          <w:tcPr>
            <w:tcW w:w="1650" w:type="dxa"/>
            <w:vAlign w:val="center"/>
          </w:tcPr>
          <w:p>
            <w:pPr>
              <w:pStyle w:val="TableNumber"/>
            </w:pPr>
            <w:r>
              <w:t>70.21%</w:t>
            </w:r>
          </w:p>
        </w:tc>
        <w:tc>
          <w:tcPr>
            <w:tcW w:w="1800" w:type="dxa"/>
            <w:vAlign w:val="center"/>
          </w:tcPr>
          <w:p>
            <w:pPr>
              <w:pStyle w:val="TableNumber"/>
            </w:pPr>
            <w:r>
              <w:t>9.79</w:t>
            </w:r>
          </w:p>
        </w:tc>
        <w:tc>
          <w:tcPr>
            <w:tcW w:w="1960" w:type="dxa"/>
            <w:vAlign w:val="center"/>
          </w:tcPr>
          <w:p>
            <w:pPr>
              <w:pStyle w:val="TableNumber"/>
            </w:pPr>
            <w:r>
              <w:t>0.18057</w:t>
            </w:r>
          </w:p>
        </w:tc>
      </w:tr>
      <w:tr>
        <w:trPr>
          <w:cantSplit/>
        </w:trPr>
        <w:tc>
          <w:tcPr>
            <w:tcW w:w="700" w:type="dxa"/>
            <w:vAlign w:val="center"/>
          </w:tcPr>
          <w:p>
            <w:pPr>
              <w:pStyle w:val="TableText"/>
            </w:pPr>
            <w:r>
              <w:t>10d</w:t>
            </w:r>
          </w:p>
        </w:tc>
        <w:tc>
          <w:tcPr>
            <w:tcW w:w="1600" w:type="dxa"/>
            <w:vAlign w:val="center"/>
          </w:tcPr>
          <w:p>
            <w:pPr>
              <w:pStyle w:val="TableNumber"/>
            </w:pPr>
            <w:r>
              <w:t>0.1425</w:t>
            </w:r>
          </w:p>
        </w:tc>
        <w:tc>
          <w:tcPr>
            <w:tcW w:w="1650" w:type="dxa"/>
            <w:vAlign w:val="center"/>
          </w:tcPr>
          <w:p>
            <w:pPr>
              <w:pStyle w:val="TableNumber"/>
            </w:pPr>
            <w:r>
              <w:t>58.87%</w:t>
            </w:r>
          </w:p>
        </w:tc>
        <w:tc>
          <w:tcPr>
            <w:tcW w:w="1650" w:type="dxa"/>
            <w:vAlign w:val="center"/>
          </w:tcPr>
          <w:p>
            <w:pPr>
              <w:pStyle w:val="TableNumber"/>
            </w:pPr>
            <w:r>
              <w:t>69.88%</w:t>
            </w:r>
          </w:p>
        </w:tc>
        <w:tc>
          <w:tcPr>
            <w:tcW w:w="1800" w:type="dxa"/>
            <w:vAlign w:val="center"/>
          </w:tcPr>
          <w:p>
            <w:pPr>
              <w:pStyle w:val="TableNumber"/>
            </w:pPr>
            <w:r>
              <w:t>10.13</w:t>
            </w:r>
          </w:p>
        </w:tc>
        <w:tc>
          <w:tcPr>
            <w:tcW w:w="1960" w:type="dxa"/>
            <w:vAlign w:val="center"/>
          </w:tcPr>
          <w:p>
            <w:pPr>
              <w:pStyle w:val="TableNumber"/>
            </w:pPr>
            <w:r>
              <w:t>0.19108</w:t>
            </w:r>
          </w:p>
        </w:tc>
      </w:tr>
      <w:tr>
        <w:trPr>
          <w:cantSplit/>
        </w:trPr>
        <w:tc>
          <w:tcPr>
            <w:tcW w:w="700" w:type="dxa"/>
            <w:vAlign w:val="center"/>
          </w:tcPr>
          <w:p>
            <w:pPr>
              <w:pStyle w:val="TableText"/>
            </w:pPr>
            <w:r>
              <w:t>11d</w:t>
            </w:r>
          </w:p>
        </w:tc>
        <w:tc>
          <w:tcPr>
            <w:tcW w:w="1600" w:type="dxa"/>
            <w:vAlign w:val="center"/>
          </w:tcPr>
          <w:p>
            <w:pPr>
              <w:pStyle w:val="TableNumber"/>
            </w:pPr>
            <w:r>
              <w:t>0.1492</w:t>
            </w:r>
          </w:p>
        </w:tc>
        <w:tc>
          <w:tcPr>
            <w:tcW w:w="1650" w:type="dxa"/>
            <w:vAlign w:val="center"/>
          </w:tcPr>
          <w:p>
            <w:pPr>
              <w:pStyle w:val="TableNumber"/>
            </w:pPr>
            <w:r>
              <w:t>58.78%</w:t>
            </w:r>
          </w:p>
        </w:tc>
        <w:tc>
          <w:tcPr>
            <w:tcW w:w="1650" w:type="dxa"/>
            <w:vAlign w:val="center"/>
          </w:tcPr>
          <w:p>
            <w:pPr>
              <w:pStyle w:val="TableNumber"/>
            </w:pPr>
            <w:r>
              <w:t>70.48%</w:t>
            </w:r>
          </w:p>
        </w:tc>
        <w:tc>
          <w:tcPr>
            <w:tcW w:w="1800" w:type="dxa"/>
            <w:vAlign w:val="center"/>
          </w:tcPr>
          <w:p>
            <w:pPr>
              <w:pStyle w:val="TableNumber"/>
            </w:pPr>
            <w:r>
              <w:t>9.52</w:t>
            </w:r>
          </w:p>
        </w:tc>
        <w:tc>
          <w:tcPr>
            <w:tcW w:w="1960" w:type="dxa"/>
            <w:vAlign w:val="center"/>
          </w:tcPr>
          <w:p>
            <w:pPr>
              <w:pStyle w:val="TableNumber"/>
            </w:pPr>
            <w:r>
              <w:t>0.20251</w:t>
            </w:r>
          </w:p>
        </w:tc>
      </w:tr>
      <w:tr>
        <w:trPr>
          <w:cantSplit/>
        </w:trPr>
        <w:tc>
          <w:tcPr>
            <w:tcW w:w="700" w:type="dxa"/>
            <w:vAlign w:val="center"/>
          </w:tcPr>
          <w:p>
            <w:pPr>
              <w:pStyle w:val="TableText"/>
            </w:pPr>
            <w:r>
              <w:t>12d</w:t>
            </w:r>
          </w:p>
        </w:tc>
        <w:tc>
          <w:tcPr>
            <w:tcW w:w="1600" w:type="dxa"/>
            <w:vAlign w:val="center"/>
          </w:tcPr>
          <w:p>
            <w:pPr>
              <w:pStyle w:val="TableNumber"/>
            </w:pPr>
            <w:r>
              <w:t>0.1547</w:t>
            </w:r>
          </w:p>
        </w:tc>
        <w:tc>
          <w:tcPr>
            <w:tcW w:w="1650" w:type="dxa"/>
            <w:vAlign w:val="center"/>
          </w:tcPr>
          <w:p>
            <w:pPr>
              <w:pStyle w:val="TableNumber"/>
            </w:pPr>
            <w:r>
              <w:t>58.70%</w:t>
            </w:r>
          </w:p>
        </w:tc>
        <w:tc>
          <w:tcPr>
            <w:tcW w:w="1650" w:type="dxa"/>
            <w:vAlign w:val="center"/>
          </w:tcPr>
          <w:p>
            <w:pPr>
              <w:pStyle w:val="TableNumber"/>
            </w:pPr>
            <w:r>
              <w:t>70.20%</w:t>
            </w:r>
          </w:p>
        </w:tc>
        <w:tc>
          <w:tcPr>
            <w:tcW w:w="1800" w:type="dxa"/>
            <w:vAlign w:val="center"/>
          </w:tcPr>
          <w:p>
            <w:pPr>
              <w:pStyle w:val="TableNumber"/>
            </w:pPr>
            <w:r>
              <w:t>9.80</w:t>
            </w:r>
          </w:p>
        </w:tc>
        <w:tc>
          <w:tcPr>
            <w:tcW w:w="1960" w:type="dxa"/>
            <w:vAlign w:val="center"/>
          </w:tcPr>
          <w:p>
            <w:pPr>
              <w:pStyle w:val="TableNumber"/>
            </w:pPr>
            <w:r>
              <w:t>0.21056</w:t>
            </w:r>
          </w:p>
        </w:tc>
      </w:tr>
      <w:tr>
        <w:trPr>
          <w:cantSplit/>
        </w:trPr>
        <w:tc>
          <w:tcPr>
            <w:tcW w:w="700" w:type="dxa"/>
            <w:vAlign w:val="center"/>
          </w:tcPr>
          <w:p>
            <w:pPr>
              <w:pStyle w:val="TableText"/>
            </w:pPr>
            <w:r>
              <w:t>13d</w:t>
            </w:r>
          </w:p>
        </w:tc>
        <w:tc>
          <w:tcPr>
            <w:tcW w:w="1600" w:type="dxa"/>
            <w:vAlign w:val="center"/>
          </w:tcPr>
          <w:p>
            <w:pPr>
              <w:pStyle w:val="TableNumber"/>
            </w:pPr>
            <w:r>
              <w:t>0.1585</w:t>
            </w:r>
          </w:p>
        </w:tc>
        <w:tc>
          <w:tcPr>
            <w:tcW w:w="1650" w:type="dxa"/>
            <w:vAlign w:val="center"/>
          </w:tcPr>
          <w:p>
            <w:pPr>
              <w:pStyle w:val="TableNumber"/>
            </w:pPr>
            <w:r>
              <w:t>58.53%</w:t>
            </w:r>
          </w:p>
        </w:tc>
        <w:tc>
          <w:tcPr>
            <w:tcW w:w="1650" w:type="dxa"/>
            <w:vAlign w:val="center"/>
          </w:tcPr>
          <w:p>
            <w:pPr>
              <w:pStyle w:val="TableNumber"/>
            </w:pPr>
            <w:r>
              <w:t>69.86%</w:t>
            </w:r>
          </w:p>
        </w:tc>
        <w:tc>
          <w:tcPr>
            <w:tcW w:w="1800" w:type="dxa"/>
            <w:vAlign w:val="center"/>
          </w:tcPr>
          <w:p>
            <w:pPr>
              <w:pStyle w:val="TableNumber"/>
            </w:pPr>
            <w:r>
              <w:t>10.14</w:t>
            </w:r>
          </w:p>
        </w:tc>
        <w:tc>
          <w:tcPr>
            <w:tcW w:w="1960" w:type="dxa"/>
            <w:vAlign w:val="center"/>
          </w:tcPr>
          <w:p>
            <w:pPr>
              <w:pStyle w:val="TableNumber"/>
            </w:pPr>
            <w:r>
              <w:t>0.21911</w:t>
            </w:r>
          </w:p>
        </w:tc>
      </w:tr>
      <w:tr>
        <w:trPr>
          <w:cantSplit/>
        </w:trPr>
        <w:tc>
          <w:tcPr>
            <w:tcW w:w="700" w:type="dxa"/>
            <w:vAlign w:val="center"/>
          </w:tcPr>
          <w:p>
            <w:pPr>
              <w:pStyle w:val="TableText"/>
            </w:pPr>
            <w:r>
              <w:t>14d</w:t>
            </w:r>
          </w:p>
        </w:tc>
        <w:tc>
          <w:tcPr>
            <w:tcW w:w="1600" w:type="dxa"/>
            <w:vAlign w:val="center"/>
          </w:tcPr>
          <w:p>
            <w:pPr>
              <w:pStyle w:val="TableNumber"/>
            </w:pPr>
            <w:r>
              <w:t>0.1588</w:t>
            </w:r>
          </w:p>
        </w:tc>
        <w:tc>
          <w:tcPr>
            <w:tcW w:w="1650" w:type="dxa"/>
            <w:vAlign w:val="center"/>
          </w:tcPr>
          <w:p>
            <w:pPr>
              <w:pStyle w:val="TableNumber"/>
            </w:pPr>
            <w:r>
              <w:t>58.88%</w:t>
            </w:r>
          </w:p>
        </w:tc>
        <w:tc>
          <w:tcPr>
            <w:tcW w:w="1650" w:type="dxa"/>
            <w:vAlign w:val="center"/>
          </w:tcPr>
          <w:p>
            <w:pPr>
              <w:pStyle w:val="TableNumber"/>
            </w:pPr>
            <w:r>
              <w:t>69.58%</w:t>
            </w:r>
          </w:p>
        </w:tc>
        <w:tc>
          <w:tcPr>
            <w:tcW w:w="1800" w:type="dxa"/>
            <w:vAlign w:val="center"/>
          </w:tcPr>
          <w:p>
            <w:pPr>
              <w:pStyle w:val="TableNumber"/>
            </w:pPr>
            <w:r>
              <w:t>10.42</w:t>
            </w:r>
          </w:p>
        </w:tc>
        <w:tc>
          <w:tcPr>
            <w:tcW w:w="1960" w:type="dxa"/>
            <w:vAlign w:val="center"/>
          </w:tcPr>
          <w:p>
            <w:pPr>
              <w:pStyle w:val="TableNumber"/>
            </w:pPr>
            <w:r>
              <w:t>0.22857</w:t>
            </w:r>
          </w:p>
        </w:tc>
      </w:tr>
    </w:tbl>
    <w:p>
      <w:pPr>
        <w:pStyle w:val="a"/>
      </w:pPr>
      <w:r>
        <w:t>q50 correlation ranges from 0.0499 at day 1 to 0.1588 at day 14 and remains weak. Direction agreement is 53.03% to 58.88%. Coverage ranges from 69.58% to 75.90%; all 14 horizons are below nominal 80%, so per-horizon calibration on validation is still needed. Interval width grows from 0.0559 to 0.2286.</w:t>
      </w:r>
    </w:p>
    <w:p>
      <w:pPr>
        <w:pStyle w:val="21"/>
      </w:pPr>
      <w:r>
        <w:t>6.3 Cross-sectional ranking and capital path</w:t>
      </w:r>
    </w:p>
    <w:p>
      <w:pPr>
        <w:pStyle w:val="Decision"/>
        <w:keepNext/>
        <w:spacing w:after="80"/>
      </w:pPr>
      <w:r>
        <w:t>Table 9 | Economic diagnostics at every horizon</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0.0660 (1/9)</w:t>
            </w:r>
          </w:p>
        </w:tc>
        <w:tc>
          <w:tcPr>
            <w:tcW w:w="1100" w:type="dxa"/>
            <w:vAlign w:val="center"/>
          </w:tcPr>
          <w:p>
            <w:pPr>
              <w:pStyle w:val="TableNumber"/>
            </w:pPr>
            <w:r>
              <w:t>0.440</w:t>
            </w:r>
          </w:p>
        </w:tc>
        <w:tc>
          <w:tcPr>
            <w:tcW w:w="1500" w:type="dxa"/>
            <w:vAlign w:val="center"/>
          </w:tcPr>
          <w:p>
            <w:pPr>
              <w:pStyle w:val="TableNumber"/>
            </w:pPr>
            <w:r>
              <w:t>0.40%</w:t>
            </w:r>
          </w:p>
        </w:tc>
        <w:tc>
          <w:tcPr>
            <w:tcW w:w="1650" w:type="dxa"/>
            <w:vAlign w:val="center"/>
          </w:tcPr>
          <w:p>
            <w:pPr>
              <w:pStyle w:val="TableNumber"/>
            </w:pPr>
            <w:r>
              <w:t>4.719 (1/9)</w:t>
            </w:r>
          </w:p>
        </w:tc>
        <w:tc>
          <w:tcPr>
            <w:tcW w:w="1600" w:type="dxa"/>
            <w:vAlign w:val="center"/>
          </w:tcPr>
          <w:p>
            <w:pPr>
              <w:pStyle w:val="TableNumber"/>
            </w:pPr>
            <w:r>
              <w:t>-5.13% (3/9)</w:t>
            </w:r>
          </w:p>
        </w:tc>
        <w:tc>
          <w:tcPr>
            <w:tcW w:w="960" w:type="dxa"/>
            <w:vAlign w:val="center"/>
          </w:tcPr>
          <w:p>
            <w:pPr>
              <w:pStyle w:val="TableNumber"/>
            </w:pPr>
            <w:r>
              <w:t>0.386</w:t>
            </w:r>
          </w:p>
        </w:tc>
      </w:tr>
      <w:tr>
        <w:trPr>
          <w:cantSplit/>
        </w:trPr>
        <w:tc>
          <w:tcPr>
            <w:tcW w:w="650" w:type="dxa"/>
            <w:vAlign w:val="center"/>
          </w:tcPr>
          <w:p>
            <w:pPr>
              <w:pStyle w:val="TableText"/>
            </w:pPr>
            <w:r>
              <w:t>2d</w:t>
            </w:r>
          </w:p>
        </w:tc>
        <w:tc>
          <w:tcPr>
            <w:tcW w:w="1900" w:type="dxa"/>
            <w:vAlign w:val="center"/>
          </w:tcPr>
          <w:p>
            <w:pPr>
              <w:pStyle w:val="TableNumber"/>
            </w:pPr>
            <w:r>
              <w:t>0.0574 (1/9)</w:t>
            </w:r>
          </w:p>
        </w:tc>
        <w:tc>
          <w:tcPr>
            <w:tcW w:w="1100" w:type="dxa"/>
            <w:vAlign w:val="center"/>
          </w:tcPr>
          <w:p>
            <w:pPr>
              <w:pStyle w:val="TableNumber"/>
            </w:pPr>
            <w:r>
              <w:t>0.401</w:t>
            </w:r>
          </w:p>
        </w:tc>
        <w:tc>
          <w:tcPr>
            <w:tcW w:w="1500" w:type="dxa"/>
            <w:vAlign w:val="center"/>
          </w:tcPr>
          <w:p>
            <w:pPr>
              <w:pStyle w:val="TableNumber"/>
            </w:pPr>
            <w:r>
              <w:t>0.52%</w:t>
            </w:r>
          </w:p>
        </w:tc>
        <w:tc>
          <w:tcPr>
            <w:tcW w:w="1650" w:type="dxa"/>
            <w:vAlign w:val="center"/>
          </w:tcPr>
          <w:p>
            <w:pPr>
              <w:pStyle w:val="TableNumber"/>
            </w:pPr>
            <w:r>
              <w:t>2.896 (1/9)</w:t>
            </w:r>
          </w:p>
        </w:tc>
        <w:tc>
          <w:tcPr>
            <w:tcW w:w="1600" w:type="dxa"/>
            <w:vAlign w:val="center"/>
          </w:tcPr>
          <w:p>
            <w:pPr>
              <w:pStyle w:val="TableNumber"/>
            </w:pPr>
            <w:r>
              <w:t>-13.29% (4/9)</w:t>
            </w:r>
          </w:p>
        </w:tc>
        <w:tc>
          <w:tcPr>
            <w:tcW w:w="960" w:type="dxa"/>
            <w:vAlign w:val="center"/>
          </w:tcPr>
          <w:p>
            <w:pPr>
              <w:pStyle w:val="TableNumber"/>
            </w:pPr>
            <w:r>
              <w:t>0.393</w:t>
            </w:r>
          </w:p>
        </w:tc>
      </w:tr>
      <w:tr>
        <w:trPr>
          <w:cantSplit/>
        </w:trPr>
        <w:tc>
          <w:tcPr>
            <w:tcW w:w="650" w:type="dxa"/>
            <w:vAlign w:val="center"/>
          </w:tcPr>
          <w:p>
            <w:pPr>
              <w:pStyle w:val="TableText"/>
            </w:pPr>
            <w:r>
              <w:t>3d</w:t>
            </w:r>
          </w:p>
        </w:tc>
        <w:tc>
          <w:tcPr>
            <w:tcW w:w="1900" w:type="dxa"/>
            <w:vAlign w:val="center"/>
          </w:tcPr>
          <w:p>
            <w:pPr>
              <w:pStyle w:val="TableNumber"/>
            </w:pPr>
            <w:r>
              <w:t>0.0532 (1/9)</w:t>
            </w:r>
          </w:p>
        </w:tc>
        <w:tc>
          <w:tcPr>
            <w:tcW w:w="1100" w:type="dxa"/>
            <w:vAlign w:val="center"/>
          </w:tcPr>
          <w:p>
            <w:pPr>
              <w:pStyle w:val="TableNumber"/>
            </w:pPr>
            <w:r>
              <w:t>0.355</w:t>
            </w:r>
          </w:p>
        </w:tc>
        <w:tc>
          <w:tcPr>
            <w:tcW w:w="1500" w:type="dxa"/>
            <w:vAlign w:val="center"/>
          </w:tcPr>
          <w:p>
            <w:pPr>
              <w:pStyle w:val="TableNumber"/>
            </w:pPr>
            <w:r>
              <w:t>0.54%</w:t>
            </w:r>
          </w:p>
        </w:tc>
        <w:tc>
          <w:tcPr>
            <w:tcW w:w="1650" w:type="dxa"/>
            <w:vAlign w:val="center"/>
          </w:tcPr>
          <w:p>
            <w:pPr>
              <w:pStyle w:val="TableNumber"/>
            </w:pPr>
            <w:r>
              <w:t>1.961 (1/9)</w:t>
            </w:r>
          </w:p>
        </w:tc>
        <w:tc>
          <w:tcPr>
            <w:tcW w:w="1600" w:type="dxa"/>
            <w:vAlign w:val="center"/>
          </w:tcPr>
          <w:p>
            <w:pPr>
              <w:pStyle w:val="TableNumber"/>
            </w:pPr>
            <w:r>
              <w:t>-15.97% (4/9)</w:t>
            </w:r>
          </w:p>
        </w:tc>
        <w:tc>
          <w:tcPr>
            <w:tcW w:w="960" w:type="dxa"/>
            <w:vAlign w:val="center"/>
          </w:tcPr>
          <w:p>
            <w:pPr>
              <w:pStyle w:val="TableNumber"/>
            </w:pPr>
            <w:r>
              <w:t>0.445</w:t>
            </w:r>
          </w:p>
        </w:tc>
      </w:tr>
      <w:tr>
        <w:trPr>
          <w:cantSplit/>
        </w:trPr>
        <w:tc>
          <w:tcPr>
            <w:tcW w:w="650" w:type="dxa"/>
            <w:vAlign w:val="center"/>
          </w:tcPr>
          <w:p>
            <w:pPr>
              <w:pStyle w:val="TableText"/>
            </w:pPr>
            <w:r>
              <w:t>4d</w:t>
            </w:r>
          </w:p>
        </w:tc>
        <w:tc>
          <w:tcPr>
            <w:tcW w:w="1900" w:type="dxa"/>
            <w:vAlign w:val="center"/>
          </w:tcPr>
          <w:p>
            <w:pPr>
              <w:pStyle w:val="TableNumber"/>
            </w:pPr>
            <w:r>
              <w:t>0.0498 (1/9)</w:t>
            </w:r>
          </w:p>
        </w:tc>
        <w:tc>
          <w:tcPr>
            <w:tcW w:w="1100" w:type="dxa"/>
            <w:vAlign w:val="center"/>
          </w:tcPr>
          <w:p>
            <w:pPr>
              <w:pStyle w:val="TableNumber"/>
            </w:pPr>
            <w:r>
              <w:t>0.330</w:t>
            </w:r>
          </w:p>
        </w:tc>
        <w:tc>
          <w:tcPr>
            <w:tcW w:w="1500" w:type="dxa"/>
            <w:vAlign w:val="center"/>
          </w:tcPr>
          <w:p>
            <w:pPr>
              <w:pStyle w:val="TableNumber"/>
            </w:pPr>
            <w:r>
              <w:t>0.69%</w:t>
            </w:r>
          </w:p>
        </w:tc>
        <w:tc>
          <w:tcPr>
            <w:tcW w:w="1650" w:type="dxa"/>
            <w:vAlign w:val="center"/>
          </w:tcPr>
          <w:p>
            <w:pPr>
              <w:pStyle w:val="TableNumber"/>
            </w:pPr>
            <w:r>
              <w:t>1.828 (1/9)</w:t>
            </w:r>
          </w:p>
        </w:tc>
        <w:tc>
          <w:tcPr>
            <w:tcW w:w="1600" w:type="dxa"/>
            <w:vAlign w:val="center"/>
          </w:tcPr>
          <w:p>
            <w:pPr>
              <w:pStyle w:val="TableNumber"/>
            </w:pPr>
            <w:r>
              <w:t>-17.01% (3/9)</w:t>
            </w:r>
          </w:p>
        </w:tc>
        <w:tc>
          <w:tcPr>
            <w:tcW w:w="960" w:type="dxa"/>
            <w:vAlign w:val="center"/>
          </w:tcPr>
          <w:p>
            <w:pPr>
              <w:pStyle w:val="TableNumber"/>
            </w:pPr>
            <w:r>
              <w:t>0.448</w:t>
            </w:r>
          </w:p>
        </w:tc>
      </w:tr>
      <w:tr>
        <w:trPr>
          <w:cantSplit/>
        </w:trPr>
        <w:tc>
          <w:tcPr>
            <w:tcW w:w="650" w:type="dxa"/>
            <w:vAlign w:val="center"/>
          </w:tcPr>
          <w:p>
            <w:pPr>
              <w:pStyle w:val="TableText"/>
            </w:pPr>
            <w:r>
              <w:t>5d</w:t>
            </w:r>
          </w:p>
        </w:tc>
        <w:tc>
          <w:tcPr>
            <w:tcW w:w="1900" w:type="dxa"/>
            <w:vAlign w:val="center"/>
          </w:tcPr>
          <w:p>
            <w:pPr>
              <w:pStyle w:val="TableNumber"/>
            </w:pPr>
            <w:r>
              <w:t>0.0431 (1/9)</w:t>
            </w:r>
          </w:p>
        </w:tc>
        <w:tc>
          <w:tcPr>
            <w:tcW w:w="1100" w:type="dxa"/>
            <w:vAlign w:val="center"/>
          </w:tcPr>
          <w:p>
            <w:pPr>
              <w:pStyle w:val="TableNumber"/>
            </w:pPr>
            <w:r>
              <w:t>0.289</w:t>
            </w:r>
          </w:p>
        </w:tc>
        <w:tc>
          <w:tcPr>
            <w:tcW w:w="1500" w:type="dxa"/>
            <w:vAlign w:val="center"/>
          </w:tcPr>
          <w:p>
            <w:pPr>
              <w:pStyle w:val="TableNumber"/>
            </w:pPr>
            <w:r>
              <w:t>0.76%</w:t>
            </w:r>
          </w:p>
        </w:tc>
        <w:tc>
          <w:tcPr>
            <w:tcW w:w="1650" w:type="dxa"/>
            <w:vAlign w:val="center"/>
          </w:tcPr>
          <w:p>
            <w:pPr>
              <w:pStyle w:val="TableNumber"/>
            </w:pPr>
            <w:r>
              <w:t>1.587 (1/9)</w:t>
            </w:r>
          </w:p>
        </w:tc>
        <w:tc>
          <w:tcPr>
            <w:tcW w:w="1600" w:type="dxa"/>
            <w:vAlign w:val="center"/>
          </w:tcPr>
          <w:p>
            <w:pPr>
              <w:pStyle w:val="TableNumber"/>
            </w:pPr>
            <w:r>
              <w:t>-26.61% (3/9)</w:t>
            </w:r>
          </w:p>
        </w:tc>
        <w:tc>
          <w:tcPr>
            <w:tcW w:w="960" w:type="dxa"/>
            <w:vAlign w:val="center"/>
          </w:tcPr>
          <w:p>
            <w:pPr>
              <w:pStyle w:val="TableNumber"/>
            </w:pPr>
            <w:r>
              <w:t>0.443</w:t>
            </w:r>
          </w:p>
        </w:tc>
      </w:tr>
      <w:tr>
        <w:trPr>
          <w:cantSplit/>
        </w:trPr>
        <w:tc>
          <w:tcPr>
            <w:tcW w:w="650" w:type="dxa"/>
            <w:vAlign w:val="center"/>
          </w:tcPr>
          <w:p>
            <w:pPr>
              <w:pStyle w:val="TableText"/>
            </w:pPr>
            <w:r>
              <w:t>6d</w:t>
            </w:r>
          </w:p>
        </w:tc>
        <w:tc>
          <w:tcPr>
            <w:tcW w:w="1900" w:type="dxa"/>
            <w:vAlign w:val="center"/>
          </w:tcPr>
          <w:p>
            <w:pPr>
              <w:pStyle w:val="TableNumber"/>
            </w:pPr>
            <w:r>
              <w:t>0.0425 (1/9)</w:t>
            </w:r>
          </w:p>
        </w:tc>
        <w:tc>
          <w:tcPr>
            <w:tcW w:w="1100" w:type="dxa"/>
            <w:vAlign w:val="center"/>
          </w:tcPr>
          <w:p>
            <w:pPr>
              <w:pStyle w:val="TableNumber"/>
            </w:pPr>
            <w:r>
              <w:t>0.298</w:t>
            </w:r>
          </w:p>
        </w:tc>
        <w:tc>
          <w:tcPr>
            <w:tcW w:w="1500" w:type="dxa"/>
            <w:vAlign w:val="center"/>
          </w:tcPr>
          <w:p>
            <w:pPr>
              <w:pStyle w:val="TableNumber"/>
            </w:pPr>
            <w:r>
              <w:t>0.94%</w:t>
            </w:r>
          </w:p>
        </w:tc>
        <w:tc>
          <w:tcPr>
            <w:tcW w:w="1650" w:type="dxa"/>
            <w:vAlign w:val="center"/>
          </w:tcPr>
          <w:p>
            <w:pPr>
              <w:pStyle w:val="TableNumber"/>
            </w:pPr>
            <w:r>
              <w:t>1.627 (1/9)</w:t>
            </w:r>
          </w:p>
        </w:tc>
        <w:tc>
          <w:tcPr>
            <w:tcW w:w="1600" w:type="dxa"/>
            <w:vAlign w:val="center"/>
          </w:tcPr>
          <w:p>
            <w:pPr>
              <w:pStyle w:val="TableNumber"/>
            </w:pPr>
            <w:r>
              <w:t>-31.07% (4/9)</w:t>
            </w:r>
          </w:p>
        </w:tc>
        <w:tc>
          <w:tcPr>
            <w:tcW w:w="960" w:type="dxa"/>
            <w:vAlign w:val="center"/>
          </w:tcPr>
          <w:p>
            <w:pPr>
              <w:pStyle w:val="TableNumber"/>
            </w:pPr>
            <w:r>
              <w:t>0.426</w:t>
            </w:r>
          </w:p>
        </w:tc>
      </w:tr>
      <w:tr>
        <w:trPr>
          <w:cantSplit/>
        </w:trPr>
        <w:tc>
          <w:tcPr>
            <w:tcW w:w="650" w:type="dxa"/>
            <w:vAlign w:val="center"/>
          </w:tcPr>
          <w:p>
            <w:pPr>
              <w:pStyle w:val="TableText"/>
            </w:pPr>
            <w:r>
              <w:t>7d</w:t>
            </w:r>
          </w:p>
        </w:tc>
        <w:tc>
          <w:tcPr>
            <w:tcW w:w="1900" w:type="dxa"/>
            <w:vAlign w:val="center"/>
          </w:tcPr>
          <w:p>
            <w:pPr>
              <w:pStyle w:val="TableNumber"/>
            </w:pPr>
            <w:r>
              <w:t>0.0423 (1/9)</w:t>
            </w:r>
          </w:p>
        </w:tc>
        <w:tc>
          <w:tcPr>
            <w:tcW w:w="1100" w:type="dxa"/>
            <w:vAlign w:val="center"/>
          </w:tcPr>
          <w:p>
            <w:pPr>
              <w:pStyle w:val="TableNumber"/>
            </w:pPr>
            <w:r>
              <w:t>0.301</w:t>
            </w:r>
          </w:p>
        </w:tc>
        <w:tc>
          <w:tcPr>
            <w:tcW w:w="1500" w:type="dxa"/>
            <w:vAlign w:val="center"/>
          </w:tcPr>
          <w:p>
            <w:pPr>
              <w:pStyle w:val="TableNumber"/>
            </w:pPr>
            <w:r>
              <w:t>1.03%</w:t>
            </w:r>
          </w:p>
        </w:tc>
        <w:tc>
          <w:tcPr>
            <w:tcW w:w="1650" w:type="dxa"/>
            <w:vAlign w:val="center"/>
          </w:tcPr>
          <w:p>
            <w:pPr>
              <w:pStyle w:val="TableNumber"/>
            </w:pPr>
            <w:r>
              <w:t>1.542 (1/9)</w:t>
            </w:r>
          </w:p>
        </w:tc>
        <w:tc>
          <w:tcPr>
            <w:tcW w:w="1600" w:type="dxa"/>
            <w:vAlign w:val="center"/>
          </w:tcPr>
          <w:p>
            <w:pPr>
              <w:pStyle w:val="TableNumber"/>
            </w:pPr>
            <w:r>
              <w:t>-35.49% (4/9)</w:t>
            </w:r>
          </w:p>
        </w:tc>
        <w:tc>
          <w:tcPr>
            <w:tcW w:w="960" w:type="dxa"/>
            <w:vAlign w:val="center"/>
          </w:tcPr>
          <w:p>
            <w:pPr>
              <w:pStyle w:val="TableNumber"/>
            </w:pPr>
            <w:r>
              <w:t>0.419</w:t>
            </w:r>
          </w:p>
        </w:tc>
      </w:tr>
      <w:tr>
        <w:trPr>
          <w:cantSplit/>
        </w:trPr>
        <w:tc>
          <w:tcPr>
            <w:tcW w:w="650" w:type="dxa"/>
            <w:vAlign w:val="center"/>
          </w:tcPr>
          <w:p>
            <w:pPr>
              <w:pStyle w:val="TableText"/>
            </w:pPr>
            <w:r>
              <w:t>8d</w:t>
            </w:r>
          </w:p>
        </w:tc>
        <w:tc>
          <w:tcPr>
            <w:tcW w:w="1900" w:type="dxa"/>
            <w:vAlign w:val="center"/>
          </w:tcPr>
          <w:p>
            <w:pPr>
              <w:pStyle w:val="TableNumber"/>
            </w:pPr>
            <w:r>
              <w:t>0.0472 (1/9)</w:t>
            </w:r>
          </w:p>
        </w:tc>
        <w:tc>
          <w:tcPr>
            <w:tcW w:w="1100" w:type="dxa"/>
            <w:vAlign w:val="center"/>
          </w:tcPr>
          <w:p>
            <w:pPr>
              <w:pStyle w:val="TableNumber"/>
            </w:pPr>
            <w:r>
              <w:t>0.337</w:t>
            </w:r>
          </w:p>
        </w:tc>
        <w:tc>
          <w:tcPr>
            <w:tcW w:w="1500" w:type="dxa"/>
            <w:vAlign w:val="center"/>
          </w:tcPr>
          <w:p>
            <w:pPr>
              <w:pStyle w:val="TableNumber"/>
            </w:pPr>
            <w:r>
              <w:t>1.23%</w:t>
            </w:r>
          </w:p>
        </w:tc>
        <w:tc>
          <w:tcPr>
            <w:tcW w:w="1650" w:type="dxa"/>
            <w:vAlign w:val="center"/>
          </w:tcPr>
          <w:p>
            <w:pPr>
              <w:pStyle w:val="TableNumber"/>
            </w:pPr>
            <w:r>
              <w:t>1.617 (1/9)</w:t>
            </w:r>
          </w:p>
        </w:tc>
        <w:tc>
          <w:tcPr>
            <w:tcW w:w="1600" w:type="dxa"/>
            <w:vAlign w:val="center"/>
          </w:tcPr>
          <w:p>
            <w:pPr>
              <w:pStyle w:val="TableNumber"/>
            </w:pPr>
            <w:r>
              <w:t>-38.98% (4/9)</w:t>
            </w:r>
          </w:p>
        </w:tc>
        <w:tc>
          <w:tcPr>
            <w:tcW w:w="960" w:type="dxa"/>
            <w:vAlign w:val="center"/>
          </w:tcPr>
          <w:p>
            <w:pPr>
              <w:pStyle w:val="TableNumber"/>
            </w:pPr>
            <w:r>
              <w:t>0.411</w:t>
            </w:r>
          </w:p>
        </w:tc>
      </w:tr>
      <w:tr>
        <w:trPr>
          <w:cantSplit/>
        </w:trPr>
        <w:tc>
          <w:tcPr>
            <w:tcW w:w="650" w:type="dxa"/>
            <w:vAlign w:val="center"/>
          </w:tcPr>
          <w:p>
            <w:pPr>
              <w:pStyle w:val="TableText"/>
            </w:pPr>
            <w:r>
              <w:t>9d</w:t>
            </w:r>
          </w:p>
        </w:tc>
        <w:tc>
          <w:tcPr>
            <w:tcW w:w="1900" w:type="dxa"/>
            <w:vAlign w:val="center"/>
          </w:tcPr>
          <w:p>
            <w:pPr>
              <w:pStyle w:val="TableNumber"/>
            </w:pPr>
            <w:r>
              <w:t>0.0550 (1/9)</w:t>
            </w:r>
          </w:p>
        </w:tc>
        <w:tc>
          <w:tcPr>
            <w:tcW w:w="1100" w:type="dxa"/>
            <w:vAlign w:val="center"/>
          </w:tcPr>
          <w:p>
            <w:pPr>
              <w:pStyle w:val="TableNumber"/>
            </w:pPr>
            <w:r>
              <w:t>0.381</w:t>
            </w:r>
          </w:p>
        </w:tc>
        <w:tc>
          <w:tcPr>
            <w:tcW w:w="1500" w:type="dxa"/>
            <w:vAlign w:val="center"/>
          </w:tcPr>
          <w:p>
            <w:pPr>
              <w:pStyle w:val="TableNumber"/>
            </w:pPr>
            <w:r>
              <w:t>1.44%</w:t>
            </w:r>
          </w:p>
        </w:tc>
        <w:tc>
          <w:tcPr>
            <w:tcW w:w="1650" w:type="dxa"/>
            <w:vAlign w:val="center"/>
          </w:tcPr>
          <w:p>
            <w:pPr>
              <w:pStyle w:val="TableNumber"/>
            </w:pPr>
            <w:r>
              <w:t>1.615 (1/9)</w:t>
            </w:r>
          </w:p>
        </w:tc>
        <w:tc>
          <w:tcPr>
            <w:tcW w:w="1600" w:type="dxa"/>
            <w:vAlign w:val="center"/>
          </w:tcPr>
          <w:p>
            <w:pPr>
              <w:pStyle w:val="TableNumber"/>
            </w:pPr>
            <w:r>
              <w:t>-46.80% (5/9)</w:t>
            </w:r>
          </w:p>
        </w:tc>
        <w:tc>
          <w:tcPr>
            <w:tcW w:w="960" w:type="dxa"/>
            <w:vAlign w:val="center"/>
          </w:tcPr>
          <w:p>
            <w:pPr>
              <w:pStyle w:val="TableNumber"/>
            </w:pPr>
            <w:r>
              <w:t>0.431</w:t>
            </w:r>
          </w:p>
        </w:tc>
      </w:tr>
      <w:tr>
        <w:trPr>
          <w:cantSplit/>
        </w:trPr>
        <w:tc>
          <w:tcPr>
            <w:tcW w:w="650" w:type="dxa"/>
            <w:vAlign w:val="center"/>
          </w:tcPr>
          <w:p>
            <w:pPr>
              <w:pStyle w:val="TableText"/>
            </w:pPr>
            <w:r>
              <w:t>10d</w:t>
            </w:r>
          </w:p>
        </w:tc>
        <w:tc>
          <w:tcPr>
            <w:tcW w:w="1900" w:type="dxa"/>
            <w:vAlign w:val="center"/>
          </w:tcPr>
          <w:p>
            <w:pPr>
              <w:pStyle w:val="TableNumber"/>
            </w:pPr>
            <w:r>
              <w:t>0.0607 (1/9)</w:t>
            </w:r>
          </w:p>
        </w:tc>
        <w:tc>
          <w:tcPr>
            <w:tcW w:w="1100" w:type="dxa"/>
            <w:vAlign w:val="center"/>
          </w:tcPr>
          <w:p>
            <w:pPr>
              <w:pStyle w:val="TableNumber"/>
            </w:pPr>
            <w:r>
              <w:t>0.400</w:t>
            </w:r>
          </w:p>
        </w:tc>
        <w:tc>
          <w:tcPr>
            <w:tcW w:w="1500" w:type="dxa"/>
            <w:vAlign w:val="center"/>
          </w:tcPr>
          <w:p>
            <w:pPr>
              <w:pStyle w:val="TableNumber"/>
            </w:pPr>
            <w:r>
              <w:t>1.63%</w:t>
            </w:r>
          </w:p>
        </w:tc>
        <w:tc>
          <w:tcPr>
            <w:tcW w:w="1650" w:type="dxa"/>
            <w:vAlign w:val="center"/>
          </w:tcPr>
          <w:p>
            <w:pPr>
              <w:pStyle w:val="TableNumber"/>
            </w:pPr>
            <w:r>
              <w:t>1.521 (1/9)</w:t>
            </w:r>
          </w:p>
        </w:tc>
        <w:tc>
          <w:tcPr>
            <w:tcW w:w="1600" w:type="dxa"/>
            <w:vAlign w:val="center"/>
          </w:tcPr>
          <w:p>
            <w:pPr>
              <w:pStyle w:val="TableNumber"/>
            </w:pPr>
            <w:r>
              <w:t>-56.10% (5/9)</w:t>
            </w:r>
          </w:p>
        </w:tc>
        <w:tc>
          <w:tcPr>
            <w:tcW w:w="960" w:type="dxa"/>
            <w:vAlign w:val="center"/>
          </w:tcPr>
          <w:p>
            <w:pPr>
              <w:pStyle w:val="TableNumber"/>
            </w:pPr>
            <w:r>
              <w:t>0.433</w:t>
            </w:r>
          </w:p>
        </w:tc>
      </w:tr>
      <w:tr>
        <w:trPr>
          <w:cantSplit/>
        </w:trPr>
        <w:tc>
          <w:tcPr>
            <w:tcW w:w="650" w:type="dxa"/>
            <w:vAlign w:val="center"/>
          </w:tcPr>
          <w:p>
            <w:pPr>
              <w:pStyle w:val="TableText"/>
            </w:pPr>
            <w:r>
              <w:t>11d</w:t>
            </w:r>
          </w:p>
        </w:tc>
        <w:tc>
          <w:tcPr>
            <w:tcW w:w="1900" w:type="dxa"/>
            <w:vAlign w:val="center"/>
          </w:tcPr>
          <w:p>
            <w:pPr>
              <w:pStyle w:val="TableNumber"/>
            </w:pPr>
            <w:r>
              <w:t>0.0713 (1/9)</w:t>
            </w:r>
          </w:p>
        </w:tc>
        <w:tc>
          <w:tcPr>
            <w:tcW w:w="1100" w:type="dxa"/>
            <w:vAlign w:val="center"/>
          </w:tcPr>
          <w:p>
            <w:pPr>
              <w:pStyle w:val="TableNumber"/>
            </w:pPr>
            <w:r>
              <w:t>0.472</w:t>
            </w:r>
          </w:p>
        </w:tc>
        <w:tc>
          <w:tcPr>
            <w:tcW w:w="1500" w:type="dxa"/>
            <w:vAlign w:val="center"/>
          </w:tcPr>
          <w:p>
            <w:pPr>
              <w:pStyle w:val="TableNumber"/>
            </w:pPr>
            <w:r>
              <w:t>2.00%</w:t>
            </w:r>
          </w:p>
        </w:tc>
        <w:tc>
          <w:tcPr>
            <w:tcW w:w="1650" w:type="dxa"/>
            <w:vAlign w:val="center"/>
          </w:tcPr>
          <w:p>
            <w:pPr>
              <w:pStyle w:val="TableNumber"/>
            </w:pPr>
            <w:r>
              <w:t>1.743 (1/9)</w:t>
            </w:r>
          </w:p>
        </w:tc>
        <w:tc>
          <w:tcPr>
            <w:tcW w:w="1600" w:type="dxa"/>
            <w:vAlign w:val="center"/>
          </w:tcPr>
          <w:p>
            <w:pPr>
              <w:pStyle w:val="TableNumber"/>
            </w:pPr>
            <w:r>
              <w:t>-54.54% (5/9)</w:t>
            </w:r>
          </w:p>
        </w:tc>
        <w:tc>
          <w:tcPr>
            <w:tcW w:w="960" w:type="dxa"/>
            <w:vAlign w:val="center"/>
          </w:tcPr>
          <w:p>
            <w:pPr>
              <w:pStyle w:val="TableNumber"/>
            </w:pPr>
            <w:r>
              <w:t>0.419</w:t>
            </w:r>
          </w:p>
        </w:tc>
      </w:tr>
      <w:tr>
        <w:trPr>
          <w:cantSplit/>
        </w:trPr>
        <w:tc>
          <w:tcPr>
            <w:tcW w:w="650" w:type="dxa"/>
            <w:vAlign w:val="center"/>
          </w:tcPr>
          <w:p>
            <w:pPr>
              <w:pStyle w:val="TableText"/>
            </w:pPr>
            <w:r>
              <w:t>12d</w:t>
            </w:r>
          </w:p>
        </w:tc>
        <w:tc>
          <w:tcPr>
            <w:tcW w:w="1900" w:type="dxa"/>
            <w:vAlign w:val="center"/>
          </w:tcPr>
          <w:p>
            <w:pPr>
              <w:pStyle w:val="TableNumber"/>
            </w:pPr>
            <w:r>
              <w:t>0.0798 (1/9)</w:t>
            </w:r>
          </w:p>
        </w:tc>
        <w:tc>
          <w:tcPr>
            <w:tcW w:w="1100" w:type="dxa"/>
            <w:vAlign w:val="center"/>
          </w:tcPr>
          <w:p>
            <w:pPr>
              <w:pStyle w:val="TableNumber"/>
            </w:pPr>
            <w:r>
              <w:t>0.521</w:t>
            </w:r>
          </w:p>
        </w:tc>
        <w:tc>
          <w:tcPr>
            <w:tcW w:w="1500" w:type="dxa"/>
            <w:vAlign w:val="center"/>
          </w:tcPr>
          <w:p>
            <w:pPr>
              <w:pStyle w:val="TableNumber"/>
            </w:pPr>
            <w:r>
              <w:t>2.31%</w:t>
            </w:r>
          </w:p>
        </w:tc>
        <w:tc>
          <w:tcPr>
            <w:tcW w:w="1650" w:type="dxa"/>
            <w:vAlign w:val="center"/>
          </w:tcPr>
          <w:p>
            <w:pPr>
              <w:pStyle w:val="TableNumber"/>
            </w:pPr>
            <w:r>
              <w:t>1.828 (1/9)</w:t>
            </w:r>
          </w:p>
        </w:tc>
        <w:tc>
          <w:tcPr>
            <w:tcW w:w="1600" w:type="dxa"/>
            <w:vAlign w:val="center"/>
          </w:tcPr>
          <w:p>
            <w:pPr>
              <w:pStyle w:val="TableNumber"/>
            </w:pPr>
            <w:r>
              <w:t>-53.57% (5/9)</w:t>
            </w:r>
          </w:p>
        </w:tc>
        <w:tc>
          <w:tcPr>
            <w:tcW w:w="960" w:type="dxa"/>
            <w:vAlign w:val="center"/>
          </w:tcPr>
          <w:p>
            <w:pPr>
              <w:pStyle w:val="TableNumber"/>
            </w:pPr>
            <w:r>
              <w:t>0.400</w:t>
            </w:r>
          </w:p>
        </w:tc>
      </w:tr>
      <w:tr>
        <w:trPr>
          <w:cantSplit/>
        </w:trPr>
        <w:tc>
          <w:tcPr>
            <w:tcW w:w="650" w:type="dxa"/>
            <w:vAlign w:val="center"/>
          </w:tcPr>
          <w:p>
            <w:pPr>
              <w:pStyle w:val="TableText"/>
            </w:pPr>
            <w:r>
              <w:t>13d</w:t>
            </w:r>
          </w:p>
        </w:tc>
        <w:tc>
          <w:tcPr>
            <w:tcW w:w="1900" w:type="dxa"/>
            <w:vAlign w:val="center"/>
          </w:tcPr>
          <w:p>
            <w:pPr>
              <w:pStyle w:val="TableNumber"/>
            </w:pPr>
            <w:r>
              <w:t>0.0821 (1/9)</w:t>
            </w:r>
          </w:p>
        </w:tc>
        <w:tc>
          <w:tcPr>
            <w:tcW w:w="1100" w:type="dxa"/>
            <w:vAlign w:val="center"/>
          </w:tcPr>
          <w:p>
            <w:pPr>
              <w:pStyle w:val="TableNumber"/>
            </w:pPr>
            <w:r>
              <w:t>0.554</w:t>
            </w:r>
          </w:p>
        </w:tc>
        <w:tc>
          <w:tcPr>
            <w:tcW w:w="1500" w:type="dxa"/>
            <w:vAlign w:val="center"/>
          </w:tcPr>
          <w:p>
            <w:pPr>
              <w:pStyle w:val="TableNumber"/>
            </w:pPr>
            <w:r>
              <w:t>2.45%</w:t>
            </w:r>
          </w:p>
        </w:tc>
        <w:tc>
          <w:tcPr>
            <w:tcW w:w="1650" w:type="dxa"/>
            <w:vAlign w:val="center"/>
          </w:tcPr>
          <w:p>
            <w:pPr>
              <w:pStyle w:val="TableNumber"/>
            </w:pPr>
            <w:r>
              <w:t>1.801 (1/9)</w:t>
            </w:r>
          </w:p>
        </w:tc>
        <w:tc>
          <w:tcPr>
            <w:tcW w:w="1600" w:type="dxa"/>
            <w:vAlign w:val="center"/>
          </w:tcPr>
          <w:p>
            <w:pPr>
              <w:pStyle w:val="TableNumber"/>
            </w:pPr>
            <w:r>
              <w:t>-53.57% (4/9)</w:t>
            </w:r>
          </w:p>
        </w:tc>
        <w:tc>
          <w:tcPr>
            <w:tcW w:w="960" w:type="dxa"/>
            <w:vAlign w:val="center"/>
          </w:tcPr>
          <w:p>
            <w:pPr>
              <w:pStyle w:val="TableNumber"/>
            </w:pPr>
            <w:r>
              <w:t>0.402</w:t>
            </w:r>
          </w:p>
        </w:tc>
      </w:tr>
      <w:tr>
        <w:trPr>
          <w:cantSplit/>
        </w:trPr>
        <w:tc>
          <w:tcPr>
            <w:tcW w:w="650" w:type="dxa"/>
            <w:vAlign w:val="center"/>
          </w:tcPr>
          <w:p>
            <w:pPr>
              <w:pStyle w:val="TableText"/>
            </w:pPr>
            <w:r>
              <w:t>14d</w:t>
            </w:r>
          </w:p>
        </w:tc>
        <w:tc>
          <w:tcPr>
            <w:tcW w:w="1900" w:type="dxa"/>
            <w:vAlign w:val="center"/>
          </w:tcPr>
          <w:p>
            <w:pPr>
              <w:pStyle w:val="TableNumber"/>
            </w:pPr>
            <w:r>
              <w:t>0.0805 (1/9)</w:t>
            </w:r>
          </w:p>
        </w:tc>
        <w:tc>
          <w:tcPr>
            <w:tcW w:w="1100" w:type="dxa"/>
            <w:vAlign w:val="center"/>
          </w:tcPr>
          <w:p>
            <w:pPr>
              <w:pStyle w:val="TableNumber"/>
            </w:pPr>
            <w:r>
              <w:t>0.527</w:t>
            </w:r>
          </w:p>
        </w:tc>
        <w:tc>
          <w:tcPr>
            <w:tcW w:w="1500" w:type="dxa"/>
            <w:vAlign w:val="center"/>
          </w:tcPr>
          <w:p>
            <w:pPr>
              <w:pStyle w:val="TableNumber"/>
            </w:pPr>
            <w:r>
              <w:t>2.57%</w:t>
            </w:r>
          </w:p>
        </w:tc>
        <w:tc>
          <w:tcPr>
            <w:tcW w:w="1650" w:type="dxa"/>
            <w:vAlign w:val="center"/>
          </w:tcPr>
          <w:p>
            <w:pPr>
              <w:pStyle w:val="TableNumber"/>
            </w:pPr>
            <w:r>
              <w:t>1.783 (1/9)</w:t>
            </w:r>
          </w:p>
        </w:tc>
        <w:tc>
          <w:tcPr>
            <w:tcW w:w="1600" w:type="dxa"/>
            <w:vAlign w:val="center"/>
          </w:tcPr>
          <w:p>
            <w:pPr>
              <w:pStyle w:val="TableNumber"/>
            </w:pPr>
            <w:r>
              <w:t>-55.19% (4/9)</w:t>
            </w:r>
          </w:p>
        </w:tc>
        <w:tc>
          <w:tcPr>
            <w:tcW w:w="960" w:type="dxa"/>
            <w:vAlign w:val="center"/>
          </w:tcPr>
          <w:p>
            <w:pPr>
              <w:pStyle w:val="TableNumber"/>
            </w:pPr>
            <w:r>
              <w:t>0.403</w:t>
            </w:r>
          </w:p>
        </w:tc>
      </w:tr>
    </w:tbl>
    <w:p>
      <w:pPr>
        <w:pStyle w:val="a"/>
      </w:pPr>
      <w:r>
        <w:t>RankIC and net Sharpe are positive across all 14 horizons and both rank first at every horizon among nine models with full outputs. Maximum drawdown ranges from -5.13% to -56.10%, worst at 10d. These diagnostics do not establish stable profit; capital-path conclusions remain limited by overlapping returns and simplified costs.</w:t>
      </w:r>
    </w:p>
    <w:p>
      <w:pPr>
        <w:pStyle w:val="Note"/>
      </w:pPr>
      <w:r>
        <w:t>The backtest deducts a fixed 10 bps per unit of turnover and annualizes Sharpe with sqrt(252/h). It does not correct autocorrelation from overlapping forward returns or fully model market impact, borrow, capacity, slippage, or taxes. These economic diagnostics are research comparisons, not achievable-return estimates.</w:t>
      </w:r>
    </w:p>
    <w:p>
      <w:pPr>
        <w:pStyle w:val="11"/>
      </w:pPr>
      <w:r>
        <w:t>7. Derived signal distribution across all horizons</w:t>
      </w:r>
    </w:p>
    <w:p>
      <w:pPr>
        <w:pStyle w:val="Decision"/>
        <w:keepNext/>
        <w:spacing w:after="80"/>
      </w:pPr>
      <w:r>
        <w:t>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 (rows)</w:t>
            </w:r>
          </w:p>
        </w:tc>
      </w:tr>
      <w:tr>
        <w:trPr>
          <w:cantSplit/>
        </w:trPr>
        <w:tc>
          <w:tcPr>
            <w:tcW w:w="900" w:type="dxa"/>
            <w:vAlign w:val="center"/>
          </w:tcPr>
          <w:p>
            <w:pPr>
              <w:pStyle w:val="TableText"/>
            </w:pPr>
            <w:r>
              <w:t>1d</w:t>
            </w:r>
          </w:p>
        </w:tc>
        <w:tc>
          <w:tcPr>
            <w:tcW w:w="1800" w:type="dxa"/>
            <w:vAlign w:val="center"/>
          </w:tcPr>
          <w:p>
            <w:pPr>
              <w:pStyle w:val="TableNumber"/>
            </w:pPr>
            <w:r>
              <w:t>92.95%</w:t>
            </w:r>
          </w:p>
        </w:tc>
        <w:tc>
          <w:tcPr>
            <w:tcW w:w="1800" w:type="dxa"/>
            <w:vAlign w:val="center"/>
          </w:tcPr>
          <w:p>
            <w:pPr>
              <w:pStyle w:val="TableNumber"/>
            </w:pPr>
            <w:r>
              <w:t>0.00%</w:t>
            </w:r>
          </w:p>
        </w:tc>
        <w:tc>
          <w:tcPr>
            <w:tcW w:w="1800" w:type="dxa"/>
            <w:vAlign w:val="center"/>
          </w:tcPr>
          <w:p>
            <w:pPr>
              <w:pStyle w:val="TableNumber"/>
            </w:pPr>
            <w:r>
              <w:t>7.03%</w:t>
            </w:r>
          </w:p>
        </w:tc>
        <w:tc>
          <w:tcPr>
            <w:tcW w:w="3060" w:type="dxa"/>
            <w:vAlign w:val="center"/>
          </w:tcPr>
          <w:p>
            <w:pPr>
              <w:pStyle w:val="TableNumber"/>
            </w:pPr>
            <w:r>
              <w:t>5 / 0</w:t>
            </w:r>
          </w:p>
        </w:tc>
      </w:tr>
      <w:tr>
        <w:trPr>
          <w:cantSplit/>
        </w:trPr>
        <w:tc>
          <w:tcPr>
            <w:tcW w:w="900" w:type="dxa"/>
            <w:vAlign w:val="center"/>
          </w:tcPr>
          <w:p>
            <w:pPr>
              <w:pStyle w:val="TableText"/>
            </w:pPr>
            <w:r>
              <w:t>2d</w:t>
            </w:r>
          </w:p>
        </w:tc>
        <w:tc>
          <w:tcPr>
            <w:tcW w:w="1800" w:type="dxa"/>
            <w:vAlign w:val="center"/>
          </w:tcPr>
          <w:p>
            <w:pPr>
              <w:pStyle w:val="TableNumber"/>
            </w:pPr>
            <w:r>
              <w:t>93.49%</w:t>
            </w:r>
          </w:p>
        </w:tc>
        <w:tc>
          <w:tcPr>
            <w:tcW w:w="1800" w:type="dxa"/>
            <w:vAlign w:val="center"/>
          </w:tcPr>
          <w:p>
            <w:pPr>
              <w:pStyle w:val="TableNumber"/>
            </w:pPr>
            <w:r>
              <w:t>0.00%</w:t>
            </w:r>
          </w:p>
        </w:tc>
        <w:tc>
          <w:tcPr>
            <w:tcW w:w="1800" w:type="dxa"/>
            <w:vAlign w:val="center"/>
          </w:tcPr>
          <w:p>
            <w:pPr>
              <w:pStyle w:val="TableNumber"/>
            </w:pPr>
            <w:r>
              <w:t>5.85%</w:t>
            </w:r>
          </w:p>
        </w:tc>
        <w:tc>
          <w:tcPr>
            <w:tcW w:w="3060" w:type="dxa"/>
            <w:vAlign w:val="center"/>
          </w:tcPr>
          <w:p>
            <w:pPr>
              <w:pStyle w:val="TableNumber"/>
            </w:pPr>
            <w:r>
              <w:t>130 / 0</w:t>
            </w:r>
          </w:p>
        </w:tc>
      </w:tr>
      <w:tr>
        <w:trPr>
          <w:cantSplit/>
        </w:trPr>
        <w:tc>
          <w:tcPr>
            <w:tcW w:w="900" w:type="dxa"/>
            <w:vAlign w:val="center"/>
          </w:tcPr>
          <w:p>
            <w:pPr>
              <w:pStyle w:val="TableText"/>
            </w:pPr>
            <w:r>
              <w:t>3d</w:t>
            </w:r>
          </w:p>
        </w:tc>
        <w:tc>
          <w:tcPr>
            <w:tcW w:w="1800" w:type="dxa"/>
            <w:vAlign w:val="center"/>
          </w:tcPr>
          <w:p>
            <w:pPr>
              <w:pStyle w:val="TableNumber"/>
            </w:pPr>
            <w:r>
              <w:t>89.09%</w:t>
            </w:r>
          </w:p>
        </w:tc>
        <w:tc>
          <w:tcPr>
            <w:tcW w:w="1800" w:type="dxa"/>
            <w:vAlign w:val="center"/>
          </w:tcPr>
          <w:p>
            <w:pPr>
              <w:pStyle w:val="TableNumber"/>
            </w:pPr>
            <w:r>
              <w:t>0.00%</w:t>
            </w:r>
          </w:p>
        </w:tc>
        <w:tc>
          <w:tcPr>
            <w:tcW w:w="1800" w:type="dxa"/>
            <w:vAlign w:val="center"/>
          </w:tcPr>
          <w:p>
            <w:pPr>
              <w:pStyle w:val="TableNumber"/>
            </w:pPr>
            <w:r>
              <w:t>8.61%</w:t>
            </w:r>
          </w:p>
        </w:tc>
        <w:tc>
          <w:tcPr>
            <w:tcW w:w="3060" w:type="dxa"/>
            <w:vAlign w:val="center"/>
          </w:tcPr>
          <w:p>
            <w:pPr>
              <w:pStyle w:val="TableNumber"/>
            </w:pPr>
            <w:r>
              <w:t>461 / 0</w:t>
            </w:r>
          </w:p>
        </w:tc>
      </w:tr>
      <w:tr>
        <w:trPr>
          <w:cantSplit/>
        </w:trPr>
        <w:tc>
          <w:tcPr>
            <w:tcW w:w="900" w:type="dxa"/>
            <w:vAlign w:val="center"/>
          </w:tcPr>
          <w:p>
            <w:pPr>
              <w:pStyle w:val="TableText"/>
            </w:pPr>
            <w:r>
              <w:t>4d</w:t>
            </w:r>
          </w:p>
        </w:tc>
        <w:tc>
          <w:tcPr>
            <w:tcW w:w="1800" w:type="dxa"/>
            <w:vAlign w:val="center"/>
          </w:tcPr>
          <w:p>
            <w:pPr>
              <w:pStyle w:val="TableNumber"/>
            </w:pPr>
            <w:r>
              <w:t>87.64%</w:t>
            </w:r>
          </w:p>
        </w:tc>
        <w:tc>
          <w:tcPr>
            <w:tcW w:w="1800" w:type="dxa"/>
            <w:vAlign w:val="center"/>
          </w:tcPr>
          <w:p>
            <w:pPr>
              <w:pStyle w:val="TableNumber"/>
            </w:pPr>
            <w:r>
              <w:t>0.00%</w:t>
            </w:r>
          </w:p>
        </w:tc>
        <w:tc>
          <w:tcPr>
            <w:tcW w:w="1800" w:type="dxa"/>
            <w:vAlign w:val="center"/>
          </w:tcPr>
          <w:p>
            <w:pPr>
              <w:pStyle w:val="TableNumber"/>
            </w:pPr>
            <w:r>
              <w:t>8.31%</w:t>
            </w:r>
          </w:p>
        </w:tc>
        <w:tc>
          <w:tcPr>
            <w:tcW w:w="3060" w:type="dxa"/>
            <w:vAlign w:val="center"/>
          </w:tcPr>
          <w:p>
            <w:pPr>
              <w:pStyle w:val="TableNumber"/>
            </w:pPr>
            <w:r>
              <w:t>806 / 3</w:t>
            </w:r>
          </w:p>
        </w:tc>
      </w:tr>
      <w:tr>
        <w:trPr>
          <w:cantSplit/>
        </w:trPr>
        <w:tc>
          <w:tcPr>
            <w:tcW w:w="900" w:type="dxa"/>
            <w:vAlign w:val="center"/>
          </w:tcPr>
          <w:p>
            <w:pPr>
              <w:pStyle w:val="TableText"/>
            </w:pPr>
            <w:r>
              <w:t>5d</w:t>
            </w:r>
          </w:p>
        </w:tc>
        <w:tc>
          <w:tcPr>
            <w:tcW w:w="1800" w:type="dxa"/>
            <w:vAlign w:val="center"/>
          </w:tcPr>
          <w:p>
            <w:pPr>
              <w:pStyle w:val="TableNumber"/>
            </w:pPr>
            <w:r>
              <w:t>84.83%</w:t>
            </w:r>
          </w:p>
        </w:tc>
        <w:tc>
          <w:tcPr>
            <w:tcW w:w="1800" w:type="dxa"/>
            <w:vAlign w:val="center"/>
          </w:tcPr>
          <w:p>
            <w:pPr>
              <w:pStyle w:val="TableNumber"/>
            </w:pPr>
            <w:r>
              <w:t>0.00%</w:t>
            </w:r>
          </w:p>
        </w:tc>
        <w:tc>
          <w:tcPr>
            <w:tcW w:w="1800" w:type="dxa"/>
            <w:vAlign w:val="center"/>
          </w:tcPr>
          <w:p>
            <w:pPr>
              <w:pStyle w:val="TableNumber"/>
            </w:pPr>
            <w:r>
              <w:t>11.04%</w:t>
            </w:r>
          </w:p>
        </w:tc>
        <w:tc>
          <w:tcPr>
            <w:tcW w:w="3060" w:type="dxa"/>
            <w:vAlign w:val="center"/>
          </w:tcPr>
          <w:p>
            <w:pPr>
              <w:pStyle w:val="TableNumber"/>
            </w:pPr>
            <w:r>
              <w:t>811 / 15</w:t>
            </w:r>
          </w:p>
        </w:tc>
      </w:tr>
      <w:tr>
        <w:trPr>
          <w:cantSplit/>
        </w:trPr>
        <w:tc>
          <w:tcPr>
            <w:tcW w:w="900" w:type="dxa"/>
            <w:vAlign w:val="center"/>
          </w:tcPr>
          <w:p>
            <w:pPr>
              <w:pStyle w:val="TableText"/>
            </w:pPr>
            <w:r>
              <w:t>6d</w:t>
            </w:r>
          </w:p>
        </w:tc>
        <w:tc>
          <w:tcPr>
            <w:tcW w:w="1800" w:type="dxa"/>
            <w:vAlign w:val="center"/>
          </w:tcPr>
          <w:p>
            <w:pPr>
              <w:pStyle w:val="TableNumber"/>
            </w:pPr>
            <w:r>
              <w:t>84.64%</w:t>
            </w:r>
          </w:p>
        </w:tc>
        <w:tc>
          <w:tcPr>
            <w:tcW w:w="1800" w:type="dxa"/>
            <w:vAlign w:val="center"/>
          </w:tcPr>
          <w:p>
            <w:pPr>
              <w:pStyle w:val="TableNumber"/>
            </w:pPr>
            <w:r>
              <w:t>0.00%</w:t>
            </w:r>
          </w:p>
        </w:tc>
        <w:tc>
          <w:tcPr>
            <w:tcW w:w="1800" w:type="dxa"/>
            <w:vAlign w:val="center"/>
          </w:tcPr>
          <w:p>
            <w:pPr>
              <w:pStyle w:val="TableNumber"/>
            </w:pPr>
            <w:r>
              <w:t>11.36%</w:t>
            </w:r>
          </w:p>
        </w:tc>
        <w:tc>
          <w:tcPr>
            <w:tcW w:w="3060" w:type="dxa"/>
            <w:vAlign w:val="center"/>
          </w:tcPr>
          <w:p>
            <w:pPr>
              <w:pStyle w:val="TableNumber"/>
            </w:pPr>
            <w:r>
              <w:t>784 / 18</w:t>
            </w:r>
          </w:p>
        </w:tc>
      </w:tr>
      <w:tr>
        <w:trPr>
          <w:cantSplit/>
        </w:trPr>
        <w:tc>
          <w:tcPr>
            <w:tcW w:w="900" w:type="dxa"/>
            <w:vAlign w:val="center"/>
          </w:tcPr>
          <w:p>
            <w:pPr>
              <w:pStyle w:val="TableText"/>
            </w:pPr>
            <w:r>
              <w:t>7d</w:t>
            </w:r>
          </w:p>
        </w:tc>
        <w:tc>
          <w:tcPr>
            <w:tcW w:w="1800" w:type="dxa"/>
            <w:vAlign w:val="center"/>
          </w:tcPr>
          <w:p>
            <w:pPr>
              <w:pStyle w:val="TableNumber"/>
            </w:pPr>
            <w:r>
              <w:t>83.31%</w:t>
            </w:r>
          </w:p>
        </w:tc>
        <w:tc>
          <w:tcPr>
            <w:tcW w:w="1800" w:type="dxa"/>
            <w:vAlign w:val="center"/>
          </w:tcPr>
          <w:p>
            <w:pPr>
              <w:pStyle w:val="TableNumber"/>
            </w:pPr>
            <w:r>
              <w:t>0.00%</w:t>
            </w:r>
          </w:p>
        </w:tc>
        <w:tc>
          <w:tcPr>
            <w:tcW w:w="1800" w:type="dxa"/>
            <w:vAlign w:val="center"/>
          </w:tcPr>
          <w:p>
            <w:pPr>
              <w:pStyle w:val="TableNumber"/>
            </w:pPr>
            <w:r>
              <w:t>13.17%</w:t>
            </w:r>
          </w:p>
        </w:tc>
        <w:tc>
          <w:tcPr>
            <w:tcW w:w="3060" w:type="dxa"/>
            <w:vAlign w:val="center"/>
          </w:tcPr>
          <w:p>
            <w:pPr>
              <w:pStyle w:val="TableNumber"/>
            </w:pPr>
            <w:r>
              <w:t>643 / 61</w:t>
            </w:r>
          </w:p>
        </w:tc>
      </w:tr>
      <w:tr>
        <w:trPr>
          <w:cantSplit/>
        </w:trPr>
        <w:tc>
          <w:tcPr>
            <w:tcW w:w="900" w:type="dxa"/>
            <w:vAlign w:val="center"/>
          </w:tcPr>
          <w:p>
            <w:pPr>
              <w:pStyle w:val="TableText"/>
            </w:pPr>
            <w:r>
              <w:t>8d</w:t>
            </w:r>
          </w:p>
        </w:tc>
        <w:tc>
          <w:tcPr>
            <w:tcW w:w="1800" w:type="dxa"/>
            <w:vAlign w:val="center"/>
          </w:tcPr>
          <w:p>
            <w:pPr>
              <w:pStyle w:val="TableNumber"/>
            </w:pPr>
            <w:r>
              <w:t>83.30%</w:t>
            </w:r>
          </w:p>
        </w:tc>
        <w:tc>
          <w:tcPr>
            <w:tcW w:w="1800" w:type="dxa"/>
            <w:vAlign w:val="center"/>
          </w:tcPr>
          <w:p>
            <w:pPr>
              <w:pStyle w:val="TableNumber"/>
            </w:pPr>
            <w:r>
              <w:t>0.00%</w:t>
            </w:r>
          </w:p>
        </w:tc>
        <w:tc>
          <w:tcPr>
            <w:tcW w:w="1800" w:type="dxa"/>
            <w:vAlign w:val="center"/>
          </w:tcPr>
          <w:p>
            <w:pPr>
              <w:pStyle w:val="TableNumber"/>
            </w:pPr>
            <w:r>
              <w:t>13.31%</w:t>
            </w:r>
          </w:p>
        </w:tc>
        <w:tc>
          <w:tcPr>
            <w:tcW w:w="3060" w:type="dxa"/>
            <w:vAlign w:val="center"/>
          </w:tcPr>
          <w:p>
            <w:pPr>
              <w:pStyle w:val="TableNumber"/>
            </w:pPr>
            <w:r>
              <w:t>629 / 47</w:t>
            </w:r>
          </w:p>
        </w:tc>
      </w:tr>
      <w:tr>
        <w:trPr>
          <w:cantSplit/>
        </w:trPr>
        <w:tc>
          <w:tcPr>
            <w:tcW w:w="900" w:type="dxa"/>
            <w:vAlign w:val="center"/>
          </w:tcPr>
          <w:p>
            <w:pPr>
              <w:pStyle w:val="TableText"/>
            </w:pPr>
            <w:r>
              <w:t>9d</w:t>
            </w:r>
          </w:p>
        </w:tc>
        <w:tc>
          <w:tcPr>
            <w:tcW w:w="1800" w:type="dxa"/>
            <w:vAlign w:val="center"/>
          </w:tcPr>
          <w:p>
            <w:pPr>
              <w:pStyle w:val="TableNumber"/>
            </w:pPr>
            <w:r>
              <w:t>81.69%</w:t>
            </w:r>
          </w:p>
        </w:tc>
        <w:tc>
          <w:tcPr>
            <w:tcW w:w="1800" w:type="dxa"/>
            <w:vAlign w:val="center"/>
          </w:tcPr>
          <w:p>
            <w:pPr>
              <w:pStyle w:val="TableNumber"/>
            </w:pPr>
            <w:r>
              <w:t>0.00%</w:t>
            </w:r>
          </w:p>
        </w:tc>
        <w:tc>
          <w:tcPr>
            <w:tcW w:w="1800" w:type="dxa"/>
            <w:vAlign w:val="center"/>
          </w:tcPr>
          <w:p>
            <w:pPr>
              <w:pStyle w:val="TableNumber"/>
            </w:pPr>
            <w:r>
              <w:t>15.15%</w:t>
            </w:r>
          </w:p>
        </w:tc>
        <w:tc>
          <w:tcPr>
            <w:tcW w:w="3060" w:type="dxa"/>
            <w:vAlign w:val="center"/>
          </w:tcPr>
          <w:p>
            <w:pPr>
              <w:pStyle w:val="TableNumber"/>
            </w:pPr>
            <w:r>
              <w:t>589 / 43</w:t>
            </w:r>
          </w:p>
        </w:tc>
      </w:tr>
      <w:tr>
        <w:trPr>
          <w:cantSplit/>
        </w:trPr>
        <w:tc>
          <w:tcPr>
            <w:tcW w:w="900" w:type="dxa"/>
            <w:vAlign w:val="center"/>
          </w:tcPr>
          <w:p>
            <w:pPr>
              <w:pStyle w:val="TableText"/>
            </w:pPr>
            <w:r>
              <w:t>10d</w:t>
            </w:r>
          </w:p>
        </w:tc>
        <w:tc>
          <w:tcPr>
            <w:tcW w:w="1800" w:type="dxa"/>
            <w:vAlign w:val="center"/>
          </w:tcPr>
          <w:p>
            <w:pPr>
              <w:pStyle w:val="TableNumber"/>
            </w:pPr>
            <w:r>
              <w:t>81.86%</w:t>
            </w:r>
          </w:p>
        </w:tc>
        <w:tc>
          <w:tcPr>
            <w:tcW w:w="1800" w:type="dxa"/>
            <w:vAlign w:val="center"/>
          </w:tcPr>
          <w:p>
            <w:pPr>
              <w:pStyle w:val="TableNumber"/>
            </w:pPr>
            <w:r>
              <w:t>0.00%</w:t>
            </w:r>
          </w:p>
        </w:tc>
        <w:tc>
          <w:tcPr>
            <w:tcW w:w="1800" w:type="dxa"/>
            <w:vAlign w:val="center"/>
          </w:tcPr>
          <w:p>
            <w:pPr>
              <w:pStyle w:val="TableNumber"/>
            </w:pPr>
            <w:r>
              <w:t>15.47%</w:t>
            </w:r>
          </w:p>
        </w:tc>
        <w:tc>
          <w:tcPr>
            <w:tcW w:w="3060" w:type="dxa"/>
            <w:vAlign w:val="center"/>
          </w:tcPr>
          <w:p>
            <w:pPr>
              <w:pStyle w:val="TableNumber"/>
            </w:pPr>
            <w:r>
              <w:t>498 / 34</w:t>
            </w:r>
          </w:p>
        </w:tc>
      </w:tr>
      <w:tr>
        <w:trPr>
          <w:cantSplit/>
        </w:trPr>
        <w:tc>
          <w:tcPr>
            <w:tcW w:w="900" w:type="dxa"/>
            <w:vAlign w:val="center"/>
          </w:tcPr>
          <w:p>
            <w:pPr>
              <w:pStyle w:val="TableText"/>
            </w:pPr>
            <w:r>
              <w:t>11d</w:t>
            </w:r>
          </w:p>
        </w:tc>
        <w:tc>
          <w:tcPr>
            <w:tcW w:w="1800" w:type="dxa"/>
            <w:vAlign w:val="center"/>
          </w:tcPr>
          <w:p>
            <w:pPr>
              <w:pStyle w:val="TableNumber"/>
            </w:pPr>
            <w:r>
              <w:t>80.18%</w:t>
            </w:r>
          </w:p>
        </w:tc>
        <w:tc>
          <w:tcPr>
            <w:tcW w:w="1800" w:type="dxa"/>
            <w:vAlign w:val="center"/>
          </w:tcPr>
          <w:p>
            <w:pPr>
              <w:pStyle w:val="TableNumber"/>
            </w:pPr>
            <w:r>
              <w:t>0.00%</w:t>
            </w:r>
          </w:p>
        </w:tc>
        <w:tc>
          <w:tcPr>
            <w:tcW w:w="1800" w:type="dxa"/>
            <w:vAlign w:val="center"/>
          </w:tcPr>
          <w:p>
            <w:pPr>
              <w:pStyle w:val="TableNumber"/>
            </w:pPr>
            <w:r>
              <w:t>18.04%</w:t>
            </w:r>
          </w:p>
        </w:tc>
        <w:tc>
          <w:tcPr>
            <w:tcW w:w="3060" w:type="dxa"/>
            <w:vAlign w:val="center"/>
          </w:tcPr>
          <w:p>
            <w:pPr>
              <w:pStyle w:val="TableNumber"/>
            </w:pPr>
            <w:r>
              <w:t>279 / 78</w:t>
            </w:r>
          </w:p>
        </w:tc>
      </w:tr>
      <w:tr>
        <w:trPr>
          <w:cantSplit/>
        </w:trPr>
        <w:tc>
          <w:tcPr>
            <w:tcW w:w="900" w:type="dxa"/>
            <w:vAlign w:val="center"/>
          </w:tcPr>
          <w:p>
            <w:pPr>
              <w:pStyle w:val="TableText"/>
            </w:pPr>
            <w:r>
              <w:t>12d</w:t>
            </w:r>
          </w:p>
        </w:tc>
        <w:tc>
          <w:tcPr>
            <w:tcW w:w="1800" w:type="dxa"/>
            <w:vAlign w:val="center"/>
          </w:tcPr>
          <w:p>
            <w:pPr>
              <w:pStyle w:val="TableNumber"/>
            </w:pPr>
            <w:r>
              <w:t>79.37%</w:t>
            </w:r>
          </w:p>
        </w:tc>
        <w:tc>
          <w:tcPr>
            <w:tcW w:w="1800" w:type="dxa"/>
            <w:vAlign w:val="center"/>
          </w:tcPr>
          <w:p>
            <w:pPr>
              <w:pStyle w:val="TableNumber"/>
            </w:pPr>
            <w:r>
              <w:t>0.00%</w:t>
            </w:r>
          </w:p>
        </w:tc>
        <w:tc>
          <w:tcPr>
            <w:tcW w:w="1800" w:type="dxa"/>
            <w:vAlign w:val="center"/>
          </w:tcPr>
          <w:p>
            <w:pPr>
              <w:pStyle w:val="TableNumber"/>
            </w:pPr>
            <w:r>
              <w:t>18.48%</w:t>
            </w:r>
          </w:p>
        </w:tc>
        <w:tc>
          <w:tcPr>
            <w:tcW w:w="3060" w:type="dxa"/>
            <w:vAlign w:val="center"/>
          </w:tcPr>
          <w:p>
            <w:pPr>
              <w:pStyle w:val="TableNumber"/>
            </w:pPr>
            <w:r>
              <w:t>196 / 235</w:t>
            </w:r>
          </w:p>
        </w:tc>
      </w:tr>
      <w:tr>
        <w:trPr>
          <w:cantSplit/>
        </w:trPr>
        <w:tc>
          <w:tcPr>
            <w:tcW w:w="900" w:type="dxa"/>
            <w:vAlign w:val="center"/>
          </w:tcPr>
          <w:p>
            <w:pPr>
              <w:pStyle w:val="TableText"/>
            </w:pPr>
            <w:r>
              <w:t>13d</w:t>
            </w:r>
          </w:p>
        </w:tc>
        <w:tc>
          <w:tcPr>
            <w:tcW w:w="1800" w:type="dxa"/>
            <w:vAlign w:val="center"/>
          </w:tcPr>
          <w:p>
            <w:pPr>
              <w:pStyle w:val="TableNumber"/>
            </w:pPr>
            <w:r>
              <w:t>78.23%</w:t>
            </w:r>
          </w:p>
        </w:tc>
        <w:tc>
          <w:tcPr>
            <w:tcW w:w="1800" w:type="dxa"/>
            <w:vAlign w:val="center"/>
          </w:tcPr>
          <w:p>
            <w:pPr>
              <w:pStyle w:val="TableNumber"/>
            </w:pPr>
            <w:r>
              <w:t>0.00%</w:t>
            </w:r>
          </w:p>
        </w:tc>
        <w:tc>
          <w:tcPr>
            <w:tcW w:w="1800" w:type="dxa"/>
            <w:vAlign w:val="center"/>
          </w:tcPr>
          <w:p>
            <w:pPr>
              <w:pStyle w:val="TableNumber"/>
            </w:pPr>
            <w:r>
              <w:t>19.75%</w:t>
            </w:r>
          </w:p>
        </w:tc>
        <w:tc>
          <w:tcPr>
            <w:tcW w:w="3060" w:type="dxa"/>
            <w:vAlign w:val="center"/>
          </w:tcPr>
          <w:p>
            <w:pPr>
              <w:pStyle w:val="TableNumber"/>
            </w:pPr>
            <w:r>
              <w:t>159 / 243</w:t>
            </w:r>
          </w:p>
        </w:tc>
      </w:tr>
      <w:tr>
        <w:trPr>
          <w:cantSplit/>
        </w:trPr>
        <w:tc>
          <w:tcPr>
            <w:tcW w:w="900" w:type="dxa"/>
            <w:vAlign w:val="center"/>
          </w:tcPr>
          <w:p>
            <w:pPr>
              <w:pStyle w:val="TableText"/>
            </w:pPr>
            <w:r>
              <w:t>14d</w:t>
            </w:r>
          </w:p>
        </w:tc>
        <w:tc>
          <w:tcPr>
            <w:tcW w:w="1800" w:type="dxa"/>
            <w:vAlign w:val="center"/>
          </w:tcPr>
          <w:p>
            <w:pPr>
              <w:pStyle w:val="TableNumber"/>
            </w:pPr>
            <w:r>
              <w:t>78.30%</w:t>
            </w:r>
          </w:p>
        </w:tc>
        <w:tc>
          <w:tcPr>
            <w:tcW w:w="1800" w:type="dxa"/>
            <w:vAlign w:val="center"/>
          </w:tcPr>
          <w:p>
            <w:pPr>
              <w:pStyle w:val="TableNumber"/>
            </w:pPr>
            <w:r>
              <w:t>0.00%</w:t>
            </w:r>
          </w:p>
        </w:tc>
        <w:tc>
          <w:tcPr>
            <w:tcW w:w="1800" w:type="dxa"/>
            <w:vAlign w:val="center"/>
          </w:tcPr>
          <w:p>
            <w:pPr>
              <w:pStyle w:val="TableNumber"/>
            </w:pPr>
            <w:r>
              <w:t>19.73%</w:t>
            </w:r>
          </w:p>
        </w:tc>
        <w:tc>
          <w:tcPr>
            <w:tcW w:w="3060" w:type="dxa"/>
            <w:vAlign w:val="center"/>
          </w:tcPr>
          <w:p>
            <w:pPr>
              <w:pStyle w:val="TableNumber"/>
            </w:pPr>
            <w:r>
              <w:t>101 / 293</w:t>
            </w:r>
          </w:p>
        </w:tc>
      </w:tr>
    </w:tbl>
    <w:p>
      <w:pPr>
        <w:pStyle w:val="a"/>
      </w:pPr>
      <w:r>
        <w:t>No horizon has a neutral label; the bearish category ranges from 92.95% at day 1 to 78.30% at day 14, so the distribution is strongly bearish overall. Across all horizons, 6,091 strong-bearish and 1,070 strong-bullish labels were assigned. These mutually exclusive rules describe where q10, q50, and q90 sit relative to zero; they are not probabilities and are not position recommendations.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EODHD / US</w:t>
            </w:r>
          </w:p>
        </w:tc>
        <w:tc>
          <w:tcPr>
            <w:tcW w:w="1100" w:type="dxa"/>
            <w:vAlign w:val="center"/>
          </w:tcPr>
          <w:p>
            <w:pPr>
              <w:pStyle w:val="TableNumber"/>
            </w:pPr>
            <w:r>
              <w:t>15,648</w:t>
            </w:r>
          </w:p>
        </w:tc>
        <w:tc>
          <w:tcPr>
            <w:tcW w:w="1300" w:type="dxa"/>
            <w:vAlign w:val="center"/>
          </w:tcPr>
          <w:p>
            <w:pPr>
              <w:pStyle w:val="TableNumber"/>
            </w:pPr>
            <w:r>
              <w:t>0.312015</w:t>
            </w:r>
          </w:p>
        </w:tc>
        <w:tc>
          <w:tcPr>
            <w:tcW w:w="1400" w:type="dxa"/>
            <w:vAlign w:val="center"/>
          </w:tcPr>
          <w:p>
            <w:pPr>
              <w:pStyle w:val="TableNumber"/>
            </w:pPr>
            <w:r>
              <w:t>0.1375</w:t>
            </w:r>
          </w:p>
        </w:tc>
        <w:tc>
          <w:tcPr>
            <w:tcW w:w="1800" w:type="dxa"/>
            <w:vAlign w:val="center"/>
          </w:tcPr>
          <w:p>
            <w:pPr>
              <w:pStyle w:val="TableNumber"/>
            </w:pPr>
            <w:r>
              <w:t>0.0347 to 0.1970</w:t>
            </w:r>
          </w:p>
        </w:tc>
        <w:tc>
          <w:tcPr>
            <w:tcW w:w="1250" w:type="dxa"/>
            <w:vAlign w:val="center"/>
          </w:tcPr>
          <w:p>
            <w:pPr>
              <w:pStyle w:val="TableNumber"/>
            </w:pPr>
            <w:r>
              <w:t>54.56%</w:t>
            </w:r>
          </w:p>
        </w:tc>
        <w:tc>
          <w:tcPr>
            <w:tcW w:w="1010" w:type="dxa"/>
            <w:vAlign w:val="center"/>
          </w:tcPr>
          <w:p>
            <w:pPr>
              <w:pStyle w:val="TableNumber"/>
            </w:pPr>
            <w:r>
              <w:t>73.84%</w:t>
            </w:r>
          </w:p>
        </w:tc>
      </w:tr>
      <w:tr>
        <w:trPr>
          <w:cantSplit/>
        </w:trPr>
        <w:tc>
          <w:tcPr>
            <w:tcW w:w="1500" w:type="dxa"/>
            <w:vAlign w:val="center"/>
          </w:tcPr>
          <w:p>
            <w:pPr>
              <w:pStyle w:val="TableText"/>
            </w:pPr>
            <w:r>
              <w:t>TPEx</w:t>
            </w:r>
          </w:p>
        </w:tc>
        <w:tc>
          <w:tcPr>
            <w:tcW w:w="1100" w:type="dxa"/>
            <w:vAlign w:val="center"/>
          </w:tcPr>
          <w:p>
            <w:pPr>
              <w:pStyle w:val="TableNumber"/>
            </w:pPr>
            <w:r>
              <w:t>1,726</w:t>
            </w:r>
          </w:p>
        </w:tc>
        <w:tc>
          <w:tcPr>
            <w:tcW w:w="1300" w:type="dxa"/>
            <w:vAlign w:val="center"/>
          </w:tcPr>
          <w:p>
            <w:pPr>
              <w:pStyle w:val="TableNumber"/>
            </w:pPr>
            <w:r>
              <w:t>0.313079</w:t>
            </w:r>
          </w:p>
        </w:tc>
        <w:tc>
          <w:tcPr>
            <w:tcW w:w="1400" w:type="dxa"/>
            <w:vAlign w:val="center"/>
          </w:tcPr>
          <w:p>
            <w:pPr>
              <w:pStyle w:val="TableNumber"/>
            </w:pPr>
            <w:r>
              <w:t>-0.0664</w:t>
            </w:r>
          </w:p>
        </w:tc>
        <w:tc>
          <w:tcPr>
            <w:tcW w:w="1800" w:type="dxa"/>
            <w:vAlign w:val="center"/>
          </w:tcPr>
          <w:p>
            <w:pPr>
              <w:pStyle w:val="TableNumber"/>
            </w:pPr>
            <w:r>
              <w:t>-0.1551 to 0.0165</w:t>
            </w:r>
          </w:p>
        </w:tc>
        <w:tc>
          <w:tcPr>
            <w:tcW w:w="1250" w:type="dxa"/>
            <w:vAlign w:val="center"/>
          </w:tcPr>
          <w:p>
            <w:pPr>
              <w:pStyle w:val="TableNumber"/>
            </w:pPr>
            <w:r>
              <w:t>65.45%</w:t>
            </w:r>
          </w:p>
        </w:tc>
        <w:tc>
          <w:tcPr>
            <w:tcW w:w="1010" w:type="dxa"/>
            <w:vAlign w:val="center"/>
          </w:tcPr>
          <w:p>
            <w:pPr>
              <w:pStyle w:val="TableNumber"/>
            </w:pPr>
            <w:r>
              <w:t>60.47%</w:t>
            </w:r>
          </w:p>
        </w:tc>
      </w:tr>
      <w:tr>
        <w:trPr>
          <w:cantSplit/>
        </w:trPr>
        <w:tc>
          <w:tcPr>
            <w:tcW w:w="1500" w:type="dxa"/>
            <w:vAlign w:val="center"/>
          </w:tcPr>
          <w:p>
            <w:pPr>
              <w:pStyle w:val="TableText"/>
            </w:pPr>
            <w:r>
              <w:t>TWSE</w:t>
            </w:r>
          </w:p>
        </w:tc>
        <w:tc>
          <w:tcPr>
            <w:tcW w:w="1100" w:type="dxa"/>
            <w:vAlign w:val="center"/>
          </w:tcPr>
          <w:p>
            <w:pPr>
              <w:pStyle w:val="TableNumber"/>
            </w:pPr>
            <w:r>
              <w:t>2,626</w:t>
            </w:r>
          </w:p>
        </w:tc>
        <w:tc>
          <w:tcPr>
            <w:tcW w:w="1300" w:type="dxa"/>
            <w:vAlign w:val="center"/>
          </w:tcPr>
          <w:p>
            <w:pPr>
              <w:pStyle w:val="TableNumber"/>
            </w:pPr>
            <w:r>
              <w:t>0.322937</w:t>
            </w:r>
          </w:p>
        </w:tc>
        <w:tc>
          <w:tcPr>
            <w:tcW w:w="1400" w:type="dxa"/>
            <w:vAlign w:val="center"/>
          </w:tcPr>
          <w:p>
            <w:pPr>
              <w:pStyle w:val="TableNumber"/>
            </w:pPr>
            <w:r>
              <w:t>-0.0194</w:t>
            </w:r>
          </w:p>
        </w:tc>
        <w:tc>
          <w:tcPr>
            <w:tcW w:w="1800" w:type="dxa"/>
            <w:vAlign w:val="center"/>
          </w:tcPr>
          <w:p>
            <w:pPr>
              <w:pStyle w:val="TableNumber"/>
            </w:pPr>
            <w:r>
              <w:t>-0.0451 to 0.0372</w:t>
            </w:r>
          </w:p>
        </w:tc>
        <w:tc>
          <w:tcPr>
            <w:tcW w:w="1250" w:type="dxa"/>
            <w:vAlign w:val="center"/>
          </w:tcPr>
          <w:p>
            <w:pPr>
              <w:pStyle w:val="TableNumber"/>
            </w:pPr>
            <w:r>
              <w:t>66.18%</w:t>
            </w:r>
          </w:p>
        </w:tc>
        <w:tc>
          <w:tcPr>
            <w:tcW w:w="1010" w:type="dxa"/>
            <w:vAlign w:val="center"/>
          </w:tcPr>
          <w:p>
            <w:pPr>
              <w:pStyle w:val="TableNumber"/>
            </w:pPr>
            <w:r>
              <w:t>64.80%</w:t>
            </w:r>
          </w:p>
        </w:tc>
      </w:tr>
    </w:tbl>
    <w:p>
      <w:pPr>
        <w:pStyle w:val="a"/>
      </w:pPr>
      <w:r>
        <w:t>Provider slices differ in sample size, exchanges, periods, and asset composition. Mean q50 correlation is negative for TPEx and TWSE even though directional agreement is higher than in the US slice: correlation measures co-movement of continuous values, while direction agreement compares only signs. These slices are stability warnings, not market-wide performance claims.</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Year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2025</w:t>
            </w:r>
          </w:p>
        </w:tc>
        <w:tc>
          <w:tcPr>
            <w:tcW w:w="1200" w:type="dxa"/>
            <w:vAlign w:val="center"/>
          </w:tcPr>
          <w:p>
            <w:pPr>
              <w:pStyle w:val="TableNumber"/>
            </w:pPr>
            <w:r>
              <w:t>4,068</w:t>
            </w:r>
          </w:p>
        </w:tc>
        <w:tc>
          <w:tcPr>
            <w:tcW w:w="1400" w:type="dxa"/>
            <w:vAlign w:val="center"/>
          </w:tcPr>
          <w:p>
            <w:pPr>
              <w:pStyle w:val="TableNumber"/>
            </w:pPr>
            <w:r>
              <w:t>0.275344</w:t>
            </w:r>
          </w:p>
        </w:tc>
        <w:tc>
          <w:tcPr>
            <w:tcW w:w="1400" w:type="dxa"/>
            <w:vAlign w:val="center"/>
          </w:tcPr>
          <w:p>
            <w:pPr>
              <w:pStyle w:val="TableNumber"/>
            </w:pPr>
            <w:r>
              <w:t>0.0774</w:t>
            </w:r>
          </w:p>
        </w:tc>
        <w:tc>
          <w:tcPr>
            <w:tcW w:w="1800" w:type="dxa"/>
            <w:vAlign w:val="center"/>
          </w:tcPr>
          <w:p>
            <w:pPr>
              <w:pStyle w:val="TableNumber"/>
            </w:pPr>
            <w:r>
              <w:t>0.0277 to 0.1032</w:t>
            </w:r>
          </w:p>
        </w:tc>
        <w:tc>
          <w:tcPr>
            <w:tcW w:w="1200" w:type="dxa"/>
            <w:vAlign w:val="center"/>
          </w:tcPr>
          <w:p>
            <w:pPr>
              <w:pStyle w:val="TableNumber"/>
            </w:pPr>
            <w:r>
              <w:t>53.89%</w:t>
            </w:r>
          </w:p>
        </w:tc>
        <w:tc>
          <w:tcPr>
            <w:tcW w:w="1060" w:type="dxa"/>
            <w:vAlign w:val="center"/>
          </w:tcPr>
          <w:p>
            <w:pPr>
              <w:pStyle w:val="TableNumber"/>
            </w:pPr>
            <w:r>
              <w:t>75.94%</w:t>
            </w:r>
          </w:p>
        </w:tc>
      </w:tr>
      <w:tr>
        <w:trPr>
          <w:cantSplit/>
        </w:trPr>
        <w:tc>
          <w:tcPr>
            <w:tcW w:w="1300" w:type="dxa"/>
            <w:vAlign w:val="center"/>
          </w:tcPr>
          <w:p>
            <w:pPr>
              <w:pStyle w:val="TableText"/>
            </w:pPr>
            <w:r>
              <w:t>2026</w:t>
            </w:r>
          </w:p>
        </w:tc>
        <w:tc>
          <w:tcPr>
            <w:tcW w:w="1200" w:type="dxa"/>
            <w:vAlign w:val="center"/>
          </w:tcPr>
          <w:p>
            <w:pPr>
              <w:pStyle w:val="TableNumber"/>
            </w:pPr>
            <w:r>
              <w:t>15,932</w:t>
            </w:r>
          </w:p>
        </w:tc>
        <w:tc>
          <w:tcPr>
            <w:tcW w:w="1400" w:type="dxa"/>
            <w:vAlign w:val="center"/>
          </w:tcPr>
          <w:p>
            <w:pPr>
              <w:pStyle w:val="TableNumber"/>
            </w:pPr>
            <w:r>
              <w:t>0.323294</w:t>
            </w:r>
          </w:p>
        </w:tc>
        <w:tc>
          <w:tcPr>
            <w:tcW w:w="1400" w:type="dxa"/>
            <w:vAlign w:val="center"/>
          </w:tcPr>
          <w:p>
            <w:pPr>
              <w:pStyle w:val="TableNumber"/>
            </w:pPr>
            <w:r>
              <w:t>0.1160</w:t>
            </w:r>
          </w:p>
        </w:tc>
        <w:tc>
          <w:tcPr>
            <w:tcW w:w="1800" w:type="dxa"/>
            <w:vAlign w:val="center"/>
          </w:tcPr>
          <w:p>
            <w:pPr>
              <w:pStyle w:val="TableNumber"/>
            </w:pPr>
            <w:r>
              <w:t>0.0523 to 0.1659</w:t>
            </w:r>
          </w:p>
        </w:tc>
        <w:tc>
          <w:tcPr>
            <w:tcW w:w="1200" w:type="dxa"/>
            <w:vAlign w:val="center"/>
          </w:tcPr>
          <w:p>
            <w:pPr>
              <w:pStyle w:val="TableNumber"/>
            </w:pPr>
            <w:r>
              <w:t>57.82%</w:t>
            </w:r>
          </w:p>
        </w:tc>
        <w:tc>
          <w:tcPr>
            <w:tcW w:w="1060" w:type="dxa"/>
            <w:vAlign w:val="center"/>
          </w:tcPr>
          <w:p>
            <w:pPr>
              <w:pStyle w:val="TableNumber"/>
            </w:pPr>
            <w:r>
              <w:t>70.37%</w:t>
            </w:r>
          </w:p>
        </w:tc>
      </w:tr>
    </w:tbl>
    <w:p>
      <w:pPr>
        <w:pStyle w:val="Lead"/>
      </w:pPr>
      <w:r>
        <w:t>The year slices are 2025 and 2026, with 4,068 and 15,932 rows. 2026 is substantially larger. Annual scores and coverage are diagnostics only; the current evidence cannot establish temporal extrapolation by itself.</w:t>
      </w:r>
    </w:p>
    <w:p>
      <w:pPr>
        <w:pStyle w:val="11"/>
      </w:pPr>
      <w:r>
        <w:t>9. Risks and next stage</w:t>
      </w:r>
    </w:p>
    <w:p>
      <w:pPr>
        <w:pStyle w:val="Decision"/>
        <w:keepNext/>
        <w:spacing w:after="80"/>
      </w:pPr>
      <w:r>
        <w:t>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Next validation</w:t>
            </w:r>
          </w:p>
        </w:tc>
      </w:tr>
      <w:tr>
        <w:trPr>
          <w:cantSplit/>
        </w:trPr>
        <w:tc>
          <w:tcPr>
            <w:tcW w:w="2500" w:type="dxa"/>
            <w:vAlign w:val="center"/>
          </w:tcPr>
          <w:p>
            <w:pPr>
              <w:pStyle w:val="TableText"/>
            </w:pPr>
            <w:r>
              <w:t>One-time holdout</w:t>
            </w:r>
          </w:p>
        </w:tc>
        <w:tc>
          <w:tcPr>
            <w:tcW w:w="2900" w:type="dxa"/>
            <w:vAlign w:val="center"/>
          </w:tcPr>
          <w:p>
            <w:pPr>
              <w:pStyle w:val="TableText"/>
            </w:pPr>
            <w:r>
              <w:t>test_unlocked=true; 20,000 test benchmark rows; checkpoint selected only on validation</w:t>
            </w:r>
          </w:p>
        </w:tc>
        <w:tc>
          <w:tcPr>
            <w:tcW w:w="3960" w:type="dxa"/>
            <w:vAlign w:val="center"/>
          </w:tcPr>
          <w:p>
            <w:pPr>
              <w:pStyle w:val="TableText"/>
            </w:pPr>
            <w:r>
              <w:t>Keep holdout isolated; pre-register identical membership and protocol for the next comparison</w:t>
            </w:r>
          </w:p>
        </w:tc>
      </w:tr>
      <w:tr>
        <w:trPr>
          <w:cantSplit/>
        </w:trPr>
        <w:tc>
          <w:tcPr>
            <w:tcW w:w="2500" w:type="dxa"/>
            <w:vAlign w:val="center"/>
          </w:tcPr>
          <w:p>
            <w:pPr>
              <w:pStyle w:val="TableText"/>
            </w:pPr>
            <w:r>
              <w:t>Single seed</w:t>
            </w:r>
          </w:p>
        </w:tc>
        <w:tc>
          <w:tcPr>
            <w:tcW w:w="2900" w:type="dxa"/>
            <w:vAlign w:val="center"/>
          </w:tcPr>
          <w:p>
            <w:pPr>
              <w:pStyle w:val="TableText"/>
            </w:pPr>
            <w:r>
              <w:t>seed=42</w:t>
            </w:r>
          </w:p>
        </w:tc>
        <w:tc>
          <w:tcPr>
            <w:tcW w:w="3960" w:type="dxa"/>
            <w:vAlign w:val="center"/>
          </w:tcPr>
          <w:p>
            <w:pPr>
              <w:pStyle w:val="TableText"/>
            </w:pPr>
            <w:r>
              <w:t>Report median, dispersion, and worst result across multiple seeds</w:t>
            </w:r>
          </w:p>
        </w:tc>
      </w:tr>
      <w:tr>
        <w:trPr>
          <w:cantSplit/>
        </w:trPr>
        <w:tc>
          <w:tcPr>
            <w:tcW w:w="2500" w:type="dxa"/>
            <w:vAlign w:val="center"/>
          </w:tcPr>
          <w:p>
            <w:pPr>
              <w:pStyle w:val="TableText"/>
            </w:pPr>
            <w:r>
              <w:t>Under-covered intervals</w:t>
            </w:r>
          </w:p>
        </w:tc>
        <w:tc>
          <w:tcPr>
            <w:tcW w:w="2900" w:type="dxa"/>
            <w:vAlign w:val="center"/>
          </w:tcPr>
          <w:p>
            <w:pPr>
              <w:pStyle w:val="TableText"/>
            </w:pPr>
            <w:r>
              <w:t>All 14 horizons are below nominal 80%; minimum 69.58%</w:t>
            </w:r>
          </w:p>
        </w:tc>
        <w:tc>
          <w:tcPr>
            <w:tcW w:w="3960" w:type="dxa"/>
            <w:vAlign w:val="center"/>
          </w:tcPr>
          <w:p>
            <w:pPr>
              <w:pStyle w:val="TableText"/>
            </w:pPr>
            <w:r>
              <w:t>Fit per-horizon calibration on validation only, freeze it, then evaluate</w:t>
            </w:r>
          </w:p>
        </w:tc>
      </w:tr>
      <w:tr>
        <w:trPr>
          <w:cantSplit/>
        </w:trPr>
        <w:tc>
          <w:tcPr>
            <w:tcW w:w="2500" w:type="dxa"/>
            <w:vAlign w:val="center"/>
          </w:tcPr>
          <w:p>
            <w:pPr>
              <w:pStyle w:val="TableText"/>
            </w:pPr>
            <w:r>
              <w:t>Weak q50 association</w:t>
            </w:r>
          </w:p>
        </w:tc>
        <w:tc>
          <w:tcPr>
            <w:tcW w:w="2900" w:type="dxa"/>
            <w:vAlign w:val="center"/>
          </w:tcPr>
          <w:p>
            <w:pPr>
              <w:pStyle w:val="TableText"/>
            </w:pPr>
            <w:r>
              <w:t>Pearson corr. 0.0499 to 0.1588</w:t>
            </w:r>
          </w:p>
        </w:tc>
        <w:tc>
          <w:tcPr>
            <w:tcW w:w="3960" w:type="dxa"/>
            <w:vAlign w:val="center"/>
          </w:tcPr>
          <w:p>
            <w:pPr>
              <w:pStyle w:val="TableText"/>
            </w:pPr>
            <w:r>
              <w:t>Check ranking stability and incremental signal across periods and providers</w:t>
            </w:r>
          </w:p>
        </w:tc>
      </w:tr>
      <w:tr>
        <w:trPr>
          <w:cantSplit/>
        </w:trPr>
        <w:tc>
          <w:tcPr>
            <w:tcW w:w="2500" w:type="dxa"/>
            <w:vAlign w:val="center"/>
          </w:tcPr>
          <w:p>
            <w:pPr>
              <w:pStyle w:val="TableText"/>
            </w:pPr>
            <w:r>
              <w:t>Bearish signal skew</w:t>
            </w:r>
          </w:p>
        </w:tc>
        <w:tc>
          <w:tcPr>
            <w:tcW w:w="2900" w:type="dxa"/>
            <w:vAlign w:val="center"/>
          </w:tcPr>
          <w:p>
            <w:pPr>
              <w:pStyle w:val="TableText"/>
            </w:pPr>
            <w:r>
              <w:t>No neutral labels; bearish share ranges 78.23% to 93.49%</w:t>
            </w:r>
          </w:p>
        </w:tc>
        <w:tc>
          <w:tcPr>
            <w:tcW w:w="3960" w:type="dxa"/>
            <w:vAlign w:val="center"/>
          </w:tcPr>
          <w:p>
            <w:pPr>
              <w:pStyle w:val="TableText"/>
            </w:pPr>
            <w:r>
              <w:t>Validate threshold and position mapping per horizon; labels are not probabilities</w:t>
            </w:r>
          </w:p>
        </w:tc>
      </w:tr>
      <w:tr>
        <w:trPr>
          <w:cantSplit/>
        </w:trPr>
        <w:tc>
          <w:tcPr>
            <w:tcW w:w="2500" w:type="dxa"/>
            <w:vAlign w:val="center"/>
          </w:tcPr>
          <w:p>
            <w:pPr>
              <w:pStyle w:val="TableText"/>
            </w:pPr>
            <w:r>
              <w:t>Long-horizon drawdown</w:t>
            </w:r>
          </w:p>
        </w:tc>
        <w:tc>
          <w:tcPr>
            <w:tcW w:w="2900" w:type="dxa"/>
            <w:vAlign w:val="center"/>
          </w:tcPr>
          <w:p>
            <w:pPr>
              <w:pStyle w:val="TableText"/>
            </w:pPr>
            <w:r>
              <w:t>Worst drawdown -56.10% at 10d</w:t>
            </w:r>
          </w:p>
        </w:tc>
        <w:tc>
          <w:tcPr>
            <w:tcW w:w="3960" w:type="dxa"/>
            <w:vAlign w:val="center"/>
          </w:tcPr>
          <w:p>
            <w:pPr>
              <w:pStyle w:val="TableText"/>
            </w:pPr>
            <w:r>
              <w:t>Test holding exposure limits, drawdown gates, costs, and rebalancing</w:t>
            </w:r>
          </w:p>
        </w:tc>
      </w:tr>
      <w:tr>
        <w:trPr>
          <w:cantSplit/>
        </w:trPr>
        <w:tc>
          <w:tcPr>
            <w:tcW w:w="2500" w:type="dxa"/>
            <w:vAlign w:val="center"/>
          </w:tcPr>
          <w:p>
            <w:pPr>
              <w:pStyle w:val="TableText"/>
            </w:pPr>
            <w:r>
              <w:t>Provider heterogeneity</w:t>
            </w:r>
          </w:p>
        </w:tc>
        <w:tc>
          <w:tcPr>
            <w:tcW w:w="2900" w:type="dxa"/>
            <w:vAlign w:val="center"/>
          </w:tcPr>
          <w:p>
            <w:pPr>
              <w:pStyle w:val="TableText"/>
            </w:pPr>
            <w:r>
              <w:t>Mean q50 correlation and directional hit-rate patterns differ for TPEx and TWSE</w:t>
            </w:r>
          </w:p>
        </w:tc>
        <w:tc>
          <w:tcPr>
            <w:tcW w:w="3960" w:type="dxa"/>
            <w:vAlign w:val="center"/>
          </w:tcPr>
          <w:p>
            <w:pPr>
              <w:pStyle w:val="TableText"/>
            </w:pPr>
            <w:r>
              <w:t>Expand stratified samples and dates; calibrate per provider and audit data quality</w:t>
            </w:r>
          </w:p>
        </w:tc>
      </w:tr>
      <w:tr>
        <w:trPr>
          <w:cantSplit/>
        </w:trPr>
        <w:tc>
          <w:tcPr>
            <w:tcW w:w="2500" w:type="dxa"/>
            <w:vAlign w:val="center"/>
          </w:tcPr>
          <w:p>
            <w:pPr>
              <w:pStyle w:val="TableText"/>
            </w:pPr>
            <w:r>
              <w:t>Uneven year slices</w:t>
            </w:r>
          </w:p>
        </w:tc>
        <w:tc>
          <w:tcPr>
            <w:tcW w:w="2900" w:type="dxa"/>
            <w:vAlign w:val="center"/>
          </w:tcPr>
          <w:p>
            <w:pPr>
              <w:pStyle w:val="TableText"/>
            </w:pPr>
            <w:r>
              <w:t>2025=4,068; 2026=15,932</w:t>
            </w:r>
          </w:p>
        </w:tc>
        <w:tc>
          <w:tcPr>
            <w:tcW w:w="3960" w:type="dxa"/>
            <w:vAlign w:val="center"/>
          </w:tcPr>
          <w:p>
            <w:pPr>
              <w:pStyle w:val="TableText"/>
            </w:pPr>
            <w:r>
              <w:t>Add rolling, regime, and more complete-year holdouts</w:t>
            </w:r>
          </w:p>
        </w:tc>
      </w:tr>
      <w:tr>
        <w:trPr>
          <w:cantSplit/>
        </w:trPr>
        <w:tc>
          <w:tcPr>
            <w:tcW w:w="2500" w:type="dxa"/>
            <w:vAlign w:val="center"/>
          </w:tcPr>
          <w:p>
            <w:pPr>
              <w:pStyle w:val="TableText"/>
            </w:pPr>
            <w:r>
              <w:t>Simplified trading backtest</w:t>
            </w:r>
          </w:p>
        </w:tc>
        <w:tc>
          <w:tcPr>
            <w:tcW w:w="2900" w:type="dxa"/>
            <w:vAlign w:val="center"/>
          </w:tcPr>
          <w:p>
            <w:pPr>
              <w:pStyle w:val="TableText"/>
            </w:pPr>
            <w:r>
              <w:t>Fixed 10 bps × turnover; horizon returns overlap; Sharpe has no autocorrelation correction</w:t>
            </w:r>
          </w:p>
        </w:tc>
        <w:tc>
          <w:tcPr>
            <w:tcW w:w="3960" w:type="dxa"/>
            <w:vAlign w:val="center"/>
          </w:tcPr>
          <w:p>
            <w:pPr>
              <w:pStyle w:val="TableText"/>
            </w:pPr>
            <w:r>
              <w:t>Model slippage, borrow, capacity, taxes, market impact, and robust overlapping-return estimates</w:t>
            </w:r>
          </w:p>
        </w:tc>
      </w:tr>
    </w:tbl>
    <w:p>
      <w:pPr>
        <w:pStyle w:val="Lead"/>
      </w:pPr>
      <w:r>
        <w:t>Final assessment: the best checkpoint scores 0.313541 on the test all-horizon metric and ranks first of 13; per-horizon normalized pinball, RankIC, and net Sharpe each rank first at all 14 horizons among nine comparable full-output models. However, q50 correlation is weak, coverage is below 80% at every horizon, signals are bearish-skewed, and the worst drawdown is about -56.10% at 10d. One seed and simplified backtest costs also limit the evidence. The report supports retaining a candidate model, not deployment or live-performance claims.</w:t>
      </w:r>
    </w:p>
    <w:p>
      <w:pPr>
        <w:pStyle w:val="11"/>
        <w:pageBreakBefore/>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Coverage</w:t>
            </w:r>
          </w:p>
        </w:tc>
        <w:tc>
          <w:tcPr>
            <w:tcW w:w="1330" w:type="dxa"/>
            <w:shd w:val="clear" w:fill="DCE6F1"/>
            <w:vAlign w:val="center"/>
          </w:tcPr>
          <w:p>
            <w:pPr>
              <w:pStyle w:val="TableHeader"/>
            </w:pPr>
            <w:r>
              <w:t>q50 corr.</w:t>
            </w:r>
          </w:p>
        </w:tc>
        <w:tc>
          <w:tcPr>
            <w:tcW w:w="1350" w:type="dxa"/>
            <w:shd w:val="clear" w:fill="DCE6F1"/>
            <w:vAlign w:val="center"/>
          </w:tcPr>
          <w:p>
            <w:pPr>
              <w:pStyle w:val="TableHeader"/>
            </w:pPr>
            <w:r>
              <w:t>RankIC</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0.313541</w:t>
            </w:r>
          </w:p>
        </w:tc>
        <w:tc>
          <w:tcPr>
            <w:tcW w:w="1330" w:type="dxa"/>
            <w:shd w:val="clear" w:fill="EDF5FC"/>
            <w:vAlign w:val="center"/>
          </w:tcPr>
          <w:p>
            <w:pPr>
              <w:pStyle w:val="TableNumber"/>
            </w:pPr>
            <w:r>
              <w:t>71.02%</w:t>
            </w:r>
          </w:p>
        </w:tc>
        <w:tc>
          <w:tcPr>
            <w:tcW w:w="1330" w:type="dxa"/>
            <w:shd w:val="clear" w:fill="EDF5FC"/>
            <w:vAlign w:val="center"/>
          </w:tcPr>
          <w:p>
            <w:pPr>
              <w:pStyle w:val="TableNumber"/>
            </w:pPr>
            <w:r>
              <w:t>0.0980</w:t>
            </w:r>
          </w:p>
        </w:tc>
        <w:tc>
          <w:tcPr>
            <w:tcW w:w="1350" w:type="dxa"/>
            <w:shd w:val="clear" w:fill="EDF5FC"/>
            <w:vAlign w:val="center"/>
          </w:tcPr>
          <w:p>
            <w:pPr>
              <w:pStyle w:val="TableNumber"/>
            </w:pPr>
            <w:r>
              <w:t>0.0431</w:t>
            </w:r>
          </w:p>
        </w:tc>
      </w:tr>
      <w:tr>
        <w:trPr>
          <w:cantSplit/>
        </w:trPr>
        <w:tc>
          <w:tcPr>
            <w:tcW w:w="650" w:type="dxa"/>
            <w:vAlign w:val="center"/>
          </w:tcPr>
          <w:p>
            <w:pPr>
              <w:pStyle w:val="TableNumber"/>
            </w:pPr>
            <w:r>
              <w:t>2</w:t>
            </w:r>
          </w:p>
        </w:tc>
        <w:tc>
          <w:tcPr>
            <w:tcW w:w="2800" w:type="dxa"/>
            <w:vAlign w:val="center"/>
          </w:tcPr>
          <w:p>
            <w:pPr>
              <w:pStyle w:val="TableText"/>
            </w:pPr>
            <w:r>
              <w:t>Quantile GBDT</w:t>
            </w:r>
          </w:p>
        </w:tc>
        <w:tc>
          <w:tcPr>
            <w:tcW w:w="1900" w:type="dxa"/>
            <w:vAlign w:val="center"/>
          </w:tcPr>
          <w:p>
            <w:pPr>
              <w:pStyle w:val="TableNumber"/>
            </w:pPr>
            <w:r>
              <w:t>0.317588</w:t>
            </w:r>
          </w:p>
        </w:tc>
        <w:tc>
          <w:tcPr>
            <w:tcW w:w="1330" w:type="dxa"/>
            <w:vAlign w:val="center"/>
          </w:tcPr>
          <w:p>
            <w:pPr>
              <w:pStyle w:val="TableNumber"/>
            </w:pPr>
            <w:r>
              <w:t>73.98%</w:t>
            </w:r>
          </w:p>
        </w:tc>
        <w:tc>
          <w:tcPr>
            <w:tcW w:w="1330" w:type="dxa"/>
            <w:vAlign w:val="center"/>
          </w:tcPr>
          <w:p>
            <w:pPr>
              <w:pStyle w:val="TableNumber"/>
            </w:pPr>
            <w:r>
              <w:t>0.0240</w:t>
            </w:r>
          </w:p>
        </w:tc>
        <w:tc>
          <w:tcPr>
            <w:tcW w:w="1350" w:type="dxa"/>
            <w:vAlign w:val="center"/>
          </w:tcPr>
          <w:p>
            <w:pPr>
              <w:pStyle w:val="TableNumber"/>
            </w:pPr>
            <w:r>
              <w:t>-0.0138</w:t>
            </w:r>
          </w:p>
        </w:tc>
      </w:tr>
      <w:tr>
        <w:trPr>
          <w:cantSplit/>
        </w:trPr>
        <w:tc>
          <w:tcPr>
            <w:tcW w:w="650" w:type="dxa"/>
            <w:vAlign w:val="center"/>
          </w:tcPr>
          <w:p>
            <w:pPr>
              <w:pStyle w:val="TableNumber"/>
            </w:pPr>
            <w:r>
              <w:t>3</w:t>
            </w:r>
          </w:p>
        </w:tc>
        <w:tc>
          <w:tcPr>
            <w:tcW w:w="2800" w:type="dxa"/>
            <w:vAlign w:val="center"/>
          </w:tcPr>
          <w:p>
            <w:pPr>
              <w:pStyle w:val="TableText"/>
            </w:pPr>
            <w:r>
              <w:t>Paired GRU</w:t>
            </w:r>
          </w:p>
        </w:tc>
        <w:tc>
          <w:tcPr>
            <w:tcW w:w="1900" w:type="dxa"/>
            <w:vAlign w:val="center"/>
          </w:tcPr>
          <w:p>
            <w:pPr>
              <w:pStyle w:val="TableNumber"/>
            </w:pPr>
            <w:r>
              <w:t>0.320950</w:t>
            </w:r>
          </w:p>
        </w:tc>
        <w:tc>
          <w:tcPr>
            <w:tcW w:w="1330" w:type="dxa"/>
            <w:vAlign w:val="center"/>
          </w:tcPr>
          <w:p>
            <w:pPr>
              <w:pStyle w:val="TableNumber"/>
            </w:pPr>
            <w:r>
              <w:t>74.28%</w:t>
            </w:r>
          </w:p>
        </w:tc>
        <w:tc>
          <w:tcPr>
            <w:tcW w:w="1330" w:type="dxa"/>
            <w:vAlign w:val="center"/>
          </w:tcPr>
          <w:p>
            <w:pPr>
              <w:pStyle w:val="TableNumber"/>
            </w:pPr>
            <w:r>
              <w:t>0.0060</w:t>
            </w:r>
          </w:p>
        </w:tc>
        <w:tc>
          <w:tcPr>
            <w:tcW w:w="1350" w:type="dxa"/>
            <w:vAlign w:val="center"/>
          </w:tcPr>
          <w:p>
            <w:pPr>
              <w:pStyle w:val="TableNumber"/>
            </w:pPr>
            <w:r>
              <w:t>0.0064</w:t>
            </w:r>
          </w:p>
        </w:tc>
      </w:tr>
      <w:tr>
        <w:trPr>
          <w:cantSplit/>
        </w:trPr>
        <w:tc>
          <w:tcPr>
            <w:tcW w:w="650" w:type="dxa"/>
            <w:vAlign w:val="center"/>
          </w:tcPr>
          <w:p>
            <w:pPr>
              <w:pStyle w:val="TableNumber"/>
            </w:pPr>
            <w:r>
              <w:t>4</w:t>
            </w:r>
          </w:p>
        </w:tc>
        <w:tc>
          <w:tcPr>
            <w:tcW w:w="2800" w:type="dxa"/>
            <w:vAlign w:val="center"/>
          </w:tcPr>
          <w:p>
            <w:pPr>
              <w:pStyle w:val="TableText"/>
            </w:pPr>
            <w:r>
              <w:t>Compact PatchTST</w:t>
            </w:r>
          </w:p>
        </w:tc>
        <w:tc>
          <w:tcPr>
            <w:tcW w:w="1900" w:type="dxa"/>
            <w:vAlign w:val="center"/>
          </w:tcPr>
          <w:p>
            <w:pPr>
              <w:pStyle w:val="TableNumber"/>
            </w:pPr>
            <w:r>
              <w:t>0.328600</w:t>
            </w:r>
          </w:p>
        </w:tc>
        <w:tc>
          <w:tcPr>
            <w:tcW w:w="1330" w:type="dxa"/>
            <w:vAlign w:val="center"/>
          </w:tcPr>
          <w:p>
            <w:pPr>
              <w:pStyle w:val="TableNumber"/>
            </w:pPr>
            <w:r>
              <w:t>73.67%</w:t>
            </w:r>
          </w:p>
        </w:tc>
        <w:tc>
          <w:tcPr>
            <w:tcW w:w="1330" w:type="dxa"/>
            <w:vAlign w:val="center"/>
          </w:tcPr>
          <w:p>
            <w:pPr>
              <w:pStyle w:val="TableNumber"/>
            </w:pPr>
            <w:r>
              <w:t>0.0075</w:t>
            </w:r>
          </w:p>
        </w:tc>
        <w:tc>
          <w:tcPr>
            <w:tcW w:w="1350" w:type="dxa"/>
            <w:vAlign w:val="center"/>
          </w:tcPr>
          <w:p>
            <w:pPr>
              <w:pStyle w:val="TableNumber"/>
            </w:pPr>
            <w:r>
              <w:t>-0.0275</w:t>
            </w:r>
          </w:p>
        </w:tc>
      </w:tr>
      <w:tr>
        <w:trPr>
          <w:cantSplit/>
        </w:trPr>
        <w:tc>
          <w:tcPr>
            <w:tcW w:w="650" w:type="dxa"/>
            <w:vAlign w:val="center"/>
          </w:tcPr>
          <w:p>
            <w:pPr>
              <w:pStyle w:val="TableNumber"/>
            </w:pPr>
            <w:r>
              <w:t>5</w:t>
            </w:r>
          </w:p>
        </w:tc>
        <w:tc>
          <w:tcPr>
            <w:tcW w:w="2800" w:type="dxa"/>
            <w:vAlign w:val="center"/>
          </w:tcPr>
          <w:p>
            <w:pPr>
              <w:pStyle w:val="TableText"/>
            </w:pPr>
            <w:r>
              <w:t>Always-bullish distribution</w:t>
            </w:r>
          </w:p>
        </w:tc>
        <w:tc>
          <w:tcPr>
            <w:tcW w:w="1900" w:type="dxa"/>
            <w:vAlign w:val="center"/>
          </w:tcPr>
          <w:p>
            <w:pPr>
              <w:pStyle w:val="TableNumber"/>
            </w:pPr>
            <w:r>
              <w:t>0.332559</w:t>
            </w:r>
          </w:p>
        </w:tc>
        <w:tc>
          <w:tcPr>
            <w:tcW w:w="1330" w:type="dxa"/>
            <w:vAlign w:val="center"/>
          </w:tcPr>
          <w:p>
            <w:pPr>
              <w:pStyle w:val="TableNumber"/>
            </w:pPr>
            <w:r>
              <w:t>82.17%</w:t>
            </w:r>
          </w:p>
        </w:tc>
        <w:tc>
          <w:tcPr>
            <w:tcW w:w="1330" w:type="dxa"/>
            <w:vAlign w:val="center"/>
          </w:tcPr>
          <w:p>
            <w:pPr>
              <w:pStyle w:val="TableNumber"/>
            </w:pPr>
            <w:r>
              <w:t>0.0000</w:t>
            </w:r>
          </w:p>
        </w:tc>
        <w:tc>
          <w:tcPr>
            <w:tcW w:w="1350" w:type="dxa"/>
            <w:vAlign w:val="center"/>
          </w:tcPr>
          <w:p>
            <w:pPr>
              <w:pStyle w:val="TableNumber"/>
            </w:pPr>
            <w:r>
              <w:t>0.0000</w:t>
            </w:r>
          </w:p>
        </w:tc>
      </w:tr>
      <w:tr>
        <w:trPr>
          <w:cantSplit/>
        </w:trPr>
        <w:tc>
          <w:tcPr>
            <w:tcW w:w="650" w:type="dxa"/>
            <w:vAlign w:val="center"/>
          </w:tcPr>
          <w:p>
            <w:pPr>
              <w:pStyle w:val="TableNumber"/>
            </w:pPr>
            <w:r>
              <w:t>6</w:t>
            </w:r>
          </w:p>
        </w:tc>
        <w:tc>
          <w:tcPr>
            <w:tcW w:w="2800" w:type="dxa"/>
            <w:vAlign w:val="center"/>
          </w:tcPr>
          <w:p>
            <w:pPr>
              <w:pStyle w:val="TableText"/>
            </w:pPr>
            <w:r>
              <w:t>Zero-return distribution</w:t>
            </w:r>
          </w:p>
        </w:tc>
        <w:tc>
          <w:tcPr>
            <w:tcW w:w="1900" w:type="dxa"/>
            <w:vAlign w:val="center"/>
          </w:tcPr>
          <w:p>
            <w:pPr>
              <w:pStyle w:val="TableNumber"/>
            </w:pPr>
            <w:r>
              <w:t>0.332559</w:t>
            </w:r>
          </w:p>
        </w:tc>
        <w:tc>
          <w:tcPr>
            <w:tcW w:w="1330" w:type="dxa"/>
            <w:vAlign w:val="center"/>
          </w:tcPr>
          <w:p>
            <w:pPr>
              <w:pStyle w:val="TableNumber"/>
            </w:pPr>
            <w:r>
              <w:t>82.17%</w:t>
            </w:r>
          </w:p>
        </w:tc>
        <w:tc>
          <w:tcPr>
            <w:tcW w:w="1330" w:type="dxa"/>
            <w:vAlign w:val="center"/>
          </w:tcPr>
          <w:p>
            <w:pPr>
              <w:pStyle w:val="TableNumber"/>
            </w:pPr>
            <w:r>
              <w:t>-0.0000</w:t>
            </w:r>
          </w:p>
        </w:tc>
        <w:tc>
          <w:tcPr>
            <w:tcW w:w="1350" w:type="dxa"/>
            <w:vAlign w:val="center"/>
          </w:tcPr>
          <w:p>
            <w:pPr>
              <w:pStyle w:val="TableNumber"/>
            </w:pPr>
            <w:r>
              <w:t>0.0000</w:t>
            </w:r>
          </w:p>
        </w:tc>
      </w:tr>
      <w:tr>
        <w:trPr>
          <w:cantSplit/>
        </w:trPr>
        <w:tc>
          <w:tcPr>
            <w:tcW w:w="650" w:type="dxa"/>
            <w:vAlign w:val="center"/>
          </w:tcPr>
          <w:p>
            <w:pPr>
              <w:pStyle w:val="TableNumber"/>
            </w:pPr>
            <w:r>
              <w:t>7</w:t>
            </w:r>
          </w:p>
        </w:tc>
        <w:tc>
          <w:tcPr>
            <w:tcW w:w="2800" w:type="dxa"/>
            <w:vAlign w:val="center"/>
          </w:tcPr>
          <w:p>
            <w:pPr>
              <w:pStyle w:val="TableText"/>
            </w:pPr>
            <w:r>
              <w:t>MACD rule</w:t>
            </w:r>
          </w:p>
        </w:tc>
        <w:tc>
          <w:tcPr>
            <w:tcW w:w="1900" w:type="dxa"/>
            <w:vAlign w:val="center"/>
          </w:tcPr>
          <w:p>
            <w:pPr>
              <w:pStyle w:val="TableNumber"/>
            </w:pPr>
            <w:r>
              <w:t>0.335059</w:t>
            </w:r>
          </w:p>
        </w:tc>
        <w:tc>
          <w:tcPr>
            <w:tcW w:w="1330" w:type="dxa"/>
            <w:vAlign w:val="center"/>
          </w:tcPr>
          <w:p>
            <w:pPr>
              <w:pStyle w:val="TableNumber"/>
            </w:pPr>
            <w:r>
              <w:t>82.30%</w:t>
            </w:r>
          </w:p>
        </w:tc>
        <w:tc>
          <w:tcPr>
            <w:tcW w:w="1330" w:type="dxa"/>
            <w:vAlign w:val="center"/>
          </w:tcPr>
          <w:p>
            <w:pPr>
              <w:pStyle w:val="TableNumber"/>
            </w:pPr>
            <w:r>
              <w:t>-0.0731</w:t>
            </w:r>
          </w:p>
        </w:tc>
        <w:tc>
          <w:tcPr>
            <w:tcW w:w="1350" w:type="dxa"/>
            <w:vAlign w:val="center"/>
          </w:tcPr>
          <w:p>
            <w:pPr>
              <w:pStyle w:val="TableNumber"/>
            </w:pPr>
            <w:r>
              <w:t>-0.0008</w:t>
            </w:r>
          </w:p>
        </w:tc>
      </w:tr>
      <w:tr>
        <w:trPr>
          <w:cantSplit/>
        </w:trPr>
        <w:tc>
          <w:tcPr>
            <w:tcW w:w="650" w:type="dxa"/>
            <w:vAlign w:val="center"/>
          </w:tcPr>
          <w:p>
            <w:pPr>
              <w:pStyle w:val="TableNumber"/>
            </w:pPr>
            <w:r>
              <w:t>8</w:t>
            </w:r>
          </w:p>
        </w:tc>
        <w:tc>
          <w:tcPr>
            <w:tcW w:w="2800" w:type="dxa"/>
            <w:vAlign w:val="center"/>
          </w:tcPr>
          <w:p>
            <w:pPr>
              <w:pStyle w:val="TableText"/>
            </w:pPr>
            <w:r>
              <w:t>Moving-average crossover</w:t>
            </w:r>
          </w:p>
        </w:tc>
        <w:tc>
          <w:tcPr>
            <w:tcW w:w="1900" w:type="dxa"/>
            <w:vAlign w:val="center"/>
          </w:tcPr>
          <w:p>
            <w:pPr>
              <w:pStyle w:val="TableNumber"/>
            </w:pPr>
            <w:r>
              <w:t>0.363112</w:t>
            </w:r>
          </w:p>
        </w:tc>
        <w:tc>
          <w:tcPr>
            <w:tcW w:w="1330" w:type="dxa"/>
            <w:vAlign w:val="center"/>
          </w:tcPr>
          <w:p>
            <w:pPr>
              <w:pStyle w:val="TableNumber"/>
            </w:pPr>
            <w:r>
              <w:t>83.65%</w:t>
            </w:r>
          </w:p>
        </w:tc>
        <w:tc>
          <w:tcPr>
            <w:tcW w:w="1330" w:type="dxa"/>
            <w:vAlign w:val="center"/>
          </w:tcPr>
          <w:p>
            <w:pPr>
              <w:pStyle w:val="TableNumber"/>
            </w:pPr>
            <w:r>
              <w:t>0.0174</w:t>
            </w:r>
          </w:p>
        </w:tc>
        <w:tc>
          <w:tcPr>
            <w:tcW w:w="1350" w:type="dxa"/>
            <w:vAlign w:val="center"/>
          </w:tcPr>
          <w:p>
            <w:pPr>
              <w:pStyle w:val="TableNumber"/>
            </w:pPr>
            <w:r>
              <w:t>0.0327</w:t>
            </w:r>
          </w:p>
        </w:tc>
      </w:tr>
      <w:tr>
        <w:trPr>
          <w:cantSplit/>
        </w:trPr>
        <w:tc>
          <w:tcPr>
            <w:tcW w:w="650" w:type="dxa"/>
            <w:vAlign w:val="center"/>
          </w:tcPr>
          <w:p>
            <w:pPr>
              <w:pStyle w:val="TableNumber"/>
            </w:pPr>
            <w:r>
              <w:t>9</w:t>
            </w:r>
          </w:p>
        </w:tc>
        <w:tc>
          <w:tcPr>
            <w:tcW w:w="2800" w:type="dxa"/>
            <w:vAlign w:val="center"/>
          </w:tcPr>
          <w:p>
            <w:pPr>
              <w:pStyle w:val="TableText"/>
            </w:pPr>
            <w:r>
              <w:t>DLinear</w:t>
            </w:r>
          </w:p>
        </w:tc>
        <w:tc>
          <w:tcPr>
            <w:tcW w:w="1900" w:type="dxa"/>
            <w:vAlign w:val="center"/>
          </w:tcPr>
          <w:p>
            <w:pPr>
              <w:pStyle w:val="TableNumber"/>
            </w:pPr>
            <w:r>
              <w:t>0.368906</w:t>
            </w:r>
          </w:p>
        </w:tc>
        <w:tc>
          <w:tcPr>
            <w:tcW w:w="1330" w:type="dxa"/>
            <w:vAlign w:val="center"/>
          </w:tcPr>
          <w:p>
            <w:pPr>
              <w:pStyle w:val="TableNumber"/>
            </w:pPr>
            <w:r>
              <w:t>83.39%</w:t>
            </w:r>
          </w:p>
        </w:tc>
        <w:tc>
          <w:tcPr>
            <w:tcW w:w="1330" w:type="dxa"/>
            <w:vAlign w:val="center"/>
          </w:tcPr>
          <w:p>
            <w:pPr>
              <w:pStyle w:val="TableNumber"/>
            </w:pPr>
            <w:r>
              <w:t>0.0125</w:t>
            </w:r>
          </w:p>
        </w:tc>
        <w:tc>
          <w:tcPr>
            <w:tcW w:w="1350" w:type="dxa"/>
            <w:vAlign w:val="center"/>
          </w:tcPr>
          <w:p>
            <w:pPr>
              <w:pStyle w:val="TableNumber"/>
            </w:pPr>
            <w:r>
              <w:t>0.0055</w:t>
            </w:r>
          </w:p>
        </w:tc>
      </w:tr>
      <w:tr>
        <w:trPr>
          <w:cantSplit/>
        </w:trPr>
        <w:tc>
          <w:tcPr>
            <w:tcW w:w="650" w:type="dxa"/>
            <w:vAlign w:val="center"/>
          </w:tcPr>
          <w:p>
            <w:pPr>
              <w:pStyle w:val="TableNumber"/>
            </w:pPr>
            <w:r>
              <w:t>10</w:t>
            </w:r>
          </w:p>
        </w:tc>
        <w:tc>
          <w:tcPr>
            <w:tcW w:w="2800" w:type="dxa"/>
            <w:vAlign w:val="center"/>
          </w:tcPr>
          <w:p>
            <w:pPr>
              <w:pStyle w:val="TableText"/>
            </w:pPr>
            <w:r>
              <w:t>RSI rule</w:t>
            </w:r>
          </w:p>
        </w:tc>
        <w:tc>
          <w:tcPr>
            <w:tcW w:w="1900" w:type="dxa"/>
            <w:vAlign w:val="center"/>
          </w:tcPr>
          <w:p>
            <w:pPr>
              <w:pStyle w:val="TableNumber"/>
            </w:pPr>
            <w:r>
              <w:t>0.399930</w:t>
            </w:r>
          </w:p>
        </w:tc>
        <w:tc>
          <w:tcPr>
            <w:tcW w:w="1330" w:type="dxa"/>
            <w:vAlign w:val="center"/>
          </w:tcPr>
          <w:p>
            <w:pPr>
              <w:pStyle w:val="TableNumber"/>
            </w:pPr>
            <w:r>
              <w:t>83.21%</w:t>
            </w:r>
          </w:p>
        </w:tc>
        <w:tc>
          <w:tcPr>
            <w:tcW w:w="1330" w:type="dxa"/>
            <w:vAlign w:val="center"/>
          </w:tcPr>
          <w:p>
            <w:pPr>
              <w:pStyle w:val="TableNumber"/>
            </w:pPr>
            <w:r>
              <w:t>0.0155</w:t>
            </w:r>
          </w:p>
        </w:tc>
        <w:tc>
          <w:tcPr>
            <w:tcW w:w="1350" w:type="dxa"/>
            <w:vAlign w:val="center"/>
          </w:tcPr>
          <w:p>
            <w:pPr>
              <w:pStyle w:val="TableNumber"/>
            </w:pPr>
            <w:r>
              <w:t>-0.0201</w:t>
            </w:r>
          </w:p>
        </w:tc>
      </w:tr>
      <w:tr>
        <w:trPr>
          <w:cantSplit/>
        </w:trPr>
        <w:tc>
          <w:tcPr>
            <w:tcW w:w="650" w:type="dxa"/>
            <w:vAlign w:val="center"/>
          </w:tcPr>
          <w:p>
            <w:pPr>
              <w:pStyle w:val="TableNumber"/>
            </w:pPr>
            <w:r>
              <w:t>11</w:t>
            </w:r>
          </w:p>
        </w:tc>
        <w:tc>
          <w:tcPr>
            <w:tcW w:w="2800" w:type="dxa"/>
            <w:vAlign w:val="center"/>
          </w:tcPr>
          <w:p>
            <w:pPr>
              <w:pStyle w:val="TableText"/>
            </w:pPr>
            <w:r>
              <w:t>Volatility-scaled rule</w:t>
            </w:r>
          </w:p>
        </w:tc>
        <w:tc>
          <w:tcPr>
            <w:tcW w:w="1900" w:type="dxa"/>
            <w:vAlign w:val="center"/>
          </w:tcPr>
          <w:p>
            <w:pPr>
              <w:pStyle w:val="TableNumber"/>
            </w:pPr>
            <w:r>
              <w:t>0.509903</w:t>
            </w:r>
          </w:p>
        </w:tc>
        <w:tc>
          <w:tcPr>
            <w:tcW w:w="1330" w:type="dxa"/>
            <w:vAlign w:val="center"/>
          </w:tcPr>
          <w:p>
            <w:pPr>
              <w:pStyle w:val="TableNumber"/>
            </w:pPr>
            <w:r>
              <w:t>83.40%</w:t>
            </w:r>
          </w:p>
        </w:tc>
        <w:tc>
          <w:tcPr>
            <w:tcW w:w="1330" w:type="dxa"/>
            <w:vAlign w:val="center"/>
          </w:tcPr>
          <w:p>
            <w:pPr>
              <w:pStyle w:val="TableNumber"/>
            </w:pPr>
            <w:r>
              <w:t>-0.0332</w:t>
            </w:r>
          </w:p>
        </w:tc>
        <w:tc>
          <w:tcPr>
            <w:tcW w:w="1350" w:type="dxa"/>
            <w:vAlign w:val="center"/>
          </w:tcPr>
          <w:p>
            <w:pPr>
              <w:pStyle w:val="TableNumber"/>
            </w:pPr>
            <w:r>
              <w:t>0.0104</w:t>
            </w:r>
          </w:p>
        </w:tc>
      </w:tr>
      <w:tr>
        <w:trPr>
          <w:cantSplit/>
        </w:trPr>
        <w:tc>
          <w:tcPr>
            <w:tcW w:w="650" w:type="dxa"/>
            <w:vAlign w:val="center"/>
          </w:tcPr>
          <w:p>
            <w:pPr>
              <w:pStyle w:val="TableNumber"/>
            </w:pPr>
            <w:r>
              <w:t>12</w:t>
            </w:r>
          </w:p>
        </w:tc>
        <w:tc>
          <w:tcPr>
            <w:tcW w:w="2800" w:type="dxa"/>
            <w:vAlign w:val="center"/>
          </w:tcPr>
          <w:p>
            <w:pPr>
              <w:pStyle w:val="TableText"/>
            </w:pPr>
            <w:r>
              <w:t>Five-day reversal</w:t>
            </w:r>
          </w:p>
        </w:tc>
        <w:tc>
          <w:tcPr>
            <w:tcW w:w="1900" w:type="dxa"/>
            <w:vAlign w:val="center"/>
          </w:tcPr>
          <w:p>
            <w:pPr>
              <w:pStyle w:val="TableNumber"/>
            </w:pPr>
            <w:r>
              <w:t>0.524241</w:t>
            </w:r>
          </w:p>
        </w:tc>
        <w:tc>
          <w:tcPr>
            <w:tcW w:w="1330" w:type="dxa"/>
            <w:vAlign w:val="center"/>
          </w:tcPr>
          <w:p>
            <w:pPr>
              <w:pStyle w:val="TableNumber"/>
            </w:pPr>
            <w:r>
              <w:t>82.64%</w:t>
            </w:r>
          </w:p>
        </w:tc>
        <w:tc>
          <w:tcPr>
            <w:tcW w:w="1330" w:type="dxa"/>
            <w:vAlign w:val="center"/>
          </w:tcPr>
          <w:p>
            <w:pPr>
              <w:pStyle w:val="TableNumber"/>
            </w:pPr>
            <w:r>
              <w:t>0.0303</w:t>
            </w:r>
          </w:p>
        </w:tc>
        <w:tc>
          <w:tcPr>
            <w:tcW w:w="1350" w:type="dxa"/>
            <w:vAlign w:val="center"/>
          </w:tcPr>
          <w:p>
            <w:pPr>
              <w:pStyle w:val="TableNumber"/>
            </w:pPr>
            <w:r>
              <w:t>-0.0069</w:t>
            </w:r>
          </w:p>
        </w:tc>
      </w:tr>
      <w:tr>
        <w:trPr>
          <w:cantSplit/>
        </w:trPr>
        <w:tc>
          <w:tcPr>
            <w:tcW w:w="650" w:type="dxa"/>
            <w:vAlign w:val="center"/>
          </w:tcPr>
          <w:p>
            <w:pPr>
              <w:pStyle w:val="TableNumber"/>
            </w:pPr>
            <w:r>
              <w:t>13</w:t>
            </w:r>
          </w:p>
        </w:tc>
        <w:tc>
          <w:tcPr>
            <w:tcW w:w="2800" w:type="dxa"/>
            <w:vAlign w:val="center"/>
          </w:tcPr>
          <w:p>
            <w:pPr>
              <w:pStyle w:val="TableText"/>
            </w:pPr>
            <w:r>
              <w:t>Five-day momentum</w:t>
            </w:r>
          </w:p>
        </w:tc>
        <w:tc>
          <w:tcPr>
            <w:tcW w:w="1900" w:type="dxa"/>
            <w:vAlign w:val="center"/>
          </w:tcPr>
          <w:p>
            <w:pPr>
              <w:pStyle w:val="TableNumber"/>
            </w:pPr>
            <w:r>
              <w:t>0.529759</w:t>
            </w:r>
          </w:p>
        </w:tc>
        <w:tc>
          <w:tcPr>
            <w:tcW w:w="1330" w:type="dxa"/>
            <w:vAlign w:val="center"/>
          </w:tcPr>
          <w:p>
            <w:pPr>
              <w:pStyle w:val="TableNumber"/>
            </w:pPr>
            <w:r>
              <w:t>83.11%</w:t>
            </w:r>
          </w:p>
        </w:tc>
        <w:tc>
          <w:tcPr>
            <w:tcW w:w="1330" w:type="dxa"/>
            <w:vAlign w:val="center"/>
          </w:tcPr>
          <w:p>
            <w:pPr>
              <w:pStyle w:val="TableNumber"/>
            </w:pPr>
            <w:r>
              <w:t>-0.0303</w:t>
            </w:r>
          </w:p>
        </w:tc>
        <w:tc>
          <w:tcPr>
            <w:tcW w:w="1350" w:type="dxa"/>
            <w:vAlign w:val="center"/>
          </w:tcPr>
          <w:p>
            <w:pPr>
              <w:pStyle w:val="TableNumber"/>
            </w:pPr>
            <w:r>
              <w:t>0.0100</w:t>
            </w:r>
          </w:p>
        </w:tc>
      </w:tr>
    </w:tbl>
    <w:p>
      <w:pPr>
        <w:pStyle w:val="Note"/>
      </w:pPr>
      <w:r>
        <w:t>All learned baselines use seed 42. Primary ranking uses only the 14-horizon selection score.</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purpose</w:t>
            </w:r>
          </w:p>
        </w:tc>
      </w:tr>
      <w:tr>
        <w:trPr>
          <w:cantSplit/>
        </w:trPr>
        <w:tc>
          <w:tcPr>
            <w:tcW w:w="3000" w:type="dxa"/>
            <w:vAlign w:val="center"/>
          </w:tcPr>
          <w:p>
            <w:pPr>
              <w:pStyle w:val="TableText"/>
            </w:pPr>
            <w:r>
              <w:t>Run ID</w:t>
            </w:r>
          </w:p>
        </w:tc>
        <w:tc>
          <w:tcPr>
            <w:tcW w:w="6360" w:type="dxa"/>
            <w:vAlign w:val="center"/>
          </w:tcPr>
          <w:p>
            <w:pPr>
              <w:pStyle w:val="TableText"/>
            </w:pPr>
            <w:r>
              <w:t>run-20260917T110811Z-1986920595</w:t>
            </w:r>
          </w:p>
        </w:tc>
      </w:tr>
      <w:tr>
        <w:trPr>
          <w:cantSplit/>
        </w:trPr>
        <w:tc>
          <w:tcPr>
            <w:tcW w:w="3000" w:type="dxa"/>
            <w:vAlign w:val="center"/>
          </w:tcPr>
          <w:p>
            <w:pPr>
              <w:pStyle w:val="TableText"/>
            </w:pPr>
            <w:r>
              <w:t>Best checkpoint</w:t>
            </w:r>
          </w:p>
        </w:tc>
        <w:tc>
          <w:tcPr>
            <w:tcW w:w="6360" w:type="dxa"/>
            <w:vAlign w:val="center"/>
          </w:tcPr>
          <w:p>
            <w:pPr>
              <w:pStyle w:val="TableText"/>
            </w:pPr>
            <w:r>
              <w:t>checkpoint-094452; validation monitor 0.299332876409; test score 0.313540605815</w:t>
            </w:r>
          </w:p>
        </w:tc>
      </w:tr>
      <w:tr>
        <w:trPr>
          <w:cantSplit/>
        </w:trPr>
        <w:tc>
          <w:tcPr>
            <w:tcW w:w="3000" w:type="dxa"/>
            <w:vAlign w:val="center"/>
          </w:tcPr>
          <w:p>
            <w:pPr>
              <w:pStyle w:val="TableText"/>
            </w:pPr>
            <w:r>
              <w:t>Output schema</w:t>
            </w:r>
          </w:p>
        </w:tc>
        <w:tc>
          <w:tcPr>
            <w:tcW w:w="6360" w:type="dxa"/>
            <w:vAlign w:val="center"/>
          </w:tcPr>
          <w:p>
            <w:pPr>
              <w:pStyle w:val="TableText"/>
            </w:pPr>
            <w:r>
              <w:t>model_output_schema_version=5.0; alpha_quantiles [batch,14,3]; horizons 1–14; q10/q50/q90</w:t>
            </w:r>
          </w:p>
        </w:tc>
      </w:tr>
      <w:tr>
        <w:trPr>
          <w:cantSplit/>
        </w:trPr>
        <w:tc>
          <w:tcPr>
            <w:tcW w:w="3000" w:type="dxa"/>
            <w:vAlign w:val="center"/>
          </w:tcPr>
          <w:p>
            <w:pPr>
              <w:pStyle w:val="TableText"/>
            </w:pPr>
            <w:r>
              <w:t>Evaluation state</w:t>
            </w:r>
          </w:p>
        </w:tc>
        <w:tc>
          <w:tcPr>
            <w:tcW w:w="6360" w:type="dxa"/>
            <w:vAlign w:val="center"/>
          </w:tcPr>
          <w:p>
            <w:pPr>
              <w:pStyle w:val="TableText"/>
            </w:pPr>
            <w:r>
              <w:t>state=ready; split=test; test_unlocked=true; 20,000 rows / 112 dates</w:t>
            </w:r>
          </w:p>
        </w:tc>
      </w:tr>
      <w:tr>
        <w:trPr>
          <w:cantSplit/>
        </w:trPr>
        <w:tc>
          <w:tcPr>
            <w:tcW w:w="3000" w:type="dxa"/>
            <w:vAlign w:val="center"/>
          </w:tcPr>
          <w:p>
            <w:pPr>
              <w:pStyle w:val="TableText"/>
            </w:pPr>
            <w:r>
              <w:t>Training lifecycle</w:t>
            </w:r>
          </w:p>
        </w:tc>
        <w:tc>
          <w:tcPr>
            <w:tcW w:w="6360" w:type="dxa"/>
            <w:vAlign w:val="center"/>
          </w:tcPr>
          <w:p>
            <w:pPr>
              <w:pStyle w:val="TableText"/>
            </w:pPr>
            <w:r>
              <w:t>state=ready; exit_code=0; timed_out=false; training_completed=true</w:t>
            </w:r>
          </w:p>
        </w:tc>
      </w:tr>
      <w:tr>
        <w:trPr>
          <w:cantSplit/>
        </w:trPr>
        <w:tc>
          <w:tcPr>
            <w:tcW w:w="3000" w:type="dxa"/>
            <w:vAlign w:val="center"/>
          </w:tcPr>
          <w:p>
            <w:pPr>
              <w:pStyle w:val="TableText"/>
            </w:pPr>
            <w:r>
              <w:t>Dataset manifest SHA-256</w:t>
            </w:r>
          </w:p>
        </w:tc>
        <w:tc>
          <w:tcPr>
            <w:tcW w:w="6360" w:type="dxa"/>
            <w:vAlign w:val="center"/>
          </w:tcPr>
          <w:p>
            <w:pPr>
              <w:pStyle w:val="TableText"/>
            </w:pPr>
            <w:r>
              <w:t>93aca769f2e90113cb7da671953773f47f7df3e89855cb1e7c61dc95e87c83cf</w:t>
            </w:r>
          </w:p>
        </w:tc>
      </w:tr>
      <w:tr>
        <w:trPr>
          <w:cantSplit/>
        </w:trPr>
        <w:tc>
          <w:tcPr>
            <w:tcW w:w="3000" w:type="dxa"/>
            <w:vAlign w:val="center"/>
          </w:tcPr>
          <w:p>
            <w:pPr>
              <w:pStyle w:val="TableText"/>
            </w:pPr>
            <w:r>
              <w:t>Test membership SHA-256</w:t>
            </w:r>
          </w:p>
        </w:tc>
        <w:tc>
          <w:tcPr>
            <w:tcW w:w="6360" w:type="dxa"/>
            <w:vAlign w:val="center"/>
          </w:tcPr>
          <w:p>
            <w:pPr>
              <w:pStyle w:val="TableText"/>
            </w:pPr>
            <w:r>
              <w:t>a0d42f58718b85ce3c472046256c0137c7940848f2eb90ce0ecb5bcc543d85fd</w:t>
            </w:r>
          </w:p>
        </w:tc>
      </w:tr>
      <w:tr>
        <w:trPr>
          <w:cantSplit/>
        </w:trPr>
        <w:tc>
          <w:tcPr>
            <w:tcW w:w="3000" w:type="dxa"/>
            <w:vAlign w:val="center"/>
          </w:tcPr>
          <w:p>
            <w:pPr>
              <w:pStyle w:val="TableText"/>
            </w:pPr>
            <w:r>
              <w:t>Key artifacts</w:t>
            </w:r>
          </w:p>
        </w:tc>
        <w:tc>
          <w:tcPr>
            <w:tcW w:w="6360" w:type="dxa"/>
            <w:vAlign w:val="center"/>
          </w:tcPr>
          <w:p>
            <w:pPr>
              <w:pStyle w:val="TableText"/>
            </w:pPr>
            <w:r>
              <w:t>best-checkpoint.json; checkpoint-leaderboard.json; completion-result/training-result.json; validation-benchmark.json; resolved-config.yaml; run-manifest.json</w:t>
            </w:r>
          </w:p>
        </w:tc>
      </w:tr>
    </w:tbl>
    <w:p>
      <w:pPr>
        <w:pStyle w:val="Note"/>
      </w:pPr>
      <w:r>
        <w:t>All figures come directly from this run’s artifacts; this report did not retrain, resample, or alter the test protocol. The checkpoint was selected on validation, and results for all 14 horizons are reported.</w:t>
      </w:r>
    </w:p>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One to Fourteen Day Alpha Validation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模型效能評估報告 run-20260917T110811Z-1986920595</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2</ns0:revision>
  <dcterms:created xsi:type="dcterms:W3CDTF">2026-07-17T00:00:00Z</dcterms:created>
  <dcterms:modified xsi:type="dcterms:W3CDTF">2026-09-17T00:00:00Z</dcterms:modified>
</ns0:coreProperties>
</file>