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ReportTitle"/>
      </w:pPr>
      <w:r>
        <w:t>1 至 14 日 Alpha 預測驗證</w:t>
      </w:r>
    </w:p>
    <w:p>
      <w:pPr>
        <w:pStyle w:val="1"/>
      </w:pPr>
      <w:r>
        <w:t>Stage 2｜run-20260915T091153Z-918316277</w:t>
      </w:r>
    </w:p>
    <w:p>
      <w:pPr>
        <w:pStyle w:val="Metadata"/>
      </w:pPr>
      <w:r>
        <w:t>報告日期：2026-09-17</w:t>
      </w:r>
    </w:p>
    <w:p>
      <w:pPr>
        <w:pStyle w:val="Metadata"/>
      </w:pPr>
      <w:r>
        <w:t>最佳 checkpoint：checkpoint-043773（global step 43,773）</w:t>
      </w:r>
    </w:p>
    <w:p>
      <w:pPr>
        <w:pStyle w:val="Metadata"/>
      </w:pPr>
      <w:r>
        <w:t>評估資料：test；checkpoint 由 validation 選出；test 已解鎖</w:t>
      </w:r>
    </w:p>
    <w:p>
      <w:pPr>
        <w:pStyle w:val="Lead"/>
      </w:pPr>
      <w:r>
        <w:t>結論：本輪 Stage 2 的最佳 checkpoint 在 20,000 筆 test benchmark 上得到 1 至 14 日 score 0.306784，在 13 個模型中排名第 1；逐 horizon normalized pinball 也是 14／14 第 1。RankIC 在 5 個 horizon 排名第一，成本後 Sharpe 在 9 個 horizon 排名第一。q50 correlation 為 0.0298 至 0.1204，方向一致率為 51.41% 至 58.54%；coverage 有 13 個 horizon 低於名目 80%。相較上一輪 validation score，數值改善 2.39%，但 evaluation split 不同，不能直接視為純模型進步。訓練 marker 顯示完成，但 training lifecycle exit code=1 與 training_completed=true 不一致，仍需查核日誌後才能做部署結論。</w:t>
      </w:r>
    </w:p>
    <w:p>
      <w:pPr>
        <w:pStyle w:val="11"/>
      </w:pPr>
      <w:r>
        <w:t>1. 執行摘要</w:t>
      </w:r>
    </w:p>
    <w:p>
      <w:pPr>
        <w:pStyle w:val="21"/>
      </w:pPr>
      <w:r>
        <w:t>1.1 評估單位是全部 14 個 horizon</w:t>
      </w:r>
    </w:p>
    <w:p>
      <w:pPr>
        <w:pStyle w:val="a"/>
      </w:pPr>
      <w:r>
        <w:t>每筆樣本包含 14 組獨立的 q10、q50、q90，分別回答持有 1、2、一直到 14 個共同交易日後，相對 benchmark 的可能報酬分布。selection score 是 14 個 horizon 的 normalized pinball 等權平均；報告中的逐 horizon 表格則檢查模型是否只在少數天期表現好。</w:t>
      </w:r>
    </w:p>
    <w:p>
      <w:pPr>
        <w:pStyle w:val="Decision"/>
        <w:keepNext/>
        <w:spacing w:after="80"/>
      </w:pPr>
      <w:r>
        <w:t>表 1｜跨 1 至 14 日的核心結論</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評估面向</w:t>
            </w:r>
          </w:p>
        </w:tc>
        <w:tc>
          <w:tcPr>
            <w:tcW w:w="2800" w:type="dxa"/>
            <w:shd w:val="clear" w:fill="DCE6F1"/>
            <w:vAlign w:val="center"/>
          </w:tcPr>
          <w:p>
            <w:pPr>
              <w:pStyle w:val="TableHeader"/>
            </w:pPr>
            <w:r>
              <w:t>本次結果</w:t>
            </w:r>
          </w:p>
        </w:tc>
        <w:tc>
          <w:tcPr>
            <w:tcW w:w="3910" w:type="dxa"/>
            <w:shd w:val="clear" w:fill="DCE6F1"/>
            <w:vAlign w:val="center"/>
          </w:tcPr>
          <w:p>
            <w:pPr>
              <w:pStyle w:val="TableHeader"/>
            </w:pPr>
            <w:r>
              <w:t>正確解讀</w:t>
            </w:r>
          </w:p>
        </w:tc>
      </w:tr>
      <w:tr>
        <w:trPr>
          <w:cantSplit/>
        </w:trPr>
        <w:tc>
          <w:tcPr>
            <w:tcW w:w="2650" w:type="dxa"/>
            <w:vAlign w:val="center"/>
          </w:tcPr>
          <w:p>
            <w:pPr>
              <w:pStyle w:val="TableText"/>
            </w:pPr>
            <w:r>
              <w:t>全 horizon test score</w:t>
            </w:r>
          </w:p>
        </w:tc>
        <w:tc>
          <w:tcPr>
            <w:tcW w:w="2800" w:type="dxa"/>
            <w:vAlign w:val="center"/>
          </w:tcPr>
          <w:p>
            <w:pPr>
              <w:pStyle w:val="TableNumber"/>
            </w:pPr>
            <w:r>
              <w:t>0.306784</w:t>
            </w:r>
          </w:p>
        </w:tc>
        <w:tc>
          <w:tcPr>
            <w:tcW w:w="3910" w:type="dxa"/>
            <w:vAlign w:val="center"/>
          </w:tcPr>
          <w:p>
            <w:pPr>
              <w:pStyle w:val="TableText"/>
            </w:pPr>
            <w:r>
              <w:t>13 模型第 1 名；14 個 horizon 等權；checkpoint 由 validation 選出</w:t>
            </w:r>
          </w:p>
        </w:tc>
      </w:tr>
      <w:tr>
        <w:trPr>
          <w:cantSplit/>
        </w:trPr>
        <w:tc>
          <w:tcPr>
            <w:tcW w:w="2650" w:type="dxa"/>
            <w:vAlign w:val="center"/>
          </w:tcPr>
          <w:p>
            <w:pPr>
              <w:pStyle w:val="TableText"/>
            </w:pPr>
            <w:r>
              <w:t>逐 horizon normalized pinball</w:t>
            </w:r>
          </w:p>
        </w:tc>
        <w:tc>
          <w:tcPr>
            <w:tcW w:w="2800" w:type="dxa"/>
            <w:vAlign w:val="center"/>
          </w:tcPr>
          <w:p>
            <w:pPr>
              <w:pStyle w:val="TableNumber"/>
            </w:pPr>
            <w:r>
              <w:t>第 1 名 14 個</w:t>
            </w:r>
          </w:p>
        </w:tc>
        <w:tc>
          <w:tcPr>
            <w:tcW w:w="3910" w:type="dxa"/>
            <w:vAlign w:val="center"/>
          </w:tcPr>
          <w:p>
            <w:pPr>
              <w:pStyle w:val="TableText"/>
            </w:pPr>
            <w:r>
              <w:t>1 至 14 日排名皆為第 1 名</w:t>
            </w:r>
          </w:p>
        </w:tc>
      </w:tr>
      <w:tr>
        <w:trPr>
          <w:cantSplit/>
        </w:trPr>
        <w:tc>
          <w:tcPr>
            <w:tcW w:w="2650" w:type="dxa"/>
            <w:vAlign w:val="center"/>
          </w:tcPr>
          <w:p>
            <w:pPr>
              <w:pStyle w:val="TableText"/>
            </w:pPr>
            <w:r>
              <w:t>q50 Pearson correlation</w:t>
            </w:r>
          </w:p>
        </w:tc>
        <w:tc>
          <w:tcPr>
            <w:tcW w:w="2800" w:type="dxa"/>
            <w:vAlign w:val="center"/>
          </w:tcPr>
          <w:p>
            <w:pPr>
              <w:pStyle w:val="TableNumber"/>
            </w:pPr>
            <w:r>
              <w:t>14/14 為正；0.0298 至 0.1204</w:t>
            </w:r>
          </w:p>
        </w:tc>
        <w:tc>
          <w:tcPr>
            <w:tcW w:w="3910" w:type="dxa"/>
            <w:vAlign w:val="center"/>
          </w:tcPr>
          <w:p>
            <w:pPr>
              <w:pStyle w:val="TableText"/>
            </w:pPr>
            <w:r>
              <w:t>長 horizon 整體較高，但仍屬弱相關</w:t>
            </w:r>
          </w:p>
        </w:tc>
      </w:tr>
      <w:tr>
        <w:trPr>
          <w:cantSplit/>
        </w:trPr>
        <w:tc>
          <w:tcPr>
            <w:tcW w:w="2650" w:type="dxa"/>
            <w:vAlign w:val="center"/>
          </w:tcPr>
          <w:p>
            <w:pPr>
              <w:pStyle w:val="TableText"/>
            </w:pPr>
            <w:r>
              <w:t>方向一致率</w:t>
            </w:r>
          </w:p>
        </w:tc>
        <w:tc>
          <w:tcPr>
            <w:tcW w:w="2800" w:type="dxa"/>
            <w:vAlign w:val="center"/>
          </w:tcPr>
          <w:p>
            <w:pPr>
              <w:pStyle w:val="TableNumber"/>
            </w:pPr>
            <w:r>
              <w:t>51.41% 至 58.54%</w:t>
            </w:r>
          </w:p>
        </w:tc>
        <w:tc>
          <w:tcPr>
            <w:tcW w:w="3910" w:type="dxa"/>
            <w:vAlign w:val="center"/>
          </w:tcPr>
          <w:p>
            <w:pPr>
              <w:pStyle w:val="TableText"/>
            </w:pPr>
            <w:r>
              <w:t>14／14 高於 50%；低於 50% 的 horizon：無</w:t>
            </w:r>
          </w:p>
        </w:tc>
      </w:tr>
      <w:tr>
        <w:trPr>
          <w:cantSplit/>
        </w:trPr>
        <w:tc>
          <w:tcPr>
            <w:tcW w:w="2650" w:type="dxa"/>
            <w:vAlign w:val="center"/>
          </w:tcPr>
          <w:p>
            <w:pPr>
              <w:pStyle w:val="TableText"/>
            </w:pPr>
            <w:r>
              <w:t>q10 至 q90 coverage</w:t>
            </w:r>
          </w:p>
        </w:tc>
        <w:tc>
          <w:tcPr>
            <w:tcW w:w="2800" w:type="dxa"/>
            <w:vAlign w:val="center"/>
          </w:tcPr>
          <w:p>
            <w:pPr>
              <w:pStyle w:val="TableNumber"/>
            </w:pPr>
            <w:r>
              <w:t>74.95% 至 82.06%</w:t>
            </w:r>
          </w:p>
        </w:tc>
        <w:tc>
          <w:tcPr>
            <w:tcW w:w="3910" w:type="dxa"/>
            <w:vAlign w:val="center"/>
          </w:tcPr>
          <w:p>
            <w:pPr>
              <w:pStyle w:val="TableText"/>
            </w:pPr>
            <w:r>
              <w:t>13/14 低於名目 80%</w:t>
            </w:r>
          </w:p>
        </w:tc>
      </w:tr>
      <w:tr>
        <w:trPr>
          <w:cantSplit/>
        </w:trPr>
        <w:tc>
          <w:tcPr>
            <w:tcW w:w="2650" w:type="dxa"/>
            <w:vAlign w:val="center"/>
          </w:tcPr>
          <w:p>
            <w:pPr>
              <w:pStyle w:val="TableText"/>
            </w:pPr>
            <w:r>
              <w:t>RankIC</w:t>
            </w:r>
          </w:p>
        </w:tc>
        <w:tc>
          <w:tcPr>
            <w:tcW w:w="2800" w:type="dxa"/>
            <w:vAlign w:val="center"/>
          </w:tcPr>
          <w:p>
            <w:pPr>
              <w:pStyle w:val="TableNumber"/>
            </w:pPr>
            <w:r>
              <w:t>14/14 為正；第 1 名 5 個</w:t>
            </w:r>
          </w:p>
        </w:tc>
        <w:tc>
          <w:tcPr>
            <w:tcW w:w="3910" w:type="dxa"/>
            <w:vAlign w:val="center"/>
          </w:tcPr>
          <w:p>
            <w:pPr>
              <w:pStyle w:val="TableText"/>
            </w:pPr>
            <w:r>
              <w:t>其餘 horizon 排名介於第 1 至第 4</w:t>
            </w:r>
          </w:p>
        </w:tc>
      </w:tr>
      <w:tr>
        <w:trPr>
          <w:cantSplit/>
        </w:trPr>
        <w:tc>
          <w:tcPr>
            <w:tcW w:w="2650" w:type="dxa"/>
            <w:vAlign w:val="center"/>
          </w:tcPr>
          <w:p>
            <w:pPr>
              <w:pStyle w:val="TableText"/>
            </w:pPr>
            <w:r>
              <w:t>成本後 Sharpe</w:t>
            </w:r>
          </w:p>
        </w:tc>
        <w:tc>
          <w:tcPr>
            <w:tcW w:w="2800" w:type="dxa"/>
            <w:vAlign w:val="center"/>
          </w:tcPr>
          <w:p>
            <w:pPr>
              <w:pStyle w:val="TableNumber"/>
            </w:pPr>
            <w:r>
              <w:t>14/14 為正；第 1 名 9 個</w:t>
            </w:r>
          </w:p>
        </w:tc>
        <w:tc>
          <w:tcPr>
            <w:tcW w:w="3910" w:type="dxa"/>
            <w:vAlign w:val="center"/>
          </w:tcPr>
          <w:p>
            <w:pPr>
              <w:pStyle w:val="TableText"/>
            </w:pPr>
            <w:r>
              <w:t>其餘 horizon 排名介於第 1 至第 2</w:t>
            </w:r>
          </w:p>
        </w:tc>
      </w:tr>
      <w:tr>
        <w:trPr>
          <w:cantSplit/>
        </w:trPr>
        <w:tc>
          <w:tcPr>
            <w:tcW w:w="2650" w:type="dxa"/>
            <w:vAlign w:val="center"/>
          </w:tcPr>
          <w:p>
            <w:pPr>
              <w:pStyle w:val="TableText"/>
            </w:pPr>
            <w:r>
              <w:t>最大回撤</w:t>
            </w:r>
          </w:p>
        </w:tc>
        <w:tc>
          <w:tcPr>
            <w:tcW w:w="2800" w:type="dxa"/>
            <w:vAlign w:val="center"/>
          </w:tcPr>
          <w:p>
            <w:pPr>
              <w:pStyle w:val="TableNumber"/>
            </w:pPr>
            <w:r>
              <w:t>-4.72% 至 -35.31%</w:t>
            </w:r>
          </w:p>
        </w:tc>
        <w:tc>
          <w:tcPr>
            <w:tcW w:w="3910" w:type="dxa"/>
            <w:vAlign w:val="center"/>
          </w:tcPr>
          <w:p>
            <w:pPr>
              <w:pStyle w:val="TableText"/>
            </w:pPr>
            <w:r>
              <w:t>跨模型排名介於第 3 至第 9；最差在 8d</w:t>
            </w:r>
          </w:p>
        </w:tc>
      </w:tr>
    </w:tbl>
    <w:p>
      <w:pPr>
        <w:pStyle w:val="21"/>
      </w:pPr>
      <w:r>
        <w:t>1.2 決策與證據強度</w:t>
      </w:r>
    </w:p>
    <w:p>
      <w:pPr>
        <w:pStyle w:val="a"/>
      </w:pPr>
      <w:r>
        <w:t>Kronos 的 test score 為 0.306784，在 13 個模型中排名第 1；相較第二名 成對 GRU 的 0.310659 低 1.25%，相較 zero-return baseline 的 0.336065 低 8.71%。逐 horizon normalized pinball 在 14 日全部排名第 1。與上一輪相比，改善的 horizon 為 2, 3, 4, 5, 6, 7, 8, 9, 10, 11, 12, 13, 14，惡化的 horizon 為 1；變化範圍為 -5.51% 至 4.20%，但上一輪為 validation、本輪為 test，不能當成同 split 的嚴格增益。</w:t>
      </w:r>
    </w:p>
    <w:p>
      <w:pPr>
        <w:pStyle w:val="Decision"/>
      </w:pPr>
      <w:r>
        <w:t>決策：保留本輪最佳 checkpoint 與 test 結果作為候選證據；test 已完成一次性評分，但在 coverage 校準、多 seed、training lifecycle exit code 不一致與交易風險門檻釐清前，不批准部署或實盤使用。</w:t>
      </w:r>
    </w:p>
    <w:p>
      <w:pPr>
        <w:pStyle w:val="Note"/>
      </w:pPr>
      <w:r>
        <w:t>selection score 衡量 14 個 horizon 的分布誤差。它不是報酬率、勝率或可交易性分數。</w:t>
      </w:r>
    </w:p>
    <w:p>
      <w:pPr>
        <w:pStyle w:val="11"/>
      </w:pPr>
      <w:r>
        <w:t>2. 驗證設計與證據邊界</w:t>
      </w:r>
    </w:p>
    <w:p>
      <w:pPr>
        <w:pStyle w:val="21"/>
      </w:pPr>
      <w:r>
        <w:t>2.1 資料與切分</w:t>
      </w:r>
    </w:p>
    <w:p>
      <w:pPr>
        <w:pStyle w:val="a"/>
      </w:pPr>
      <w:r>
        <w:t>資料 profile 為 us_tw_eodhd，來源包含 EODHD 美國資料、TPEx 官方資料與 TWSE 官方資料。所有模型使用相同 chronological split、benchmark mapping、cutoff-inclusive input context 與 entry／exit timestamps。</w:t>
      </w:r>
    </w:p>
    <w:p>
      <w:pPr>
        <w:pStyle w:val="Decision"/>
        <w:keepNext/>
        <w:spacing w:after="80"/>
      </w:pPr>
      <w:r>
        <w:t>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完整 train split</w:t>
            </w:r>
          </w:p>
        </w:tc>
        <w:tc>
          <w:tcPr>
            <w:tcW w:w="2050" w:type="dxa"/>
            <w:vAlign w:val="center"/>
          </w:tcPr>
          <w:p>
            <w:pPr>
              <w:pStyle w:val="TableNumber"/>
            </w:pPr>
            <w:r>
              <w:t>14,007,228</w:t>
            </w:r>
          </w:p>
        </w:tc>
        <w:tc>
          <w:tcPr>
            <w:tcW w:w="4510" w:type="dxa"/>
            <w:vAlign w:val="center"/>
          </w:tcPr>
          <w:p>
            <w:pPr>
              <w:pStyle w:val="TableText"/>
            </w:pPr>
            <w:r>
              <w:t>Stage 2 使用完整 train split；max_samples 未設上限</w:t>
            </w:r>
          </w:p>
        </w:tc>
      </w:tr>
      <w:tr>
        <w:trPr>
          <w:cantSplit/>
        </w:trPr>
        <w:tc>
          <w:tcPr>
            <w:tcW w:w="2800" w:type="dxa"/>
            <w:vAlign w:val="center"/>
          </w:tcPr>
          <w:p>
            <w:pPr>
              <w:pStyle w:val="TableText"/>
            </w:pPr>
            <w:r>
              <w:t>實際處理訓練樣本</w:t>
            </w:r>
          </w:p>
        </w:tc>
        <w:tc>
          <w:tcPr>
            <w:tcW w:w="2050" w:type="dxa"/>
            <w:vAlign w:val="center"/>
          </w:tcPr>
          <w:p>
            <w:pPr>
              <w:pStyle w:val="TableNumber"/>
            </w:pPr>
            <w:r>
              <w:t>25,213,120</w:t>
            </w:r>
          </w:p>
        </w:tc>
        <w:tc>
          <w:tcPr>
            <w:tcW w:w="4510" w:type="dxa"/>
            <w:vAlign w:val="center"/>
          </w:tcPr>
          <w:p>
            <w:pPr>
              <w:pStyle w:val="TableText"/>
            </w:pPr>
            <w:r>
              <w:t>約 1.80 個 raw split epoch；計畫樣本完成 36.00% 後 early stopping</w:t>
            </w:r>
          </w:p>
        </w:tc>
      </w:tr>
      <w:tr>
        <w:trPr>
          <w:cantSplit/>
        </w:trPr>
        <w:tc>
          <w:tcPr>
            <w:tcW w:w="2800" w:type="dxa"/>
            <w:vAlign w:val="center"/>
          </w:tcPr>
          <w:p>
            <w:pPr>
              <w:pStyle w:val="TableText"/>
            </w:pPr>
            <w:r>
              <w:t>完整 validation split</w:t>
            </w:r>
          </w:p>
        </w:tc>
        <w:tc>
          <w:tcPr>
            <w:tcW w:w="2050" w:type="dxa"/>
            <w:vAlign w:val="center"/>
          </w:tcPr>
          <w:p>
            <w:pPr>
              <w:pStyle w:val="TableNumber"/>
            </w:pPr>
            <w:r>
              <w:t>1,230,902</w:t>
            </w:r>
          </w:p>
        </w:tc>
        <w:tc>
          <w:tcPr>
            <w:tcW w:w="4510" w:type="dxa"/>
            <w:vAlign w:val="center"/>
          </w:tcPr>
          <w:p>
            <w:pPr>
              <w:pStyle w:val="TableText"/>
            </w:pPr>
            <w:r>
              <w:t>本輪 checkpoint 由 validation 選出；benchmark 使用確定性子集</w:t>
            </w:r>
          </w:p>
        </w:tc>
      </w:tr>
      <w:tr>
        <w:trPr>
          <w:cantSplit/>
        </w:trPr>
        <w:tc>
          <w:tcPr>
            <w:tcW w:w="2800" w:type="dxa"/>
            <w:vAlign w:val="center"/>
          </w:tcPr>
          <w:p>
            <w:pPr>
              <w:pStyle w:val="TableText"/>
            </w:pPr>
            <w:r>
              <w:t>完整 test split</w:t>
            </w:r>
          </w:p>
        </w:tc>
        <w:tc>
          <w:tcPr>
            <w:tcW w:w="2050" w:type="dxa"/>
            <w:vAlign w:val="center"/>
          </w:tcPr>
          <w:p>
            <w:pPr>
              <w:pStyle w:val="TableNumber"/>
            </w:pPr>
            <w:r>
              <w:t>1,261,524</w:t>
            </w:r>
          </w:p>
        </w:tc>
        <w:tc>
          <w:tcPr>
            <w:tcW w:w="4510" w:type="dxa"/>
            <w:vAlign w:val="center"/>
          </w:tcPr>
          <w:p>
            <w:pPr>
              <w:pStyle w:val="TableText"/>
            </w:pPr>
            <w:r>
              <w:t>test_unlocked=true；本報告使用 20,000 筆 test benchmark 評分</w:t>
            </w:r>
          </w:p>
        </w:tc>
      </w:tr>
      <w:tr>
        <w:trPr>
          <w:cantSplit/>
        </w:trPr>
        <w:tc>
          <w:tcPr>
            <w:tcW w:w="2800" w:type="dxa"/>
            <w:vAlign w:val="center"/>
          </w:tcPr>
          <w:p>
            <w:pPr>
              <w:pStyle w:val="TableText"/>
            </w:pPr>
            <w:r>
              <w:t>每個 horizon 的 test 樣本</w:t>
            </w:r>
          </w:p>
        </w:tc>
        <w:tc>
          <w:tcPr>
            <w:tcW w:w="2050" w:type="dxa"/>
            <w:vAlign w:val="center"/>
          </w:tcPr>
          <w:p>
            <w:pPr>
              <w:pStyle w:val="TableNumber"/>
            </w:pPr>
            <w:r>
              <w:t>20,000</w:t>
            </w:r>
          </w:p>
        </w:tc>
        <w:tc>
          <w:tcPr>
            <w:tcW w:w="4510" w:type="dxa"/>
            <w:vAlign w:val="center"/>
          </w:tcPr>
          <w:p>
            <w:pPr>
              <w:pStyle w:val="TableText"/>
            </w:pPr>
            <w:r>
              <w:t>1 至 14 日皆使用同一批次規模；112 個橫斷面日期</w:t>
            </w:r>
          </w:p>
        </w:tc>
      </w:tr>
      <w:tr>
        <w:trPr>
          <w:cantSplit/>
        </w:trPr>
        <w:tc>
          <w:tcPr>
            <w:tcW w:w="2800" w:type="dxa"/>
            <w:vAlign w:val="center"/>
          </w:tcPr>
          <w:p>
            <w:pPr>
              <w:pStyle w:val="TableText"/>
            </w:pPr>
            <w:r>
              <w:t>橫斷面日期</w:t>
            </w:r>
          </w:p>
        </w:tc>
        <w:tc>
          <w:tcPr>
            <w:tcW w:w="2050" w:type="dxa"/>
            <w:vAlign w:val="center"/>
          </w:tcPr>
          <w:p>
            <w:pPr>
              <w:pStyle w:val="TableNumber"/>
            </w:pPr>
            <w:r>
              <w:t>112</w:t>
            </w:r>
          </w:p>
        </w:tc>
        <w:tc>
          <w:tcPr>
            <w:tcW w:w="4510" w:type="dxa"/>
            <w:vAlign w:val="center"/>
          </w:tcPr>
          <w:p>
            <w:pPr>
              <w:pStyle w:val="TableText"/>
            </w:pPr>
            <w:r>
              <w:t>每個 horizon 都由 112 個有效日期彙總</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單一 seed，尚未量測隨機波動</w:t>
            </w:r>
          </w:p>
        </w:tc>
      </w:tr>
    </w:tbl>
    <w:p>
      <w:pPr>
        <w:pStyle w:val="a"/>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return)。它回答的是『這檔股票在同一段持有期間，相對大盤多賺或少賺多少』，不是股票估值、目標價或單獨的股價漲跌。若 q=0.05，精確的相對 gross ratio 是 exp(0.05)-1=5.13%；數值很小時可近似理解為優於 benchmark 約 5%。</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的結果可能比它更低、約 90% 可能更高；不是「下跌機率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一半結果可能較低、一半可能較高；用作點預測、方向與排序訊號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的結果可能比它低、約 10% 可能更高；不是保證上限</w:t>
            </w:r>
          </w:p>
        </w:tc>
      </w:tr>
    </w:tbl>
    <w:p>
      <w:pPr>
        <w:pStyle w:val="21"/>
      </w:pPr>
      <w:r>
        <w:t>3.2 三種股票情境</w:t>
      </w:r>
    </w:p>
    <w:p>
      <w:pPr>
        <w:pStyle w:val="Decision"/>
        <w:keepNext/>
        <w:spacing w:after="80"/>
      </w:pPr>
      <w:r>
        <w:t>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連偏悲觀的 q10 都大於 0；模型認為從悲觀到樂觀情境都優於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連偏樂觀的 q90 都小於 0；模型認為整段情境都落後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中間情境接近持平或略輸，但樂觀尾端很高；代表區間很寬、上行尾部大，不代表有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看多，但 q10 仍小於 0；典型結果可能贏大盤，悲觀情境仍可能輸</w:t>
            </w:r>
          </w:p>
        </w:tc>
      </w:tr>
    </w:tbl>
    <w:p>
      <w:pPr>
        <w:pStyle w:val="Note"/>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q50，再以兩個正值距離形成 q10=q50-lower_gap 與 q90=q50+upper_gap，因此結構上維持 q10≤q50≤q90。bullish、bearish 與 strong signal 都是後處理標籤，不是分類器輸出。primary_5d/selection_score 只是 checkpoint monitor 的舊相容路徑；它的值仍是 1 至 14 日 normalized pinball 的平均，本報告不把它當成 5 日主指標。</w:t>
      </w:r>
    </w:p>
    <w:p>
      <w:pPr>
        <w:pStyle w:val="11"/>
      </w:pPr>
      <w:r>
        <w:t>4. 訓練完成度 早停與 checkpoint</w:t>
      </w:r>
    </w:p>
    <w:p>
      <w:pPr>
        <w:pStyle w:val="21"/>
      </w:pPr>
      <w:r>
        <w:t>4.1 執行狀態</w:t>
      </w:r>
    </w:p>
    <w:p>
      <w:pPr>
        <w:pStyle w:val="Decision"/>
        <w:keepNext/>
        <w:spacing w:after="80"/>
      </w:pPr>
      <w:r>
        <w:t>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完成證據</w:t>
            </w:r>
          </w:p>
        </w:tc>
        <w:tc>
          <w:tcPr>
            <w:tcW w:w="6260" w:type="dxa"/>
            <w:vAlign w:val="center"/>
          </w:tcPr>
          <w:p>
            <w:pPr>
              <w:pStyle w:val="TableText"/>
            </w:pPr>
            <w:r>
              <w:t>training_completed=true；marker 為 ready；completion result 已產生</w:t>
            </w:r>
          </w:p>
        </w:tc>
      </w:tr>
      <w:tr>
        <w:trPr>
          <w:cantSplit/>
        </w:trPr>
        <w:tc>
          <w:tcPr>
            <w:tcW w:w="3100" w:type="dxa"/>
            <w:vAlign w:val="center"/>
          </w:tcPr>
          <w:p>
            <w:pPr>
              <w:pStyle w:val="TableText"/>
            </w:pPr>
            <w:r>
              <w:t>Lifecycle 狀態</w:t>
            </w:r>
          </w:p>
        </w:tc>
        <w:tc>
          <w:tcPr>
            <w:tcW w:w="6260" w:type="dxa"/>
            <w:vAlign w:val="center"/>
          </w:tcPr>
          <w:p>
            <w:pPr>
              <w:pStyle w:val="TableText"/>
            </w:pPr>
            <w:r>
              <w:t>training exit code 1；training_completed=true；validation exit code 0；未逾時；validation 已完成</w:t>
            </w:r>
          </w:p>
        </w:tc>
      </w:tr>
      <w:tr>
        <w:trPr>
          <w:cantSplit/>
        </w:trPr>
        <w:tc>
          <w:tcPr>
            <w:tcW w:w="3100" w:type="dxa"/>
            <w:vAlign w:val="center"/>
          </w:tcPr>
          <w:p>
            <w:pPr>
              <w:pStyle w:val="TableText"/>
            </w:pPr>
            <w:r>
              <w:t>epoch 與 global step</w:t>
            </w:r>
          </w:p>
        </w:tc>
        <w:tc>
          <w:tcPr>
            <w:tcW w:w="6260" w:type="dxa"/>
            <w:vAlign w:val="center"/>
          </w:tcPr>
          <w:p>
            <w:pPr>
              <w:pStyle w:val="TableText"/>
            </w:pPr>
            <w:r>
              <w:t>1 個完整 epoch；停止於 step 98,489</w:t>
            </w:r>
          </w:p>
        </w:tc>
      </w:tr>
      <w:tr>
        <w:trPr>
          <w:cantSplit/>
        </w:trPr>
        <w:tc>
          <w:tcPr>
            <w:tcW w:w="3100" w:type="dxa"/>
            <w:vAlign w:val="center"/>
          </w:tcPr>
          <w:p>
            <w:pPr>
              <w:pStyle w:val="TableText"/>
            </w:pPr>
            <w:r>
              <w:t>處理訓練樣本</w:t>
            </w:r>
          </w:p>
        </w:tc>
        <w:tc>
          <w:tcPr>
            <w:tcW w:w="6260" w:type="dxa"/>
            <w:vAlign w:val="center"/>
          </w:tcPr>
          <w:p>
            <w:pPr>
              <w:pStyle w:val="TableText"/>
            </w:pPr>
            <w:r>
              <w:t>25,213,120／70,036,140（36.00%；約 1.80 個 raw split epoch）</w:t>
            </w:r>
          </w:p>
        </w:tc>
      </w:tr>
      <w:tr>
        <w:trPr>
          <w:cantSplit/>
        </w:trPr>
        <w:tc>
          <w:tcPr>
            <w:tcW w:w="3100" w:type="dxa"/>
            <w:vAlign w:val="center"/>
          </w:tcPr>
          <w:p>
            <w:pPr>
              <w:pStyle w:val="TableText"/>
            </w:pPr>
            <w:r>
              <w:t>validation 次數</w:t>
            </w:r>
          </w:p>
        </w:tc>
        <w:tc>
          <w:tcPr>
            <w:tcW w:w="6260" w:type="dxa"/>
            <w:vAlign w:val="center"/>
          </w:tcPr>
          <w:p>
            <w:pPr>
              <w:pStyle w:val="TableText"/>
            </w:pPr>
            <w:r>
              <w:t>9</w:t>
            </w:r>
          </w:p>
        </w:tc>
      </w:tr>
      <w:tr>
        <w:trPr>
          <w:cantSplit/>
        </w:trPr>
        <w:tc>
          <w:tcPr>
            <w:tcW w:w="3100" w:type="dxa"/>
            <w:vAlign w:val="center"/>
          </w:tcPr>
          <w:p>
            <w:pPr>
              <w:pStyle w:val="TableText"/>
            </w:pPr>
            <w:r>
              <w:t>停止原因</w:t>
            </w:r>
          </w:p>
        </w:tc>
        <w:tc>
          <w:tcPr>
            <w:tcW w:w="6260" w:type="dxa"/>
            <w:vAlign w:val="center"/>
          </w:tcPr>
          <w:p>
            <w:pPr>
              <w:pStyle w:val="TableText"/>
            </w:pPr>
            <w:r>
              <w:t>early_stopping；連續 5 次未改善</w:t>
            </w:r>
          </w:p>
        </w:tc>
      </w:tr>
      <w:tr>
        <w:trPr>
          <w:cantSplit/>
        </w:trPr>
        <w:tc>
          <w:tcPr>
            <w:tcW w:w="3100" w:type="dxa"/>
            <w:vAlign w:val="center"/>
          </w:tcPr>
          <w:p>
            <w:pPr>
              <w:pStyle w:val="TableText"/>
            </w:pPr>
            <w:r>
              <w:t>最佳與末次 validation monitor</w:t>
            </w:r>
          </w:p>
        </w:tc>
        <w:tc>
          <w:tcPr>
            <w:tcW w:w="6260" w:type="dxa"/>
            <w:vAlign w:val="center"/>
          </w:tcPr>
          <w:p>
            <w:pPr>
              <w:pStyle w:val="TableText"/>
            </w:pPr>
            <w:r>
              <w:t>0.276788／0.281002</w:t>
            </w:r>
          </w:p>
        </w:tc>
      </w:tr>
      <w:tr>
        <w:trPr>
          <w:cantSplit/>
        </w:trPr>
        <w:tc>
          <w:tcPr>
            <w:tcW w:w="3100" w:type="dxa"/>
            <w:vAlign w:val="center"/>
          </w:tcPr>
          <w:p>
            <w:pPr>
              <w:pStyle w:val="TableText"/>
            </w:pPr>
            <w:r>
              <w:t>模型</w:t>
            </w:r>
          </w:p>
        </w:tc>
        <w:tc>
          <w:tcPr>
            <w:tcW w:w="6260" w:type="dxa"/>
            <w:vAlign w:val="center"/>
          </w:tcPr>
          <w:p>
            <w:pPr>
              <w:pStyle w:val="TableText"/>
            </w:pPr>
            <w:r>
              <w:t>Kronos-base + LoRA；shared causal resampler；benchmark conditioner；alpha head</w:t>
            </w:r>
          </w:p>
        </w:tc>
      </w:tr>
      <w:tr>
        <w:trPr>
          <w:cantSplit/>
        </w:trPr>
        <w:tc>
          <w:tcPr>
            <w:tcW w:w="3100" w:type="dxa"/>
            <w:vAlign w:val="center"/>
          </w:tcPr>
          <w:p>
            <w:pPr>
              <w:pStyle w:val="TableText"/>
            </w:pPr>
            <w:r>
              <w:t>訓練硬體與精度</w:t>
            </w:r>
          </w:p>
        </w:tc>
        <w:tc>
          <w:tcPr>
            <w:tcW w:w="6260" w:type="dxa"/>
            <w:vAlign w:val="center"/>
          </w:tcPr>
          <w:p>
            <w:pPr>
              <w:pStyle w:val="TableText"/>
            </w:pPr>
            <w:r>
              <w:t>NVIDIA RTX PRO 6000 Blackwell Workstation Edition；bfloat16</w:t>
            </w:r>
          </w:p>
        </w:tc>
      </w:tr>
      <w:tr>
        <w:trPr>
          <w:cantSplit/>
        </w:trPr>
        <w:tc>
          <w:tcPr>
            <w:tcW w:w="3100" w:type="dxa"/>
            <w:vAlign w:val="center"/>
          </w:tcPr>
          <w:p>
            <w:pPr>
              <w:pStyle w:val="TableText"/>
            </w:pPr>
            <w:r>
              <w:t>驗證硬體</w:t>
            </w:r>
          </w:p>
        </w:tc>
        <w:tc>
          <w:tcPr>
            <w:tcW w:w="6260" w:type="dxa"/>
            <w:vAlign w:val="center"/>
          </w:tcPr>
          <w:p>
            <w:pPr>
              <w:pStyle w:val="TableText"/>
            </w:pPr>
            <w:r>
              <w:t>NVIDIA RTX PRO 4000 Blackwell</w:t>
            </w:r>
          </w:p>
        </w:tc>
      </w:tr>
    </w:tbl>
    <w:p>
      <w:pPr>
        <w:pStyle w:val="21"/>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checkpoint-043773</w:t>
            </w:r>
          </w:p>
        </w:tc>
        <w:tc>
          <w:tcPr>
            <w:tcW w:w="1800" w:type="dxa"/>
            <w:shd w:val="clear" w:fill="EDF5FC"/>
            <w:vAlign w:val="center"/>
          </w:tcPr>
          <w:p>
            <w:pPr>
              <w:pStyle w:val="TableNumber"/>
            </w:pPr>
            <w:r>
              <w:t>43,773</w:t>
            </w:r>
          </w:p>
        </w:tc>
        <w:tc>
          <w:tcPr>
            <w:tcW w:w="3560" w:type="dxa"/>
            <w:shd w:val="clear" w:fill="EDF5FC"/>
            <w:vAlign w:val="center"/>
          </w:tcPr>
          <w:p>
            <w:pPr>
              <w:pStyle w:val="TableNumber"/>
            </w:pPr>
            <w:r>
              <w:t>0.276788</w:t>
            </w:r>
          </w:p>
        </w:tc>
      </w:tr>
      <w:tr>
        <w:trPr>
          <w:cantSplit/>
        </w:trPr>
        <w:tc>
          <w:tcPr>
            <w:tcW w:w="900" w:type="dxa"/>
            <w:vAlign w:val="center"/>
          </w:tcPr>
          <w:p>
            <w:pPr>
              <w:pStyle w:val="TableNumber"/>
            </w:pPr>
            <w:r>
              <w:t>2</w:t>
            </w:r>
          </w:p>
        </w:tc>
        <w:tc>
          <w:tcPr>
            <w:tcW w:w="3100" w:type="dxa"/>
            <w:vAlign w:val="center"/>
          </w:tcPr>
          <w:p>
            <w:pPr>
              <w:pStyle w:val="TableText"/>
            </w:pPr>
            <w:r>
              <w:t>checkpoint-054716</w:t>
            </w:r>
          </w:p>
        </w:tc>
        <w:tc>
          <w:tcPr>
            <w:tcW w:w="1800" w:type="dxa"/>
            <w:vAlign w:val="center"/>
          </w:tcPr>
          <w:p>
            <w:pPr>
              <w:pStyle w:val="TableNumber"/>
            </w:pPr>
            <w:r>
              <w:t>54,716</w:t>
            </w:r>
          </w:p>
        </w:tc>
        <w:tc>
          <w:tcPr>
            <w:tcW w:w="3560" w:type="dxa"/>
            <w:vAlign w:val="center"/>
          </w:tcPr>
          <w:p>
            <w:pPr>
              <w:pStyle w:val="TableNumber"/>
            </w:pPr>
            <w:r>
              <w:t>0.278506</w:t>
            </w:r>
          </w:p>
        </w:tc>
      </w:tr>
      <w:tr>
        <w:trPr>
          <w:cantSplit/>
        </w:trPr>
        <w:tc>
          <w:tcPr>
            <w:tcW w:w="900" w:type="dxa"/>
            <w:vAlign w:val="center"/>
          </w:tcPr>
          <w:p>
            <w:pPr>
              <w:pStyle w:val="TableNumber"/>
            </w:pPr>
            <w:r>
              <w:t>3</w:t>
            </w:r>
          </w:p>
        </w:tc>
        <w:tc>
          <w:tcPr>
            <w:tcW w:w="3100" w:type="dxa"/>
            <w:vAlign w:val="center"/>
          </w:tcPr>
          <w:p>
            <w:pPr>
              <w:pStyle w:val="TableText"/>
            </w:pPr>
            <w:r>
              <w:t>checkpoint-032830</w:t>
            </w:r>
          </w:p>
        </w:tc>
        <w:tc>
          <w:tcPr>
            <w:tcW w:w="1800" w:type="dxa"/>
            <w:vAlign w:val="center"/>
          </w:tcPr>
          <w:p>
            <w:pPr>
              <w:pStyle w:val="TableNumber"/>
            </w:pPr>
            <w:r>
              <w:t>32,830</w:t>
            </w:r>
          </w:p>
        </w:tc>
        <w:tc>
          <w:tcPr>
            <w:tcW w:w="3560" w:type="dxa"/>
            <w:vAlign w:val="center"/>
          </w:tcPr>
          <w:p>
            <w:pPr>
              <w:pStyle w:val="TableNumber"/>
            </w:pPr>
            <w:r>
              <w:t>0.279950</w:t>
            </w:r>
          </w:p>
        </w:tc>
      </w:tr>
      <w:tr>
        <w:trPr>
          <w:cantSplit/>
        </w:trPr>
        <w:tc>
          <w:tcPr>
            <w:tcW w:w="900" w:type="dxa"/>
            <w:vAlign w:val="center"/>
          </w:tcPr>
          <w:p>
            <w:pPr>
              <w:pStyle w:val="TableNumber"/>
            </w:pPr>
            <w:r>
              <w:t>4</w:t>
            </w:r>
          </w:p>
        </w:tc>
        <w:tc>
          <w:tcPr>
            <w:tcW w:w="3100" w:type="dxa"/>
            <w:vAlign w:val="center"/>
          </w:tcPr>
          <w:p>
            <w:pPr>
              <w:pStyle w:val="TableText"/>
            </w:pPr>
            <w:r>
              <w:t>checkpoint-065660</w:t>
            </w:r>
          </w:p>
        </w:tc>
        <w:tc>
          <w:tcPr>
            <w:tcW w:w="1800" w:type="dxa"/>
            <w:vAlign w:val="center"/>
          </w:tcPr>
          <w:p>
            <w:pPr>
              <w:pStyle w:val="TableNumber"/>
            </w:pPr>
            <w:r>
              <w:t>65,660</w:t>
            </w:r>
          </w:p>
        </w:tc>
        <w:tc>
          <w:tcPr>
            <w:tcW w:w="3560" w:type="dxa"/>
            <w:vAlign w:val="center"/>
          </w:tcPr>
          <w:p>
            <w:pPr>
              <w:pStyle w:val="TableNumber"/>
            </w:pPr>
            <w:r>
              <w:t>0.280391</w:t>
            </w:r>
          </w:p>
        </w:tc>
      </w:tr>
      <w:tr>
        <w:trPr>
          <w:cantSplit/>
        </w:trPr>
        <w:tc>
          <w:tcPr>
            <w:tcW w:w="900" w:type="dxa"/>
            <w:vAlign w:val="center"/>
          </w:tcPr>
          <w:p>
            <w:pPr>
              <w:pStyle w:val="TableNumber"/>
            </w:pPr>
            <w:r>
              <w:t>5</w:t>
            </w:r>
          </w:p>
        </w:tc>
        <w:tc>
          <w:tcPr>
            <w:tcW w:w="3100" w:type="dxa"/>
            <w:vAlign w:val="center"/>
          </w:tcPr>
          <w:p>
            <w:pPr>
              <w:pStyle w:val="TableText"/>
            </w:pPr>
            <w:r>
              <w:t>checkpoint-098489</w:t>
            </w:r>
          </w:p>
        </w:tc>
        <w:tc>
          <w:tcPr>
            <w:tcW w:w="1800" w:type="dxa"/>
            <w:vAlign w:val="center"/>
          </w:tcPr>
          <w:p>
            <w:pPr>
              <w:pStyle w:val="TableNumber"/>
            </w:pPr>
            <w:r>
              <w:t>98,489</w:t>
            </w:r>
          </w:p>
        </w:tc>
        <w:tc>
          <w:tcPr>
            <w:tcW w:w="3560" w:type="dxa"/>
            <w:vAlign w:val="center"/>
          </w:tcPr>
          <w:p>
            <w:pPr>
              <w:pStyle w:val="TableNumber"/>
            </w:pPr>
            <w:r>
              <w:t>0.281002</w:t>
            </w:r>
          </w:p>
        </w:tc>
      </w:tr>
    </w:tbl>
    <w:p>
      <w:pPr>
        <w:pStyle w:val="a"/>
      </w:pPr>
      <w:r>
        <w:t>checkpoint checkpoint-043773 的 validation monitor 為 0.276788，test score 為 0.306784。最後訓練結果 monitor 為 0.281002，比最佳值高 1.52%；早停在 9 次 validation evaluation 後觸發。正式推論必須使用 best-checkpoint.json 指向的 checkpoint，不能以 completion-result 中的末次 adapter 取代。</w:t>
      </w:r>
    </w:p>
    <w:p>
      <w:pPr>
        <w:pStyle w:val="11"/>
      </w:pPr>
      <w:r>
        <w:t>5. 十三個模型的全 horizon 比較</w:t>
      </w:r>
    </w:p>
    <w:p>
      <w:pPr>
        <w:pStyle w:val="Decision"/>
        <w:keepNext/>
        <w:spacing w:after="80"/>
      </w:pPr>
      <w:r>
        <w:t>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1至14日 score</w:t>
            </w:r>
          </w:p>
        </w:tc>
        <w:tc>
          <w:tcPr>
            <w:tcW w:w="1330" w:type="dxa"/>
            <w:shd w:val="clear" w:fill="DCE6F1"/>
            <w:vAlign w:val="center"/>
          </w:tcPr>
          <w:p>
            <w:pPr>
              <w:pStyle w:val="TableHeader"/>
            </w:pPr>
            <w:r>
              <w:t>1日</w:t>
            </w:r>
          </w:p>
        </w:tc>
        <w:tc>
          <w:tcPr>
            <w:tcW w:w="1330" w:type="dxa"/>
            <w:shd w:val="clear" w:fill="DCE6F1"/>
            <w:vAlign w:val="center"/>
          </w:tcPr>
          <w:p>
            <w:pPr>
              <w:pStyle w:val="TableHeader"/>
            </w:pPr>
            <w:r>
              <w:t>7日</w:t>
            </w:r>
          </w:p>
        </w:tc>
        <w:tc>
          <w:tcPr>
            <w:tcW w:w="1350" w:type="dxa"/>
            <w:shd w:val="clear" w:fill="DCE6F1"/>
            <w:vAlign w:val="center"/>
          </w:tcPr>
          <w:p>
            <w:pPr>
              <w:pStyle w:val="TableHeader"/>
            </w:pPr>
            <w:r>
              <w:t>14日</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0.306784</w:t>
            </w:r>
          </w:p>
        </w:tc>
        <w:tc>
          <w:tcPr>
            <w:tcW w:w="1330" w:type="dxa"/>
            <w:shd w:val="clear" w:fill="EDF5FC"/>
            <w:vAlign w:val="center"/>
          </w:tcPr>
          <w:p>
            <w:pPr>
              <w:pStyle w:val="TableNumber"/>
            </w:pPr>
            <w:r>
              <w:t>0.3799</w:t>
            </w:r>
          </w:p>
        </w:tc>
        <w:tc>
          <w:tcPr>
            <w:tcW w:w="1330" w:type="dxa"/>
            <w:shd w:val="clear" w:fill="EDF5FC"/>
            <w:vAlign w:val="center"/>
          </w:tcPr>
          <w:p>
            <w:pPr>
              <w:pStyle w:val="TableNumber"/>
            </w:pPr>
            <w:r>
              <w:t>0.2987</w:t>
            </w:r>
          </w:p>
        </w:tc>
        <w:tc>
          <w:tcPr>
            <w:tcW w:w="1350" w:type="dxa"/>
            <w:shd w:val="clear" w:fill="EDF5FC"/>
            <w:vAlign w:val="center"/>
          </w:tcPr>
          <w:p>
            <w:pPr>
              <w:pStyle w:val="TableNumber"/>
            </w:pPr>
            <w:r>
              <w:t>0.2924</w:t>
            </w:r>
          </w:p>
        </w:tc>
      </w:tr>
      <w:tr>
        <w:trPr>
          <w:cantSplit/>
        </w:trPr>
        <w:tc>
          <w:tcPr>
            <w:tcW w:w="650" w:type="dxa"/>
            <w:vAlign w:val="center"/>
          </w:tcPr>
          <w:p>
            <w:pPr>
              <w:pStyle w:val="TableNumber"/>
            </w:pPr>
            <w:r>
              <w:t>2</w:t>
            </w:r>
          </w:p>
        </w:tc>
        <w:tc>
          <w:tcPr>
            <w:tcW w:w="2800" w:type="dxa"/>
            <w:vAlign w:val="center"/>
          </w:tcPr>
          <w:p>
            <w:pPr>
              <w:pStyle w:val="TableText"/>
            </w:pPr>
            <w:r>
              <w:t>成對 GRU</w:t>
            </w:r>
          </w:p>
        </w:tc>
        <w:tc>
          <w:tcPr>
            <w:tcW w:w="1900" w:type="dxa"/>
            <w:vAlign w:val="center"/>
          </w:tcPr>
          <w:p>
            <w:pPr>
              <w:pStyle w:val="TableNumber"/>
            </w:pPr>
            <w:r>
              <w:t>0.310659</w:t>
            </w:r>
          </w:p>
        </w:tc>
        <w:tc>
          <w:tcPr>
            <w:tcW w:w="1330" w:type="dxa"/>
            <w:vAlign w:val="center"/>
          </w:tcPr>
          <w:p>
            <w:pPr>
              <w:pStyle w:val="TableNumber"/>
            </w:pPr>
            <w:r>
              <w:t>0.3824</w:t>
            </w:r>
          </w:p>
        </w:tc>
        <w:tc>
          <w:tcPr>
            <w:tcW w:w="1330" w:type="dxa"/>
            <w:vAlign w:val="center"/>
          </w:tcPr>
          <w:p>
            <w:pPr>
              <w:pStyle w:val="TableNumber"/>
            </w:pPr>
            <w:r>
              <w:t>0.3059</w:t>
            </w:r>
          </w:p>
        </w:tc>
        <w:tc>
          <w:tcPr>
            <w:tcW w:w="1350" w:type="dxa"/>
            <w:vAlign w:val="center"/>
          </w:tcPr>
          <w:p>
            <w:pPr>
              <w:pStyle w:val="TableNumber"/>
            </w:pPr>
            <w:r>
              <w:t>0.2986</w:t>
            </w:r>
          </w:p>
        </w:tc>
      </w:tr>
      <w:tr>
        <w:trPr>
          <w:cantSplit/>
        </w:trPr>
        <w:tc>
          <w:tcPr>
            <w:tcW w:w="650" w:type="dxa"/>
            <w:vAlign w:val="center"/>
          </w:tcPr>
          <w:p>
            <w:pPr>
              <w:pStyle w:val="TableNumber"/>
            </w:pPr>
            <w:r>
              <w:t>3</w:t>
            </w:r>
          </w:p>
        </w:tc>
        <w:tc>
          <w:tcPr>
            <w:tcW w:w="2800" w:type="dxa"/>
            <w:vAlign w:val="center"/>
          </w:tcPr>
          <w:p>
            <w:pPr>
              <w:pStyle w:val="TableText"/>
            </w:pPr>
            <w:r>
              <w:t>Quantile GBDT</w:t>
            </w:r>
          </w:p>
        </w:tc>
        <w:tc>
          <w:tcPr>
            <w:tcW w:w="1900" w:type="dxa"/>
            <w:vAlign w:val="center"/>
          </w:tcPr>
          <w:p>
            <w:pPr>
              <w:pStyle w:val="TableNumber"/>
            </w:pPr>
            <w:r>
              <w:t>0.316089</w:t>
            </w:r>
          </w:p>
        </w:tc>
        <w:tc>
          <w:tcPr>
            <w:tcW w:w="1330" w:type="dxa"/>
            <w:vAlign w:val="center"/>
          </w:tcPr>
          <w:p>
            <w:pPr>
              <w:pStyle w:val="TableNumber"/>
            </w:pPr>
            <w:r>
              <w:t>0.3846</w:t>
            </w:r>
          </w:p>
        </w:tc>
        <w:tc>
          <w:tcPr>
            <w:tcW w:w="1330" w:type="dxa"/>
            <w:vAlign w:val="center"/>
          </w:tcPr>
          <w:p>
            <w:pPr>
              <w:pStyle w:val="TableNumber"/>
            </w:pPr>
            <w:r>
              <w:t>0.3097</w:t>
            </w:r>
          </w:p>
        </w:tc>
        <w:tc>
          <w:tcPr>
            <w:tcW w:w="1350" w:type="dxa"/>
            <w:vAlign w:val="center"/>
          </w:tcPr>
          <w:p>
            <w:pPr>
              <w:pStyle w:val="TableNumber"/>
            </w:pPr>
            <w:r>
              <w:t>0.3055</w:t>
            </w:r>
          </w:p>
        </w:tc>
      </w:tr>
      <w:tr>
        <w:trPr>
          <w:cantSplit/>
        </w:trPr>
        <w:tc>
          <w:tcPr>
            <w:tcW w:w="650" w:type="dxa"/>
            <w:vAlign w:val="center"/>
          </w:tcPr>
          <w:p>
            <w:pPr>
              <w:pStyle w:val="TableNumber"/>
            </w:pPr>
            <w:r>
              <w:t>4</w:t>
            </w:r>
          </w:p>
        </w:tc>
        <w:tc>
          <w:tcPr>
            <w:tcW w:w="2800" w:type="dxa"/>
            <w:vAlign w:val="center"/>
          </w:tcPr>
          <w:p>
            <w:pPr>
              <w:pStyle w:val="TableText"/>
            </w:pPr>
            <w:r>
              <w:t>Compact PatchTST</w:t>
            </w:r>
          </w:p>
        </w:tc>
        <w:tc>
          <w:tcPr>
            <w:tcW w:w="1900" w:type="dxa"/>
            <w:vAlign w:val="center"/>
          </w:tcPr>
          <w:p>
            <w:pPr>
              <w:pStyle w:val="TableNumber"/>
            </w:pPr>
            <w:r>
              <w:t>0.321045</w:t>
            </w:r>
          </w:p>
        </w:tc>
        <w:tc>
          <w:tcPr>
            <w:tcW w:w="1330" w:type="dxa"/>
            <w:vAlign w:val="center"/>
          </w:tcPr>
          <w:p>
            <w:pPr>
              <w:pStyle w:val="TableNumber"/>
            </w:pPr>
            <w:r>
              <w:t>0.4014</w:t>
            </w:r>
          </w:p>
        </w:tc>
        <w:tc>
          <w:tcPr>
            <w:tcW w:w="1330" w:type="dxa"/>
            <w:vAlign w:val="center"/>
          </w:tcPr>
          <w:p>
            <w:pPr>
              <w:pStyle w:val="TableNumber"/>
            </w:pPr>
            <w:r>
              <w:t>0.3142</w:t>
            </w:r>
          </w:p>
        </w:tc>
        <w:tc>
          <w:tcPr>
            <w:tcW w:w="1350" w:type="dxa"/>
            <w:vAlign w:val="center"/>
          </w:tcPr>
          <w:p>
            <w:pPr>
              <w:pStyle w:val="TableNumber"/>
            </w:pPr>
            <w:r>
              <w:t>0.3044</w:t>
            </w:r>
          </w:p>
        </w:tc>
      </w:tr>
      <w:tr>
        <w:trPr>
          <w:cantSplit/>
        </w:trPr>
        <w:tc>
          <w:tcPr>
            <w:tcW w:w="650" w:type="dxa"/>
            <w:vAlign w:val="center"/>
          </w:tcPr>
          <w:p>
            <w:pPr>
              <w:pStyle w:val="TableNumber"/>
            </w:pPr>
            <w:r>
              <w:t>5</w:t>
            </w:r>
          </w:p>
        </w:tc>
        <w:tc>
          <w:tcPr>
            <w:tcW w:w="2800" w:type="dxa"/>
            <w:vAlign w:val="center"/>
          </w:tcPr>
          <w:p>
            <w:pPr>
              <w:pStyle w:val="TableText"/>
            </w:pPr>
            <w:r>
              <w:t>固定偏多分布</w:t>
            </w:r>
          </w:p>
        </w:tc>
        <w:tc>
          <w:tcPr>
            <w:tcW w:w="1900" w:type="dxa"/>
            <w:vAlign w:val="center"/>
          </w:tcPr>
          <w:p>
            <w:pPr>
              <w:pStyle w:val="TableNumber"/>
            </w:pPr>
            <w:r>
              <w:t>0.336065</w:t>
            </w:r>
          </w:p>
        </w:tc>
        <w:tc>
          <w:tcPr>
            <w:tcW w:w="1330" w:type="dxa"/>
            <w:vAlign w:val="center"/>
          </w:tcPr>
          <w:p>
            <w:pPr>
              <w:pStyle w:val="TableNumber"/>
            </w:pPr>
            <w:r>
              <w:t>0.4262</w:t>
            </w:r>
          </w:p>
        </w:tc>
        <w:tc>
          <w:tcPr>
            <w:tcW w:w="1330" w:type="dxa"/>
            <w:vAlign w:val="center"/>
          </w:tcPr>
          <w:p>
            <w:pPr>
              <w:pStyle w:val="TableNumber"/>
            </w:pPr>
            <w:r>
              <w:t>0.3262</w:t>
            </w:r>
          </w:p>
        </w:tc>
        <w:tc>
          <w:tcPr>
            <w:tcW w:w="1350" w:type="dxa"/>
            <w:vAlign w:val="center"/>
          </w:tcPr>
          <w:p>
            <w:pPr>
              <w:pStyle w:val="TableNumber"/>
            </w:pPr>
            <w:r>
              <w:t>0.3179</w:t>
            </w:r>
          </w:p>
        </w:tc>
      </w:tr>
      <w:tr>
        <w:trPr>
          <w:cantSplit/>
        </w:trPr>
        <w:tc>
          <w:tcPr>
            <w:tcW w:w="650" w:type="dxa"/>
            <w:vAlign w:val="center"/>
          </w:tcPr>
          <w:p>
            <w:pPr>
              <w:pStyle w:val="TableNumber"/>
            </w:pPr>
            <w:r>
              <w:t>6</w:t>
            </w:r>
          </w:p>
        </w:tc>
        <w:tc>
          <w:tcPr>
            <w:tcW w:w="2800" w:type="dxa"/>
            <w:vAlign w:val="center"/>
          </w:tcPr>
          <w:p>
            <w:pPr>
              <w:pStyle w:val="TableText"/>
            </w:pPr>
            <w:r>
              <w:t>零報酬分布</w:t>
            </w:r>
          </w:p>
        </w:tc>
        <w:tc>
          <w:tcPr>
            <w:tcW w:w="1900" w:type="dxa"/>
            <w:vAlign w:val="center"/>
          </w:tcPr>
          <w:p>
            <w:pPr>
              <w:pStyle w:val="TableNumber"/>
            </w:pPr>
            <w:r>
              <w:t>0.336065</w:t>
            </w:r>
          </w:p>
        </w:tc>
        <w:tc>
          <w:tcPr>
            <w:tcW w:w="1330" w:type="dxa"/>
            <w:vAlign w:val="center"/>
          </w:tcPr>
          <w:p>
            <w:pPr>
              <w:pStyle w:val="TableNumber"/>
            </w:pPr>
            <w:r>
              <w:t>0.4262</w:t>
            </w:r>
          </w:p>
        </w:tc>
        <w:tc>
          <w:tcPr>
            <w:tcW w:w="1330" w:type="dxa"/>
            <w:vAlign w:val="center"/>
          </w:tcPr>
          <w:p>
            <w:pPr>
              <w:pStyle w:val="TableNumber"/>
            </w:pPr>
            <w:r>
              <w:t>0.3262</w:t>
            </w:r>
          </w:p>
        </w:tc>
        <w:tc>
          <w:tcPr>
            <w:tcW w:w="1350" w:type="dxa"/>
            <w:vAlign w:val="center"/>
          </w:tcPr>
          <w:p>
            <w:pPr>
              <w:pStyle w:val="TableNumber"/>
            </w:pPr>
            <w:r>
              <w:t>0.3179</w:t>
            </w:r>
          </w:p>
        </w:tc>
      </w:tr>
    </w:tbl>
    <w:p>
      <w:pPr>
        <w:pStyle w:val="a"/>
      </w:pPr>
      <w:r>
        <w:t>Kronos 的 test score 在 13 個模型中排名第 1，且 1 至 14 日 normalized pinball 全部排名第 1。本輪 test 結果的分布誤差與經濟診斷一致偏強，但 test 與上一輪 validation 的 split 不同，仍不能把差異解讀成無條件的時間外推能力。</w:t>
      </w:r>
    </w:p>
    <w:p>
      <w:pPr>
        <w:pStyle w:val="11"/>
      </w:pPr>
      <w:r>
        <w:t>6. 一至十四日完整結果</w:t>
      </w:r>
    </w:p>
    <w:p>
      <w:pPr>
        <w:pStyle w:val="21"/>
      </w:pPr>
      <w:r>
        <w:t>6.1 誤差與不同 horizon 的可比性</w:t>
      </w:r>
    </w:p>
    <w:p>
      <w:pPr>
        <w:pStyle w:val="Decision"/>
        <w:keepNext/>
        <w:spacing w:after="80"/>
      </w:pPr>
      <w:r>
        <w:t>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0.01906</w:t>
            </w:r>
          </w:p>
        </w:tc>
        <w:tc>
          <w:tcPr>
            <w:tcW w:w="1550" w:type="dxa"/>
            <w:vAlign w:val="center"/>
          </w:tcPr>
          <w:p>
            <w:pPr>
              <w:pStyle w:val="TableNumber"/>
            </w:pPr>
            <w:r>
              <w:t>0.00724</w:t>
            </w:r>
          </w:p>
        </w:tc>
        <w:tc>
          <w:tcPr>
            <w:tcW w:w="1550" w:type="dxa"/>
            <w:vAlign w:val="center"/>
          </w:tcPr>
          <w:p>
            <w:pPr>
              <w:pStyle w:val="TableNumber"/>
            </w:pPr>
            <w:r>
              <w:t>0.3799</w:t>
            </w:r>
          </w:p>
        </w:tc>
        <w:tc>
          <w:tcPr>
            <w:tcW w:w="1050" w:type="dxa"/>
            <w:vAlign w:val="center"/>
          </w:tcPr>
          <w:p>
            <w:pPr>
              <w:pStyle w:val="TableNumber"/>
            </w:pPr>
            <w:r>
              <w:t>1/13</w:t>
            </w:r>
          </w:p>
        </w:tc>
        <w:tc>
          <w:tcPr>
            <w:tcW w:w="1550" w:type="dxa"/>
            <w:vAlign w:val="center"/>
          </w:tcPr>
          <w:p>
            <w:pPr>
              <w:pStyle w:val="TableNumber"/>
            </w:pPr>
            <w:r>
              <w:t>0.02124</w:t>
            </w:r>
          </w:p>
        </w:tc>
        <w:tc>
          <w:tcPr>
            <w:tcW w:w="1610" w:type="dxa"/>
            <w:vAlign w:val="center"/>
          </w:tcPr>
          <w:p>
            <w:pPr>
              <w:pStyle w:val="TableNumber"/>
            </w:pPr>
            <w:r>
              <w:t>1.1143</w:t>
            </w:r>
          </w:p>
        </w:tc>
      </w:tr>
      <w:tr>
        <w:trPr>
          <w:cantSplit/>
        </w:trPr>
        <w:tc>
          <w:tcPr>
            <w:tcW w:w="650" w:type="dxa"/>
            <w:vAlign w:val="center"/>
          </w:tcPr>
          <w:p>
            <w:pPr>
              <w:pStyle w:val="TableText"/>
            </w:pPr>
            <w:r>
              <w:t>2d</w:t>
            </w:r>
          </w:p>
        </w:tc>
        <w:tc>
          <w:tcPr>
            <w:tcW w:w="1400" w:type="dxa"/>
            <w:vAlign w:val="center"/>
          </w:tcPr>
          <w:p>
            <w:pPr>
              <w:pStyle w:val="TableNumber"/>
            </w:pPr>
            <w:r>
              <w:t>0.03141</w:t>
            </w:r>
          </w:p>
        </w:tc>
        <w:tc>
          <w:tcPr>
            <w:tcW w:w="1550" w:type="dxa"/>
            <w:vAlign w:val="center"/>
          </w:tcPr>
          <w:p>
            <w:pPr>
              <w:pStyle w:val="TableNumber"/>
            </w:pPr>
            <w:r>
              <w:t>0.01032</w:t>
            </w:r>
          </w:p>
        </w:tc>
        <w:tc>
          <w:tcPr>
            <w:tcW w:w="1550" w:type="dxa"/>
            <w:vAlign w:val="center"/>
          </w:tcPr>
          <w:p>
            <w:pPr>
              <w:pStyle w:val="TableNumber"/>
            </w:pPr>
            <w:r>
              <w:t>0.3288</w:t>
            </w:r>
          </w:p>
        </w:tc>
        <w:tc>
          <w:tcPr>
            <w:tcW w:w="1050" w:type="dxa"/>
            <w:vAlign w:val="center"/>
          </w:tcPr>
          <w:p>
            <w:pPr>
              <w:pStyle w:val="TableNumber"/>
            </w:pPr>
            <w:r>
              <w:t>1/13</w:t>
            </w:r>
          </w:p>
        </w:tc>
        <w:tc>
          <w:tcPr>
            <w:tcW w:w="1550" w:type="dxa"/>
            <w:vAlign w:val="center"/>
          </w:tcPr>
          <w:p>
            <w:pPr>
              <w:pStyle w:val="TableNumber"/>
            </w:pPr>
            <w:r>
              <w:t>0.03096</w:t>
            </w:r>
          </w:p>
        </w:tc>
        <w:tc>
          <w:tcPr>
            <w:tcW w:w="1610" w:type="dxa"/>
            <w:vAlign w:val="center"/>
          </w:tcPr>
          <w:p>
            <w:pPr>
              <w:pStyle w:val="TableNumber"/>
            </w:pPr>
            <w:r>
              <w:t>0.9859</w:t>
            </w:r>
          </w:p>
        </w:tc>
      </w:tr>
      <w:tr>
        <w:trPr>
          <w:cantSplit/>
        </w:trPr>
        <w:tc>
          <w:tcPr>
            <w:tcW w:w="650" w:type="dxa"/>
            <w:vAlign w:val="center"/>
          </w:tcPr>
          <w:p>
            <w:pPr>
              <w:pStyle w:val="TableText"/>
            </w:pPr>
            <w:r>
              <w:t>3d</w:t>
            </w:r>
          </w:p>
        </w:tc>
        <w:tc>
          <w:tcPr>
            <w:tcW w:w="1400" w:type="dxa"/>
            <w:vAlign w:val="center"/>
          </w:tcPr>
          <w:p>
            <w:pPr>
              <w:pStyle w:val="TableNumber"/>
            </w:pPr>
            <w:r>
              <w:t>0.03978</w:t>
            </w:r>
          </w:p>
        </w:tc>
        <w:tc>
          <w:tcPr>
            <w:tcW w:w="1550" w:type="dxa"/>
            <w:vAlign w:val="center"/>
          </w:tcPr>
          <w:p>
            <w:pPr>
              <w:pStyle w:val="TableNumber"/>
            </w:pPr>
            <w:r>
              <w:t>0.01263</w:t>
            </w:r>
          </w:p>
        </w:tc>
        <w:tc>
          <w:tcPr>
            <w:tcW w:w="1550" w:type="dxa"/>
            <w:vAlign w:val="center"/>
          </w:tcPr>
          <w:p>
            <w:pPr>
              <w:pStyle w:val="TableNumber"/>
            </w:pPr>
            <w:r>
              <w:t>0.3174</w:t>
            </w:r>
          </w:p>
        </w:tc>
        <w:tc>
          <w:tcPr>
            <w:tcW w:w="1050" w:type="dxa"/>
            <w:vAlign w:val="center"/>
          </w:tcPr>
          <w:p>
            <w:pPr>
              <w:pStyle w:val="TableNumber"/>
            </w:pPr>
            <w:r>
              <w:t>1/13</w:t>
            </w:r>
          </w:p>
        </w:tc>
        <w:tc>
          <w:tcPr>
            <w:tcW w:w="1550" w:type="dxa"/>
            <w:vAlign w:val="center"/>
          </w:tcPr>
          <w:p>
            <w:pPr>
              <w:pStyle w:val="TableNumber"/>
            </w:pPr>
            <w:r>
              <w:t>0.03794</w:t>
            </w:r>
          </w:p>
        </w:tc>
        <w:tc>
          <w:tcPr>
            <w:tcW w:w="1610" w:type="dxa"/>
            <w:vAlign w:val="center"/>
          </w:tcPr>
          <w:p>
            <w:pPr>
              <w:pStyle w:val="TableNumber"/>
            </w:pPr>
            <w:r>
              <w:t>0.9536</w:t>
            </w:r>
          </w:p>
        </w:tc>
      </w:tr>
      <w:tr>
        <w:trPr>
          <w:cantSplit/>
        </w:trPr>
        <w:tc>
          <w:tcPr>
            <w:tcW w:w="650" w:type="dxa"/>
            <w:vAlign w:val="center"/>
          </w:tcPr>
          <w:p>
            <w:pPr>
              <w:pStyle w:val="TableText"/>
            </w:pPr>
            <w:r>
              <w:t>4d</w:t>
            </w:r>
          </w:p>
        </w:tc>
        <w:tc>
          <w:tcPr>
            <w:tcW w:w="1400" w:type="dxa"/>
            <w:vAlign w:val="center"/>
          </w:tcPr>
          <w:p>
            <w:pPr>
              <w:pStyle w:val="TableNumber"/>
            </w:pPr>
            <w:r>
              <w:t>0.04742</w:t>
            </w:r>
          </w:p>
        </w:tc>
        <w:tc>
          <w:tcPr>
            <w:tcW w:w="1550" w:type="dxa"/>
            <w:vAlign w:val="center"/>
          </w:tcPr>
          <w:p>
            <w:pPr>
              <w:pStyle w:val="TableNumber"/>
            </w:pPr>
            <w:r>
              <w:t>0.01452</w:t>
            </w:r>
          </w:p>
        </w:tc>
        <w:tc>
          <w:tcPr>
            <w:tcW w:w="1550" w:type="dxa"/>
            <w:vAlign w:val="center"/>
          </w:tcPr>
          <w:p>
            <w:pPr>
              <w:pStyle w:val="TableNumber"/>
            </w:pPr>
            <w:r>
              <w:t>0.3063</w:t>
            </w:r>
          </w:p>
        </w:tc>
        <w:tc>
          <w:tcPr>
            <w:tcW w:w="1050" w:type="dxa"/>
            <w:vAlign w:val="center"/>
          </w:tcPr>
          <w:p>
            <w:pPr>
              <w:pStyle w:val="TableNumber"/>
            </w:pPr>
            <w:r>
              <w:t>1/13</w:t>
            </w:r>
          </w:p>
        </w:tc>
        <w:tc>
          <w:tcPr>
            <w:tcW w:w="1550" w:type="dxa"/>
            <w:vAlign w:val="center"/>
          </w:tcPr>
          <w:p>
            <w:pPr>
              <w:pStyle w:val="TableNumber"/>
            </w:pPr>
            <w:r>
              <w:t>0.04380</w:t>
            </w:r>
          </w:p>
        </w:tc>
        <w:tc>
          <w:tcPr>
            <w:tcW w:w="1610" w:type="dxa"/>
            <w:vAlign w:val="center"/>
          </w:tcPr>
          <w:p>
            <w:pPr>
              <w:pStyle w:val="TableNumber"/>
            </w:pPr>
            <w:r>
              <w:t>0.9237</w:t>
            </w:r>
          </w:p>
        </w:tc>
      </w:tr>
      <w:tr>
        <w:trPr>
          <w:cantSplit/>
        </w:trPr>
        <w:tc>
          <w:tcPr>
            <w:tcW w:w="650" w:type="dxa"/>
            <w:vAlign w:val="center"/>
          </w:tcPr>
          <w:p>
            <w:pPr>
              <w:pStyle w:val="TableText"/>
            </w:pPr>
            <w:r>
              <w:t>5d</w:t>
            </w:r>
          </w:p>
        </w:tc>
        <w:tc>
          <w:tcPr>
            <w:tcW w:w="1400" w:type="dxa"/>
            <w:vAlign w:val="center"/>
          </w:tcPr>
          <w:p>
            <w:pPr>
              <w:pStyle w:val="TableNumber"/>
            </w:pPr>
            <w:r>
              <w:t>0.05335</w:t>
            </w:r>
          </w:p>
        </w:tc>
        <w:tc>
          <w:tcPr>
            <w:tcW w:w="1550" w:type="dxa"/>
            <w:vAlign w:val="center"/>
          </w:tcPr>
          <w:p>
            <w:pPr>
              <w:pStyle w:val="TableNumber"/>
            </w:pPr>
            <w:r>
              <w:t>0.01628</w:t>
            </w:r>
          </w:p>
        </w:tc>
        <w:tc>
          <w:tcPr>
            <w:tcW w:w="1550" w:type="dxa"/>
            <w:vAlign w:val="center"/>
          </w:tcPr>
          <w:p>
            <w:pPr>
              <w:pStyle w:val="TableNumber"/>
            </w:pPr>
            <w:r>
              <w:t>0.3052</w:t>
            </w:r>
          </w:p>
        </w:tc>
        <w:tc>
          <w:tcPr>
            <w:tcW w:w="1050" w:type="dxa"/>
            <w:vAlign w:val="center"/>
          </w:tcPr>
          <w:p>
            <w:pPr>
              <w:pStyle w:val="TableNumber"/>
            </w:pPr>
            <w:r>
              <w:t>1/13</w:t>
            </w:r>
          </w:p>
        </w:tc>
        <w:tc>
          <w:tcPr>
            <w:tcW w:w="1550" w:type="dxa"/>
            <w:vAlign w:val="center"/>
          </w:tcPr>
          <w:p>
            <w:pPr>
              <w:pStyle w:val="TableNumber"/>
            </w:pPr>
            <w:r>
              <w:t>0.04910</w:t>
            </w:r>
          </w:p>
        </w:tc>
        <w:tc>
          <w:tcPr>
            <w:tcW w:w="1610" w:type="dxa"/>
            <w:vAlign w:val="center"/>
          </w:tcPr>
          <w:p>
            <w:pPr>
              <w:pStyle w:val="TableNumber"/>
            </w:pPr>
            <w:r>
              <w:t>0.9205</w:t>
            </w:r>
          </w:p>
        </w:tc>
      </w:tr>
      <w:tr>
        <w:trPr>
          <w:cantSplit/>
        </w:trPr>
        <w:tc>
          <w:tcPr>
            <w:tcW w:w="650" w:type="dxa"/>
            <w:vAlign w:val="center"/>
          </w:tcPr>
          <w:p>
            <w:pPr>
              <w:pStyle w:val="TableText"/>
            </w:pPr>
            <w:r>
              <w:t>6d</w:t>
            </w:r>
          </w:p>
        </w:tc>
        <w:tc>
          <w:tcPr>
            <w:tcW w:w="1400" w:type="dxa"/>
            <w:vAlign w:val="center"/>
          </w:tcPr>
          <w:p>
            <w:pPr>
              <w:pStyle w:val="TableNumber"/>
            </w:pPr>
            <w:r>
              <w:t>0.05913</w:t>
            </w:r>
          </w:p>
        </w:tc>
        <w:tc>
          <w:tcPr>
            <w:tcW w:w="1550" w:type="dxa"/>
            <w:vAlign w:val="center"/>
          </w:tcPr>
          <w:p>
            <w:pPr>
              <w:pStyle w:val="TableNumber"/>
            </w:pPr>
            <w:r>
              <w:t>0.01775</w:t>
            </w:r>
          </w:p>
        </w:tc>
        <w:tc>
          <w:tcPr>
            <w:tcW w:w="1550" w:type="dxa"/>
            <w:vAlign w:val="center"/>
          </w:tcPr>
          <w:p>
            <w:pPr>
              <w:pStyle w:val="TableNumber"/>
            </w:pPr>
            <w:r>
              <w:t>0.3003</w:t>
            </w:r>
          </w:p>
        </w:tc>
        <w:tc>
          <w:tcPr>
            <w:tcW w:w="1050" w:type="dxa"/>
            <w:vAlign w:val="center"/>
          </w:tcPr>
          <w:p>
            <w:pPr>
              <w:pStyle w:val="TableNumber"/>
            </w:pPr>
            <w:r>
              <w:t>1/13</w:t>
            </w:r>
          </w:p>
        </w:tc>
        <w:tc>
          <w:tcPr>
            <w:tcW w:w="1550" w:type="dxa"/>
            <w:vAlign w:val="center"/>
          </w:tcPr>
          <w:p>
            <w:pPr>
              <w:pStyle w:val="TableNumber"/>
            </w:pPr>
            <w:r>
              <w:t>0.05353</w:t>
            </w:r>
          </w:p>
        </w:tc>
        <w:tc>
          <w:tcPr>
            <w:tcW w:w="1610" w:type="dxa"/>
            <w:vAlign w:val="center"/>
          </w:tcPr>
          <w:p>
            <w:pPr>
              <w:pStyle w:val="TableNumber"/>
            </w:pPr>
            <w:r>
              <w:t>0.9054</w:t>
            </w:r>
          </w:p>
        </w:tc>
      </w:tr>
      <w:tr>
        <w:trPr>
          <w:cantSplit/>
        </w:trPr>
        <w:tc>
          <w:tcPr>
            <w:tcW w:w="650" w:type="dxa"/>
            <w:vAlign w:val="center"/>
          </w:tcPr>
          <w:p>
            <w:pPr>
              <w:pStyle w:val="TableText"/>
            </w:pPr>
            <w:r>
              <w:t>7d</w:t>
            </w:r>
          </w:p>
        </w:tc>
        <w:tc>
          <w:tcPr>
            <w:tcW w:w="1400" w:type="dxa"/>
            <w:vAlign w:val="center"/>
          </w:tcPr>
          <w:p>
            <w:pPr>
              <w:pStyle w:val="TableNumber"/>
            </w:pPr>
            <w:r>
              <w:t>0.06442</w:t>
            </w:r>
          </w:p>
        </w:tc>
        <w:tc>
          <w:tcPr>
            <w:tcW w:w="1550" w:type="dxa"/>
            <w:vAlign w:val="center"/>
          </w:tcPr>
          <w:p>
            <w:pPr>
              <w:pStyle w:val="TableNumber"/>
            </w:pPr>
            <w:r>
              <w:t>0.01924</w:t>
            </w:r>
          </w:p>
        </w:tc>
        <w:tc>
          <w:tcPr>
            <w:tcW w:w="1550" w:type="dxa"/>
            <w:vAlign w:val="center"/>
          </w:tcPr>
          <w:p>
            <w:pPr>
              <w:pStyle w:val="TableNumber"/>
            </w:pPr>
            <w:r>
              <w:t>0.2987</w:t>
            </w:r>
          </w:p>
        </w:tc>
        <w:tc>
          <w:tcPr>
            <w:tcW w:w="1050" w:type="dxa"/>
            <w:vAlign w:val="center"/>
          </w:tcPr>
          <w:p>
            <w:pPr>
              <w:pStyle w:val="TableNumber"/>
            </w:pPr>
            <w:r>
              <w:t>1/13</w:t>
            </w:r>
          </w:p>
        </w:tc>
        <w:tc>
          <w:tcPr>
            <w:tcW w:w="1550" w:type="dxa"/>
            <w:vAlign w:val="center"/>
          </w:tcPr>
          <w:p>
            <w:pPr>
              <w:pStyle w:val="TableNumber"/>
            </w:pPr>
            <w:r>
              <w:t>0.05823</w:t>
            </w:r>
          </w:p>
        </w:tc>
        <w:tc>
          <w:tcPr>
            <w:tcW w:w="1610" w:type="dxa"/>
            <w:vAlign w:val="center"/>
          </w:tcPr>
          <w:p>
            <w:pPr>
              <w:pStyle w:val="TableNumber"/>
            </w:pPr>
            <w:r>
              <w:t>0.9039</w:t>
            </w:r>
          </w:p>
        </w:tc>
      </w:tr>
      <w:tr>
        <w:trPr>
          <w:cantSplit/>
        </w:trPr>
        <w:tc>
          <w:tcPr>
            <w:tcW w:w="650" w:type="dxa"/>
            <w:vAlign w:val="center"/>
          </w:tcPr>
          <w:p>
            <w:pPr>
              <w:pStyle w:val="TableText"/>
            </w:pPr>
            <w:r>
              <w:t>8d</w:t>
            </w:r>
          </w:p>
        </w:tc>
        <w:tc>
          <w:tcPr>
            <w:tcW w:w="1400" w:type="dxa"/>
            <w:vAlign w:val="center"/>
          </w:tcPr>
          <w:p>
            <w:pPr>
              <w:pStyle w:val="TableNumber"/>
            </w:pPr>
            <w:r>
              <w:t>0.06940</w:t>
            </w:r>
          </w:p>
        </w:tc>
        <w:tc>
          <w:tcPr>
            <w:tcW w:w="1550" w:type="dxa"/>
            <w:vAlign w:val="center"/>
          </w:tcPr>
          <w:p>
            <w:pPr>
              <w:pStyle w:val="TableNumber"/>
            </w:pPr>
            <w:r>
              <w:t>0.02054</w:t>
            </w:r>
          </w:p>
        </w:tc>
        <w:tc>
          <w:tcPr>
            <w:tcW w:w="1550" w:type="dxa"/>
            <w:vAlign w:val="center"/>
          </w:tcPr>
          <w:p>
            <w:pPr>
              <w:pStyle w:val="TableNumber"/>
            </w:pPr>
            <w:r>
              <w:t>0.2959</w:t>
            </w:r>
          </w:p>
        </w:tc>
        <w:tc>
          <w:tcPr>
            <w:tcW w:w="1050" w:type="dxa"/>
            <w:vAlign w:val="center"/>
          </w:tcPr>
          <w:p>
            <w:pPr>
              <w:pStyle w:val="TableNumber"/>
            </w:pPr>
            <w:r>
              <w:t>1/13</w:t>
            </w:r>
          </w:p>
        </w:tc>
        <w:tc>
          <w:tcPr>
            <w:tcW w:w="1550" w:type="dxa"/>
            <w:vAlign w:val="center"/>
          </w:tcPr>
          <w:p>
            <w:pPr>
              <w:pStyle w:val="TableNumber"/>
            </w:pPr>
            <w:r>
              <w:t>0.06201</w:t>
            </w:r>
          </w:p>
        </w:tc>
        <w:tc>
          <w:tcPr>
            <w:tcW w:w="1610" w:type="dxa"/>
            <w:vAlign w:val="center"/>
          </w:tcPr>
          <w:p>
            <w:pPr>
              <w:pStyle w:val="TableNumber"/>
            </w:pPr>
            <w:r>
              <w:t>0.8936</w:t>
            </w:r>
          </w:p>
        </w:tc>
      </w:tr>
      <w:tr>
        <w:trPr>
          <w:cantSplit/>
        </w:trPr>
        <w:tc>
          <w:tcPr>
            <w:tcW w:w="650" w:type="dxa"/>
            <w:vAlign w:val="center"/>
          </w:tcPr>
          <w:p>
            <w:pPr>
              <w:pStyle w:val="TableText"/>
            </w:pPr>
            <w:r>
              <w:t>9d</w:t>
            </w:r>
          </w:p>
        </w:tc>
        <w:tc>
          <w:tcPr>
            <w:tcW w:w="1400" w:type="dxa"/>
            <w:vAlign w:val="center"/>
          </w:tcPr>
          <w:p>
            <w:pPr>
              <w:pStyle w:val="TableNumber"/>
            </w:pPr>
            <w:r>
              <w:t>0.07374</w:t>
            </w:r>
          </w:p>
        </w:tc>
        <w:tc>
          <w:tcPr>
            <w:tcW w:w="1550" w:type="dxa"/>
            <w:vAlign w:val="center"/>
          </w:tcPr>
          <w:p>
            <w:pPr>
              <w:pStyle w:val="TableNumber"/>
            </w:pPr>
            <w:r>
              <w:t>0.02181</w:t>
            </w:r>
          </w:p>
        </w:tc>
        <w:tc>
          <w:tcPr>
            <w:tcW w:w="1550" w:type="dxa"/>
            <w:vAlign w:val="center"/>
          </w:tcPr>
          <w:p>
            <w:pPr>
              <w:pStyle w:val="TableNumber"/>
            </w:pPr>
            <w:r>
              <w:t>0.2958</w:t>
            </w:r>
          </w:p>
        </w:tc>
        <w:tc>
          <w:tcPr>
            <w:tcW w:w="1050" w:type="dxa"/>
            <w:vAlign w:val="center"/>
          </w:tcPr>
          <w:p>
            <w:pPr>
              <w:pStyle w:val="TableNumber"/>
            </w:pPr>
            <w:r>
              <w:t>1/13</w:t>
            </w:r>
          </w:p>
        </w:tc>
        <w:tc>
          <w:tcPr>
            <w:tcW w:w="1550" w:type="dxa"/>
            <w:vAlign w:val="center"/>
          </w:tcPr>
          <w:p>
            <w:pPr>
              <w:pStyle w:val="TableNumber"/>
            </w:pPr>
            <w:r>
              <w:t>0.06590</w:t>
            </w:r>
          </w:p>
        </w:tc>
        <w:tc>
          <w:tcPr>
            <w:tcW w:w="1610" w:type="dxa"/>
            <w:vAlign w:val="center"/>
          </w:tcPr>
          <w:p>
            <w:pPr>
              <w:pStyle w:val="TableNumber"/>
            </w:pPr>
            <w:r>
              <w:t>0.8937</w:t>
            </w:r>
          </w:p>
        </w:tc>
      </w:tr>
      <w:tr>
        <w:trPr>
          <w:cantSplit/>
        </w:trPr>
        <w:tc>
          <w:tcPr>
            <w:tcW w:w="650" w:type="dxa"/>
            <w:vAlign w:val="center"/>
          </w:tcPr>
          <w:p>
            <w:pPr>
              <w:pStyle w:val="TableText"/>
            </w:pPr>
            <w:r>
              <w:t>10d</w:t>
            </w:r>
          </w:p>
        </w:tc>
        <w:tc>
          <w:tcPr>
            <w:tcW w:w="1400" w:type="dxa"/>
            <w:vAlign w:val="center"/>
          </w:tcPr>
          <w:p>
            <w:pPr>
              <w:pStyle w:val="TableNumber"/>
            </w:pPr>
            <w:r>
              <w:t>0.07774</w:t>
            </w:r>
          </w:p>
        </w:tc>
        <w:tc>
          <w:tcPr>
            <w:tcW w:w="1550" w:type="dxa"/>
            <w:vAlign w:val="center"/>
          </w:tcPr>
          <w:p>
            <w:pPr>
              <w:pStyle w:val="TableNumber"/>
            </w:pPr>
            <w:r>
              <w:t>0.02296</w:t>
            </w:r>
          </w:p>
        </w:tc>
        <w:tc>
          <w:tcPr>
            <w:tcW w:w="1550" w:type="dxa"/>
            <w:vAlign w:val="center"/>
          </w:tcPr>
          <w:p>
            <w:pPr>
              <w:pStyle w:val="TableNumber"/>
            </w:pPr>
            <w:r>
              <w:t>0.2953</w:t>
            </w:r>
          </w:p>
        </w:tc>
        <w:tc>
          <w:tcPr>
            <w:tcW w:w="1050" w:type="dxa"/>
            <w:vAlign w:val="center"/>
          </w:tcPr>
          <w:p>
            <w:pPr>
              <w:pStyle w:val="TableNumber"/>
            </w:pPr>
            <w:r>
              <w:t>1/13</w:t>
            </w:r>
          </w:p>
        </w:tc>
        <w:tc>
          <w:tcPr>
            <w:tcW w:w="1550" w:type="dxa"/>
            <w:vAlign w:val="center"/>
          </w:tcPr>
          <w:p>
            <w:pPr>
              <w:pStyle w:val="TableNumber"/>
            </w:pPr>
            <w:r>
              <w:t>0.06934</w:t>
            </w:r>
          </w:p>
        </w:tc>
        <w:tc>
          <w:tcPr>
            <w:tcW w:w="1610" w:type="dxa"/>
            <w:vAlign w:val="center"/>
          </w:tcPr>
          <w:p>
            <w:pPr>
              <w:pStyle w:val="TableNumber"/>
            </w:pPr>
            <w:r>
              <w:t>0.8919</w:t>
            </w:r>
          </w:p>
        </w:tc>
      </w:tr>
      <w:tr>
        <w:trPr>
          <w:cantSplit/>
        </w:trPr>
        <w:tc>
          <w:tcPr>
            <w:tcW w:w="650" w:type="dxa"/>
            <w:vAlign w:val="center"/>
          </w:tcPr>
          <w:p>
            <w:pPr>
              <w:pStyle w:val="TableText"/>
            </w:pPr>
            <w:r>
              <w:t>11d</w:t>
            </w:r>
          </w:p>
        </w:tc>
        <w:tc>
          <w:tcPr>
            <w:tcW w:w="1400" w:type="dxa"/>
            <w:vAlign w:val="center"/>
          </w:tcPr>
          <w:p>
            <w:pPr>
              <w:pStyle w:val="TableNumber"/>
            </w:pPr>
            <w:r>
              <w:t>0.08205</w:t>
            </w:r>
          </w:p>
        </w:tc>
        <w:tc>
          <w:tcPr>
            <w:tcW w:w="1550" w:type="dxa"/>
            <w:vAlign w:val="center"/>
          </w:tcPr>
          <w:p>
            <w:pPr>
              <w:pStyle w:val="TableNumber"/>
            </w:pPr>
            <w:r>
              <w:t>0.02414</w:t>
            </w:r>
          </w:p>
        </w:tc>
        <w:tc>
          <w:tcPr>
            <w:tcW w:w="1550" w:type="dxa"/>
            <w:vAlign w:val="center"/>
          </w:tcPr>
          <w:p>
            <w:pPr>
              <w:pStyle w:val="TableNumber"/>
            </w:pPr>
            <w:r>
              <w:t>0.2942</w:t>
            </w:r>
          </w:p>
        </w:tc>
        <w:tc>
          <w:tcPr>
            <w:tcW w:w="1050" w:type="dxa"/>
            <w:vAlign w:val="center"/>
          </w:tcPr>
          <w:p>
            <w:pPr>
              <w:pStyle w:val="TableNumber"/>
            </w:pPr>
            <w:r>
              <w:t>1/13</w:t>
            </w:r>
          </w:p>
        </w:tc>
        <w:tc>
          <w:tcPr>
            <w:tcW w:w="1550" w:type="dxa"/>
            <w:vAlign w:val="center"/>
          </w:tcPr>
          <w:p>
            <w:pPr>
              <w:pStyle w:val="TableNumber"/>
            </w:pPr>
            <w:r>
              <w:t>0.07306</w:t>
            </w:r>
          </w:p>
        </w:tc>
        <w:tc>
          <w:tcPr>
            <w:tcW w:w="1610" w:type="dxa"/>
            <w:vAlign w:val="center"/>
          </w:tcPr>
          <w:p>
            <w:pPr>
              <w:pStyle w:val="TableNumber"/>
            </w:pPr>
            <w:r>
              <w:t>0.8904</w:t>
            </w:r>
          </w:p>
        </w:tc>
      </w:tr>
      <w:tr>
        <w:trPr>
          <w:cantSplit/>
        </w:trPr>
        <w:tc>
          <w:tcPr>
            <w:tcW w:w="650" w:type="dxa"/>
            <w:vAlign w:val="center"/>
          </w:tcPr>
          <w:p>
            <w:pPr>
              <w:pStyle w:val="TableText"/>
            </w:pPr>
            <w:r>
              <w:t>12d</w:t>
            </w:r>
          </w:p>
        </w:tc>
        <w:tc>
          <w:tcPr>
            <w:tcW w:w="1400" w:type="dxa"/>
            <w:vAlign w:val="center"/>
          </w:tcPr>
          <w:p>
            <w:pPr>
              <w:pStyle w:val="TableNumber"/>
            </w:pPr>
            <w:r>
              <w:t>0.08625</w:t>
            </w:r>
          </w:p>
        </w:tc>
        <w:tc>
          <w:tcPr>
            <w:tcW w:w="1550" w:type="dxa"/>
            <w:vAlign w:val="center"/>
          </w:tcPr>
          <w:p>
            <w:pPr>
              <w:pStyle w:val="TableNumber"/>
            </w:pPr>
            <w:r>
              <w:t>0.02529</w:t>
            </w:r>
          </w:p>
        </w:tc>
        <w:tc>
          <w:tcPr>
            <w:tcW w:w="1550" w:type="dxa"/>
            <w:vAlign w:val="center"/>
          </w:tcPr>
          <w:p>
            <w:pPr>
              <w:pStyle w:val="TableNumber"/>
            </w:pPr>
            <w:r>
              <w:t>0.2932</w:t>
            </w:r>
          </w:p>
        </w:tc>
        <w:tc>
          <w:tcPr>
            <w:tcW w:w="1050" w:type="dxa"/>
            <w:vAlign w:val="center"/>
          </w:tcPr>
          <w:p>
            <w:pPr>
              <w:pStyle w:val="TableNumber"/>
            </w:pPr>
            <w:r>
              <w:t>1/13</w:t>
            </w:r>
          </w:p>
        </w:tc>
        <w:tc>
          <w:tcPr>
            <w:tcW w:w="1550" w:type="dxa"/>
            <w:vAlign w:val="center"/>
          </w:tcPr>
          <w:p>
            <w:pPr>
              <w:pStyle w:val="TableNumber"/>
            </w:pPr>
            <w:r>
              <w:t>0.07655</w:t>
            </w:r>
          </w:p>
        </w:tc>
        <w:tc>
          <w:tcPr>
            <w:tcW w:w="1610" w:type="dxa"/>
            <w:vAlign w:val="center"/>
          </w:tcPr>
          <w:p>
            <w:pPr>
              <w:pStyle w:val="TableNumber"/>
            </w:pPr>
            <w:r>
              <w:t>0.8876</w:t>
            </w:r>
          </w:p>
        </w:tc>
      </w:tr>
      <w:tr>
        <w:trPr>
          <w:cantSplit/>
        </w:trPr>
        <w:tc>
          <w:tcPr>
            <w:tcW w:w="650" w:type="dxa"/>
            <w:vAlign w:val="center"/>
          </w:tcPr>
          <w:p>
            <w:pPr>
              <w:pStyle w:val="TableText"/>
            </w:pPr>
            <w:r>
              <w:t>13d</w:t>
            </w:r>
          </w:p>
        </w:tc>
        <w:tc>
          <w:tcPr>
            <w:tcW w:w="1400" w:type="dxa"/>
            <w:vAlign w:val="center"/>
          </w:tcPr>
          <w:p>
            <w:pPr>
              <w:pStyle w:val="TableNumber"/>
            </w:pPr>
            <w:r>
              <w:t>0.09066</w:t>
            </w:r>
          </w:p>
        </w:tc>
        <w:tc>
          <w:tcPr>
            <w:tcW w:w="1550" w:type="dxa"/>
            <w:vAlign w:val="center"/>
          </w:tcPr>
          <w:p>
            <w:pPr>
              <w:pStyle w:val="TableNumber"/>
            </w:pPr>
            <w:r>
              <w:t>0.02644</w:t>
            </w:r>
          </w:p>
        </w:tc>
        <w:tc>
          <w:tcPr>
            <w:tcW w:w="1550" w:type="dxa"/>
            <w:vAlign w:val="center"/>
          </w:tcPr>
          <w:p>
            <w:pPr>
              <w:pStyle w:val="TableNumber"/>
            </w:pPr>
            <w:r>
              <w:t>0.2917</w:t>
            </w:r>
          </w:p>
        </w:tc>
        <w:tc>
          <w:tcPr>
            <w:tcW w:w="1050" w:type="dxa"/>
            <w:vAlign w:val="center"/>
          </w:tcPr>
          <w:p>
            <w:pPr>
              <w:pStyle w:val="TableNumber"/>
            </w:pPr>
            <w:r>
              <w:t>1/13</w:t>
            </w:r>
          </w:p>
        </w:tc>
        <w:tc>
          <w:tcPr>
            <w:tcW w:w="1550" w:type="dxa"/>
            <w:vAlign w:val="center"/>
          </w:tcPr>
          <w:p>
            <w:pPr>
              <w:pStyle w:val="TableNumber"/>
            </w:pPr>
            <w:r>
              <w:t>0.08015</w:t>
            </w:r>
          </w:p>
        </w:tc>
        <w:tc>
          <w:tcPr>
            <w:tcW w:w="1610" w:type="dxa"/>
            <w:vAlign w:val="center"/>
          </w:tcPr>
          <w:p>
            <w:pPr>
              <w:pStyle w:val="TableNumber"/>
            </w:pPr>
            <w:r>
              <w:t>0.8841</w:t>
            </w:r>
          </w:p>
        </w:tc>
      </w:tr>
      <w:tr>
        <w:trPr>
          <w:cantSplit/>
        </w:trPr>
        <w:tc>
          <w:tcPr>
            <w:tcW w:w="650" w:type="dxa"/>
            <w:vAlign w:val="center"/>
          </w:tcPr>
          <w:p>
            <w:pPr>
              <w:pStyle w:val="TableText"/>
            </w:pPr>
            <w:r>
              <w:t>14d</w:t>
            </w:r>
          </w:p>
        </w:tc>
        <w:tc>
          <w:tcPr>
            <w:tcW w:w="1400" w:type="dxa"/>
            <w:vAlign w:val="center"/>
          </w:tcPr>
          <w:p>
            <w:pPr>
              <w:pStyle w:val="TableNumber"/>
            </w:pPr>
            <w:r>
              <w:t>0.09421</w:t>
            </w:r>
          </w:p>
        </w:tc>
        <w:tc>
          <w:tcPr>
            <w:tcW w:w="1550" w:type="dxa"/>
            <w:vAlign w:val="center"/>
          </w:tcPr>
          <w:p>
            <w:pPr>
              <w:pStyle w:val="TableNumber"/>
            </w:pPr>
            <w:r>
              <w:t>0.02754</w:t>
            </w:r>
          </w:p>
        </w:tc>
        <w:tc>
          <w:tcPr>
            <w:tcW w:w="1550" w:type="dxa"/>
            <w:vAlign w:val="center"/>
          </w:tcPr>
          <w:p>
            <w:pPr>
              <w:pStyle w:val="TableNumber"/>
            </w:pPr>
            <w:r>
              <w:t>0.2924</w:t>
            </w:r>
          </w:p>
        </w:tc>
        <w:tc>
          <w:tcPr>
            <w:tcW w:w="1050" w:type="dxa"/>
            <w:vAlign w:val="center"/>
          </w:tcPr>
          <w:p>
            <w:pPr>
              <w:pStyle w:val="TableNumber"/>
            </w:pPr>
            <w:r>
              <w:t>1/13</w:t>
            </w:r>
          </w:p>
        </w:tc>
        <w:tc>
          <w:tcPr>
            <w:tcW w:w="1550" w:type="dxa"/>
            <w:vAlign w:val="center"/>
          </w:tcPr>
          <w:p>
            <w:pPr>
              <w:pStyle w:val="TableNumber"/>
            </w:pPr>
            <w:r>
              <w:t>0.08355</w:t>
            </w:r>
          </w:p>
        </w:tc>
        <w:tc>
          <w:tcPr>
            <w:tcW w:w="1610" w:type="dxa"/>
            <w:vAlign w:val="center"/>
          </w:tcPr>
          <w:p>
            <w:pPr>
              <w:pStyle w:val="TableNumber"/>
            </w:pPr>
            <w:r>
              <w:t>0.8868</w:t>
            </w:r>
          </w:p>
        </w:tc>
      </w:tr>
    </w:tbl>
    <w:p>
      <w:pPr>
        <w:pStyle w:val="a"/>
      </w:pPr>
      <w:r>
        <w:t>raw pinball 與 MAE 隨 horizon 變長而增加，主要因長期真值本身波動較大。除以 train-only robust scale 後，normalized pinball 從 1 日 0.3799 下降到 14 日 0.2924；這表示模型相對於各 horizon 自身尺度的分布誤差較低，不表示 14 日的原始報酬誤差較小。</w:t>
      </w:r>
    </w:p>
    <w:p>
      <w:pPr>
        <w:pStyle w:val="21"/>
      </w:pPr>
      <w:r>
        <w:t>6.2 q50 與區間校準</w:t>
      </w:r>
    </w:p>
    <w:p>
      <w:pPr>
        <w:pStyle w:val="Decision"/>
        <w:keepNext/>
        <w:spacing w:after="80"/>
      </w:pPr>
      <w:r>
        <w:t>表 8｜每個 horizon 的點預測與區間</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離80%差距</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1d</w:t>
            </w:r>
          </w:p>
        </w:tc>
        <w:tc>
          <w:tcPr>
            <w:tcW w:w="1600" w:type="dxa"/>
            <w:vAlign w:val="center"/>
          </w:tcPr>
          <w:p>
            <w:pPr>
              <w:pStyle w:val="TableNumber"/>
            </w:pPr>
            <w:r>
              <w:t>0.0298</w:t>
            </w:r>
          </w:p>
        </w:tc>
        <w:tc>
          <w:tcPr>
            <w:tcW w:w="1650" w:type="dxa"/>
            <w:vAlign w:val="center"/>
          </w:tcPr>
          <w:p>
            <w:pPr>
              <w:pStyle w:val="TableNumber"/>
            </w:pPr>
            <w:r>
              <w:t>51.41%</w:t>
            </w:r>
          </w:p>
        </w:tc>
        <w:tc>
          <w:tcPr>
            <w:tcW w:w="1650" w:type="dxa"/>
            <w:vAlign w:val="center"/>
          </w:tcPr>
          <w:p>
            <w:pPr>
              <w:pStyle w:val="TableNumber"/>
            </w:pPr>
            <w:r>
              <w:t>82.06%</w:t>
            </w:r>
          </w:p>
        </w:tc>
        <w:tc>
          <w:tcPr>
            <w:tcW w:w="1800" w:type="dxa"/>
            <w:vAlign w:val="center"/>
          </w:tcPr>
          <w:p>
            <w:pPr>
              <w:pStyle w:val="TableNumber"/>
            </w:pPr>
            <w:r>
              <w:t>2.06 pp</w:t>
            </w:r>
          </w:p>
        </w:tc>
        <w:tc>
          <w:tcPr>
            <w:tcW w:w="1960" w:type="dxa"/>
            <w:vAlign w:val="center"/>
          </w:tcPr>
          <w:p>
            <w:pPr>
              <w:pStyle w:val="TableNumber"/>
            </w:pPr>
            <w:r>
              <w:t>0.0732</w:t>
            </w:r>
          </w:p>
        </w:tc>
      </w:tr>
      <w:tr>
        <w:trPr>
          <w:cantSplit/>
        </w:trPr>
        <w:tc>
          <w:tcPr>
            <w:tcW w:w="700" w:type="dxa"/>
            <w:vAlign w:val="center"/>
          </w:tcPr>
          <w:p>
            <w:pPr>
              <w:pStyle w:val="TableText"/>
            </w:pPr>
            <w:r>
              <w:t>2d</w:t>
            </w:r>
          </w:p>
        </w:tc>
        <w:tc>
          <w:tcPr>
            <w:tcW w:w="1600" w:type="dxa"/>
            <w:vAlign w:val="center"/>
          </w:tcPr>
          <w:p>
            <w:pPr>
              <w:pStyle w:val="TableNumber"/>
            </w:pPr>
            <w:r>
              <w:t>0.0328</w:t>
            </w:r>
          </w:p>
        </w:tc>
        <w:tc>
          <w:tcPr>
            <w:tcW w:w="1650" w:type="dxa"/>
            <w:vAlign w:val="center"/>
          </w:tcPr>
          <w:p>
            <w:pPr>
              <w:pStyle w:val="TableNumber"/>
            </w:pPr>
            <w:r>
              <w:t>52.60%</w:t>
            </w:r>
          </w:p>
        </w:tc>
        <w:tc>
          <w:tcPr>
            <w:tcW w:w="1650" w:type="dxa"/>
            <w:vAlign w:val="center"/>
          </w:tcPr>
          <w:p>
            <w:pPr>
              <w:pStyle w:val="TableNumber"/>
            </w:pPr>
            <w:r>
              <w:t>79.82%</w:t>
            </w:r>
          </w:p>
        </w:tc>
        <w:tc>
          <w:tcPr>
            <w:tcW w:w="1800" w:type="dxa"/>
            <w:vAlign w:val="center"/>
          </w:tcPr>
          <w:p>
            <w:pPr>
              <w:pStyle w:val="TableNumber"/>
            </w:pPr>
            <w:r>
              <w:t>0.18 pp</w:t>
            </w:r>
          </w:p>
        </w:tc>
        <w:tc>
          <w:tcPr>
            <w:tcW w:w="1960" w:type="dxa"/>
            <w:vAlign w:val="center"/>
          </w:tcPr>
          <w:p>
            <w:pPr>
              <w:pStyle w:val="TableNumber"/>
            </w:pPr>
            <w:r>
              <w:t>0.1004</w:t>
            </w:r>
          </w:p>
        </w:tc>
      </w:tr>
      <w:tr>
        <w:trPr>
          <w:cantSplit/>
        </w:trPr>
        <w:tc>
          <w:tcPr>
            <w:tcW w:w="700" w:type="dxa"/>
            <w:vAlign w:val="center"/>
          </w:tcPr>
          <w:p>
            <w:pPr>
              <w:pStyle w:val="TableText"/>
            </w:pPr>
            <w:r>
              <w:t>3d</w:t>
            </w:r>
          </w:p>
        </w:tc>
        <w:tc>
          <w:tcPr>
            <w:tcW w:w="1600" w:type="dxa"/>
            <w:vAlign w:val="center"/>
          </w:tcPr>
          <w:p>
            <w:pPr>
              <w:pStyle w:val="TableNumber"/>
            </w:pPr>
            <w:r>
              <w:t>0.0417</w:t>
            </w:r>
          </w:p>
        </w:tc>
        <w:tc>
          <w:tcPr>
            <w:tcW w:w="1650" w:type="dxa"/>
            <w:vAlign w:val="center"/>
          </w:tcPr>
          <w:p>
            <w:pPr>
              <w:pStyle w:val="TableNumber"/>
            </w:pPr>
            <w:r>
              <w:t>53.07%</w:t>
            </w:r>
          </w:p>
        </w:tc>
        <w:tc>
          <w:tcPr>
            <w:tcW w:w="1650" w:type="dxa"/>
            <w:vAlign w:val="center"/>
          </w:tcPr>
          <w:p>
            <w:pPr>
              <w:pStyle w:val="TableNumber"/>
            </w:pPr>
            <w:r>
              <w:t>78.16%</w:t>
            </w:r>
          </w:p>
        </w:tc>
        <w:tc>
          <w:tcPr>
            <w:tcW w:w="1800" w:type="dxa"/>
            <w:vAlign w:val="center"/>
          </w:tcPr>
          <w:p>
            <w:pPr>
              <w:pStyle w:val="TableNumber"/>
            </w:pPr>
            <w:r>
              <w:t>1.85 pp</w:t>
            </w:r>
          </w:p>
        </w:tc>
        <w:tc>
          <w:tcPr>
            <w:tcW w:w="1960" w:type="dxa"/>
            <w:vAlign w:val="center"/>
          </w:tcPr>
          <w:p>
            <w:pPr>
              <w:pStyle w:val="TableNumber"/>
            </w:pPr>
            <w:r>
              <w:t>0.1214</w:t>
            </w:r>
          </w:p>
        </w:tc>
      </w:tr>
      <w:tr>
        <w:trPr>
          <w:cantSplit/>
        </w:trPr>
        <w:tc>
          <w:tcPr>
            <w:tcW w:w="700" w:type="dxa"/>
            <w:vAlign w:val="center"/>
          </w:tcPr>
          <w:p>
            <w:pPr>
              <w:pStyle w:val="TableText"/>
            </w:pPr>
            <w:r>
              <w:t>4d</w:t>
            </w:r>
          </w:p>
        </w:tc>
        <w:tc>
          <w:tcPr>
            <w:tcW w:w="1600" w:type="dxa"/>
            <w:vAlign w:val="center"/>
          </w:tcPr>
          <w:p>
            <w:pPr>
              <w:pStyle w:val="TableNumber"/>
            </w:pPr>
            <w:r>
              <w:t>0.0539</w:t>
            </w:r>
          </w:p>
        </w:tc>
        <w:tc>
          <w:tcPr>
            <w:tcW w:w="1650" w:type="dxa"/>
            <w:vAlign w:val="center"/>
          </w:tcPr>
          <w:p>
            <w:pPr>
              <w:pStyle w:val="TableNumber"/>
            </w:pPr>
            <w:r>
              <w:t>52.80%</w:t>
            </w:r>
          </w:p>
        </w:tc>
        <w:tc>
          <w:tcPr>
            <w:tcW w:w="1650" w:type="dxa"/>
            <w:vAlign w:val="center"/>
          </w:tcPr>
          <w:p>
            <w:pPr>
              <w:pStyle w:val="TableNumber"/>
            </w:pPr>
            <w:r>
              <w:t>76.66%</w:t>
            </w:r>
          </w:p>
        </w:tc>
        <w:tc>
          <w:tcPr>
            <w:tcW w:w="1800" w:type="dxa"/>
            <w:vAlign w:val="center"/>
          </w:tcPr>
          <w:p>
            <w:pPr>
              <w:pStyle w:val="TableNumber"/>
            </w:pPr>
            <w:r>
              <w:t>3.34 pp</w:t>
            </w:r>
          </w:p>
        </w:tc>
        <w:tc>
          <w:tcPr>
            <w:tcW w:w="1960" w:type="dxa"/>
            <w:vAlign w:val="center"/>
          </w:tcPr>
          <w:p>
            <w:pPr>
              <w:pStyle w:val="TableNumber"/>
            </w:pPr>
            <w:r>
              <w:t>0.1371</w:t>
            </w:r>
          </w:p>
        </w:tc>
      </w:tr>
      <w:tr>
        <w:trPr>
          <w:cantSplit/>
        </w:trPr>
        <w:tc>
          <w:tcPr>
            <w:tcW w:w="700" w:type="dxa"/>
            <w:vAlign w:val="center"/>
          </w:tcPr>
          <w:p>
            <w:pPr>
              <w:pStyle w:val="TableText"/>
            </w:pPr>
            <w:r>
              <w:t>5d</w:t>
            </w:r>
          </w:p>
        </w:tc>
        <w:tc>
          <w:tcPr>
            <w:tcW w:w="1600" w:type="dxa"/>
            <w:vAlign w:val="center"/>
          </w:tcPr>
          <w:p>
            <w:pPr>
              <w:pStyle w:val="TableNumber"/>
            </w:pPr>
            <w:r>
              <w:t>0.0689</w:t>
            </w:r>
          </w:p>
        </w:tc>
        <w:tc>
          <w:tcPr>
            <w:tcW w:w="1650" w:type="dxa"/>
            <w:vAlign w:val="center"/>
          </w:tcPr>
          <w:p>
            <w:pPr>
              <w:pStyle w:val="TableNumber"/>
            </w:pPr>
            <w:r>
              <w:t>53.07%</w:t>
            </w:r>
          </w:p>
        </w:tc>
        <w:tc>
          <w:tcPr>
            <w:tcW w:w="1650" w:type="dxa"/>
            <w:vAlign w:val="center"/>
          </w:tcPr>
          <w:p>
            <w:pPr>
              <w:pStyle w:val="TableNumber"/>
            </w:pPr>
            <w:r>
              <w:t>74.95%</w:t>
            </w:r>
          </w:p>
        </w:tc>
        <w:tc>
          <w:tcPr>
            <w:tcW w:w="1800" w:type="dxa"/>
            <w:vAlign w:val="center"/>
          </w:tcPr>
          <w:p>
            <w:pPr>
              <w:pStyle w:val="TableNumber"/>
            </w:pPr>
            <w:r>
              <w:t>5.05 pp</w:t>
            </w:r>
          </w:p>
        </w:tc>
        <w:tc>
          <w:tcPr>
            <w:tcW w:w="1960" w:type="dxa"/>
            <w:vAlign w:val="center"/>
          </w:tcPr>
          <w:p>
            <w:pPr>
              <w:pStyle w:val="TableNumber"/>
            </w:pPr>
            <w:r>
              <w:t>0.1504</w:t>
            </w:r>
          </w:p>
        </w:tc>
      </w:tr>
      <w:tr>
        <w:trPr>
          <w:cantSplit/>
        </w:trPr>
        <w:tc>
          <w:tcPr>
            <w:tcW w:w="700" w:type="dxa"/>
            <w:vAlign w:val="center"/>
          </w:tcPr>
          <w:p>
            <w:pPr>
              <w:pStyle w:val="TableText"/>
            </w:pPr>
            <w:r>
              <w:t>6d</w:t>
            </w:r>
          </w:p>
        </w:tc>
        <w:tc>
          <w:tcPr>
            <w:tcW w:w="1600" w:type="dxa"/>
            <w:vAlign w:val="center"/>
          </w:tcPr>
          <w:p>
            <w:pPr>
              <w:pStyle w:val="TableNumber"/>
            </w:pPr>
            <w:r>
              <w:t>0.0840</w:t>
            </w:r>
          </w:p>
        </w:tc>
        <w:tc>
          <w:tcPr>
            <w:tcW w:w="1650" w:type="dxa"/>
            <w:vAlign w:val="center"/>
          </w:tcPr>
          <w:p>
            <w:pPr>
              <w:pStyle w:val="TableNumber"/>
            </w:pPr>
            <w:r>
              <w:t>54.18%</w:t>
            </w:r>
          </w:p>
        </w:tc>
        <w:tc>
          <w:tcPr>
            <w:tcW w:w="1650" w:type="dxa"/>
            <w:vAlign w:val="center"/>
          </w:tcPr>
          <w:p>
            <w:pPr>
              <w:pStyle w:val="TableNumber"/>
            </w:pPr>
            <w:r>
              <w:t>75.31%</w:t>
            </w:r>
          </w:p>
        </w:tc>
        <w:tc>
          <w:tcPr>
            <w:tcW w:w="1800" w:type="dxa"/>
            <w:vAlign w:val="center"/>
          </w:tcPr>
          <w:p>
            <w:pPr>
              <w:pStyle w:val="TableNumber"/>
            </w:pPr>
            <w:r>
              <w:t>4.70 pp</w:t>
            </w:r>
          </w:p>
        </w:tc>
        <w:tc>
          <w:tcPr>
            <w:tcW w:w="1960" w:type="dxa"/>
            <w:vAlign w:val="center"/>
          </w:tcPr>
          <w:p>
            <w:pPr>
              <w:pStyle w:val="TableNumber"/>
            </w:pPr>
            <w:r>
              <w:t>0.1640</w:t>
            </w:r>
          </w:p>
        </w:tc>
      </w:tr>
      <w:tr>
        <w:trPr>
          <w:cantSplit/>
        </w:trPr>
        <w:tc>
          <w:tcPr>
            <w:tcW w:w="700" w:type="dxa"/>
            <w:vAlign w:val="center"/>
          </w:tcPr>
          <w:p>
            <w:pPr>
              <w:pStyle w:val="TableText"/>
            </w:pPr>
            <w:r>
              <w:t>7d</w:t>
            </w:r>
          </w:p>
        </w:tc>
        <w:tc>
          <w:tcPr>
            <w:tcW w:w="1600" w:type="dxa"/>
            <w:vAlign w:val="center"/>
          </w:tcPr>
          <w:p>
            <w:pPr>
              <w:pStyle w:val="TableNumber"/>
            </w:pPr>
            <w:r>
              <w:t>0.0866</w:t>
            </w:r>
          </w:p>
        </w:tc>
        <w:tc>
          <w:tcPr>
            <w:tcW w:w="1650" w:type="dxa"/>
            <w:vAlign w:val="center"/>
          </w:tcPr>
          <w:p>
            <w:pPr>
              <w:pStyle w:val="TableNumber"/>
            </w:pPr>
            <w:r>
              <w:t>55.05%</w:t>
            </w:r>
          </w:p>
        </w:tc>
        <w:tc>
          <w:tcPr>
            <w:tcW w:w="1650" w:type="dxa"/>
            <w:vAlign w:val="center"/>
          </w:tcPr>
          <w:p>
            <w:pPr>
              <w:pStyle w:val="TableNumber"/>
            </w:pPr>
            <w:r>
              <w:t>75.66%</w:t>
            </w:r>
          </w:p>
        </w:tc>
        <w:tc>
          <w:tcPr>
            <w:tcW w:w="1800" w:type="dxa"/>
            <w:vAlign w:val="center"/>
          </w:tcPr>
          <w:p>
            <w:pPr>
              <w:pStyle w:val="TableNumber"/>
            </w:pPr>
            <w:r>
              <w:t>4.34 pp</w:t>
            </w:r>
          </w:p>
        </w:tc>
        <w:tc>
          <w:tcPr>
            <w:tcW w:w="1960" w:type="dxa"/>
            <w:vAlign w:val="center"/>
          </w:tcPr>
          <w:p>
            <w:pPr>
              <w:pStyle w:val="TableNumber"/>
            </w:pPr>
            <w:r>
              <w:t>0.1794</w:t>
            </w:r>
          </w:p>
        </w:tc>
      </w:tr>
      <w:tr>
        <w:trPr>
          <w:cantSplit/>
        </w:trPr>
        <w:tc>
          <w:tcPr>
            <w:tcW w:w="700" w:type="dxa"/>
            <w:vAlign w:val="center"/>
          </w:tcPr>
          <w:p>
            <w:pPr>
              <w:pStyle w:val="TableText"/>
            </w:pPr>
            <w:r>
              <w:t>8d</w:t>
            </w:r>
          </w:p>
        </w:tc>
        <w:tc>
          <w:tcPr>
            <w:tcW w:w="1600" w:type="dxa"/>
            <w:vAlign w:val="center"/>
          </w:tcPr>
          <w:p>
            <w:pPr>
              <w:pStyle w:val="TableNumber"/>
            </w:pPr>
            <w:r>
              <w:t>0.0938</w:t>
            </w:r>
          </w:p>
        </w:tc>
        <w:tc>
          <w:tcPr>
            <w:tcW w:w="1650" w:type="dxa"/>
            <w:vAlign w:val="center"/>
          </w:tcPr>
          <w:p>
            <w:pPr>
              <w:pStyle w:val="TableNumber"/>
            </w:pPr>
            <w:r>
              <w:t>56.61%</w:t>
            </w:r>
          </w:p>
        </w:tc>
        <w:tc>
          <w:tcPr>
            <w:tcW w:w="1650" w:type="dxa"/>
            <w:vAlign w:val="center"/>
          </w:tcPr>
          <w:p>
            <w:pPr>
              <w:pStyle w:val="TableNumber"/>
            </w:pPr>
            <w:r>
              <w:t>76.00%</w:t>
            </w:r>
          </w:p>
        </w:tc>
        <w:tc>
          <w:tcPr>
            <w:tcW w:w="1800" w:type="dxa"/>
            <w:vAlign w:val="center"/>
          </w:tcPr>
          <w:p>
            <w:pPr>
              <w:pStyle w:val="TableNumber"/>
            </w:pPr>
            <w:r>
              <w:t>4.00 pp</w:t>
            </w:r>
          </w:p>
        </w:tc>
        <w:tc>
          <w:tcPr>
            <w:tcW w:w="1960" w:type="dxa"/>
            <w:vAlign w:val="center"/>
          </w:tcPr>
          <w:p>
            <w:pPr>
              <w:pStyle w:val="TableNumber"/>
            </w:pPr>
            <w:r>
              <w:t>0.1913</w:t>
            </w:r>
          </w:p>
        </w:tc>
      </w:tr>
      <w:tr>
        <w:trPr>
          <w:cantSplit/>
        </w:trPr>
        <w:tc>
          <w:tcPr>
            <w:tcW w:w="700" w:type="dxa"/>
            <w:vAlign w:val="center"/>
          </w:tcPr>
          <w:p>
            <w:pPr>
              <w:pStyle w:val="TableText"/>
            </w:pPr>
            <w:r>
              <w:t>9d</w:t>
            </w:r>
          </w:p>
        </w:tc>
        <w:tc>
          <w:tcPr>
            <w:tcW w:w="1600" w:type="dxa"/>
            <w:vAlign w:val="center"/>
          </w:tcPr>
          <w:p>
            <w:pPr>
              <w:pStyle w:val="TableNumber"/>
            </w:pPr>
            <w:r>
              <w:t>0.1030</w:t>
            </w:r>
          </w:p>
        </w:tc>
        <w:tc>
          <w:tcPr>
            <w:tcW w:w="1650" w:type="dxa"/>
            <w:vAlign w:val="center"/>
          </w:tcPr>
          <w:p>
            <w:pPr>
              <w:pStyle w:val="TableNumber"/>
            </w:pPr>
            <w:r>
              <w:t>57.09%</w:t>
            </w:r>
          </w:p>
        </w:tc>
        <w:tc>
          <w:tcPr>
            <w:tcW w:w="1650" w:type="dxa"/>
            <w:vAlign w:val="center"/>
          </w:tcPr>
          <w:p>
            <w:pPr>
              <w:pStyle w:val="TableNumber"/>
            </w:pPr>
            <w:r>
              <w:t>75.81%</w:t>
            </w:r>
          </w:p>
        </w:tc>
        <w:tc>
          <w:tcPr>
            <w:tcW w:w="1800" w:type="dxa"/>
            <w:vAlign w:val="center"/>
          </w:tcPr>
          <w:p>
            <w:pPr>
              <w:pStyle w:val="TableNumber"/>
            </w:pPr>
            <w:r>
              <w:t>4.19 pp</w:t>
            </w:r>
          </w:p>
        </w:tc>
        <w:tc>
          <w:tcPr>
            <w:tcW w:w="1960" w:type="dxa"/>
            <w:vAlign w:val="center"/>
          </w:tcPr>
          <w:p>
            <w:pPr>
              <w:pStyle w:val="TableNumber"/>
            </w:pPr>
            <w:r>
              <w:t>0.2009</w:t>
            </w:r>
          </w:p>
        </w:tc>
      </w:tr>
      <w:tr>
        <w:trPr>
          <w:cantSplit/>
        </w:trPr>
        <w:tc>
          <w:tcPr>
            <w:tcW w:w="700" w:type="dxa"/>
            <w:vAlign w:val="center"/>
          </w:tcPr>
          <w:p>
            <w:pPr>
              <w:pStyle w:val="TableText"/>
            </w:pPr>
            <w:r>
              <w:t>10d</w:t>
            </w:r>
          </w:p>
        </w:tc>
        <w:tc>
          <w:tcPr>
            <w:tcW w:w="1600" w:type="dxa"/>
            <w:vAlign w:val="center"/>
          </w:tcPr>
          <w:p>
            <w:pPr>
              <w:pStyle w:val="TableNumber"/>
            </w:pPr>
            <w:r>
              <w:t>0.1115</w:t>
            </w:r>
          </w:p>
        </w:tc>
        <w:tc>
          <w:tcPr>
            <w:tcW w:w="1650" w:type="dxa"/>
            <w:vAlign w:val="center"/>
          </w:tcPr>
          <w:p>
            <w:pPr>
              <w:pStyle w:val="TableNumber"/>
            </w:pPr>
            <w:r>
              <w:t>58.07%</w:t>
            </w:r>
          </w:p>
        </w:tc>
        <w:tc>
          <w:tcPr>
            <w:tcW w:w="1650" w:type="dxa"/>
            <w:vAlign w:val="center"/>
          </w:tcPr>
          <w:p>
            <w:pPr>
              <w:pStyle w:val="TableNumber"/>
            </w:pPr>
            <w:r>
              <w:t>75.61%</w:t>
            </w:r>
          </w:p>
        </w:tc>
        <w:tc>
          <w:tcPr>
            <w:tcW w:w="1800" w:type="dxa"/>
            <w:vAlign w:val="center"/>
          </w:tcPr>
          <w:p>
            <w:pPr>
              <w:pStyle w:val="TableNumber"/>
            </w:pPr>
            <w:r>
              <w:t>4.40 pp</w:t>
            </w:r>
          </w:p>
        </w:tc>
        <w:tc>
          <w:tcPr>
            <w:tcW w:w="1960" w:type="dxa"/>
            <w:vAlign w:val="center"/>
          </w:tcPr>
          <w:p>
            <w:pPr>
              <w:pStyle w:val="TableNumber"/>
            </w:pPr>
            <w:r>
              <w:t>0.2103</w:t>
            </w:r>
          </w:p>
        </w:tc>
      </w:tr>
      <w:tr>
        <w:trPr>
          <w:cantSplit/>
        </w:trPr>
        <w:tc>
          <w:tcPr>
            <w:tcW w:w="700" w:type="dxa"/>
            <w:vAlign w:val="center"/>
          </w:tcPr>
          <w:p>
            <w:pPr>
              <w:pStyle w:val="TableText"/>
            </w:pPr>
            <w:r>
              <w:t>11d</w:t>
            </w:r>
          </w:p>
        </w:tc>
        <w:tc>
          <w:tcPr>
            <w:tcW w:w="1600" w:type="dxa"/>
            <w:vAlign w:val="center"/>
          </w:tcPr>
          <w:p>
            <w:pPr>
              <w:pStyle w:val="TableNumber"/>
            </w:pPr>
            <w:r>
              <w:t>0.1158</w:t>
            </w:r>
          </w:p>
        </w:tc>
        <w:tc>
          <w:tcPr>
            <w:tcW w:w="1650" w:type="dxa"/>
            <w:vAlign w:val="center"/>
          </w:tcPr>
          <w:p>
            <w:pPr>
              <w:pStyle w:val="TableNumber"/>
            </w:pPr>
            <w:r>
              <w:t>58.05%</w:t>
            </w:r>
          </w:p>
        </w:tc>
        <w:tc>
          <w:tcPr>
            <w:tcW w:w="1650" w:type="dxa"/>
            <w:vAlign w:val="center"/>
          </w:tcPr>
          <w:p>
            <w:pPr>
              <w:pStyle w:val="TableNumber"/>
            </w:pPr>
            <w:r>
              <w:t>75.65%</w:t>
            </w:r>
          </w:p>
        </w:tc>
        <w:tc>
          <w:tcPr>
            <w:tcW w:w="1800" w:type="dxa"/>
            <w:vAlign w:val="center"/>
          </w:tcPr>
          <w:p>
            <w:pPr>
              <w:pStyle w:val="TableNumber"/>
            </w:pPr>
            <w:r>
              <w:t>4.35 pp</w:t>
            </w:r>
          </w:p>
        </w:tc>
        <w:tc>
          <w:tcPr>
            <w:tcW w:w="1960" w:type="dxa"/>
            <w:vAlign w:val="center"/>
          </w:tcPr>
          <w:p>
            <w:pPr>
              <w:pStyle w:val="TableNumber"/>
            </w:pPr>
            <w:r>
              <w:t>0.2214</w:t>
            </w:r>
          </w:p>
        </w:tc>
      </w:tr>
      <w:tr>
        <w:trPr>
          <w:cantSplit/>
        </w:trPr>
        <w:tc>
          <w:tcPr>
            <w:tcW w:w="700" w:type="dxa"/>
            <w:vAlign w:val="center"/>
          </w:tcPr>
          <w:p>
            <w:pPr>
              <w:pStyle w:val="TableText"/>
            </w:pPr>
            <w:r>
              <w:t>12d</w:t>
            </w:r>
          </w:p>
        </w:tc>
        <w:tc>
          <w:tcPr>
            <w:tcW w:w="1600" w:type="dxa"/>
            <w:vAlign w:val="center"/>
          </w:tcPr>
          <w:p>
            <w:pPr>
              <w:pStyle w:val="TableNumber"/>
            </w:pPr>
            <w:r>
              <w:t>0.1157</w:t>
            </w:r>
          </w:p>
        </w:tc>
        <w:tc>
          <w:tcPr>
            <w:tcW w:w="1650" w:type="dxa"/>
            <w:vAlign w:val="center"/>
          </w:tcPr>
          <w:p>
            <w:pPr>
              <w:pStyle w:val="TableNumber"/>
            </w:pPr>
            <w:r>
              <w:t>57.48%</w:t>
            </w:r>
          </w:p>
        </w:tc>
        <w:tc>
          <w:tcPr>
            <w:tcW w:w="1650" w:type="dxa"/>
            <w:vAlign w:val="center"/>
          </w:tcPr>
          <w:p>
            <w:pPr>
              <w:pStyle w:val="TableNumber"/>
            </w:pPr>
            <w:r>
              <w:t>75.56%</w:t>
            </w:r>
          </w:p>
        </w:tc>
        <w:tc>
          <w:tcPr>
            <w:tcW w:w="1800" w:type="dxa"/>
            <w:vAlign w:val="center"/>
          </w:tcPr>
          <w:p>
            <w:pPr>
              <w:pStyle w:val="TableNumber"/>
            </w:pPr>
            <w:r>
              <w:t>4.44 pp</w:t>
            </w:r>
          </w:p>
        </w:tc>
        <w:tc>
          <w:tcPr>
            <w:tcW w:w="1960" w:type="dxa"/>
            <w:vAlign w:val="center"/>
          </w:tcPr>
          <w:p>
            <w:pPr>
              <w:pStyle w:val="TableNumber"/>
            </w:pPr>
            <w:r>
              <w:t>0.2295</w:t>
            </w:r>
          </w:p>
        </w:tc>
      </w:tr>
      <w:tr>
        <w:trPr>
          <w:cantSplit/>
        </w:trPr>
        <w:tc>
          <w:tcPr>
            <w:tcW w:w="700" w:type="dxa"/>
            <w:vAlign w:val="center"/>
          </w:tcPr>
          <w:p>
            <w:pPr>
              <w:pStyle w:val="TableText"/>
            </w:pPr>
            <w:r>
              <w:t>13d</w:t>
            </w:r>
          </w:p>
        </w:tc>
        <w:tc>
          <w:tcPr>
            <w:tcW w:w="1600" w:type="dxa"/>
            <w:vAlign w:val="center"/>
          </w:tcPr>
          <w:p>
            <w:pPr>
              <w:pStyle w:val="TableNumber"/>
            </w:pPr>
            <w:r>
              <w:t>0.1204</w:t>
            </w:r>
          </w:p>
        </w:tc>
        <w:tc>
          <w:tcPr>
            <w:tcW w:w="1650" w:type="dxa"/>
            <w:vAlign w:val="center"/>
          </w:tcPr>
          <w:p>
            <w:pPr>
              <w:pStyle w:val="TableNumber"/>
            </w:pPr>
            <w:r>
              <w:t>58.16%</w:t>
            </w:r>
          </w:p>
        </w:tc>
        <w:tc>
          <w:tcPr>
            <w:tcW w:w="1650" w:type="dxa"/>
            <w:vAlign w:val="center"/>
          </w:tcPr>
          <w:p>
            <w:pPr>
              <w:pStyle w:val="TableNumber"/>
            </w:pPr>
            <w:r>
              <w:t>74.97%</w:t>
            </w:r>
          </w:p>
        </w:tc>
        <w:tc>
          <w:tcPr>
            <w:tcW w:w="1800" w:type="dxa"/>
            <w:vAlign w:val="center"/>
          </w:tcPr>
          <w:p>
            <w:pPr>
              <w:pStyle w:val="TableNumber"/>
            </w:pPr>
            <w:r>
              <w:t>5.04 pp</w:t>
            </w:r>
          </w:p>
        </w:tc>
        <w:tc>
          <w:tcPr>
            <w:tcW w:w="1960" w:type="dxa"/>
            <w:vAlign w:val="center"/>
          </w:tcPr>
          <w:p>
            <w:pPr>
              <w:pStyle w:val="TableNumber"/>
            </w:pPr>
            <w:r>
              <w:t>0.2390</w:t>
            </w:r>
          </w:p>
        </w:tc>
      </w:tr>
      <w:tr>
        <w:trPr>
          <w:cantSplit/>
        </w:trPr>
        <w:tc>
          <w:tcPr>
            <w:tcW w:w="700" w:type="dxa"/>
            <w:vAlign w:val="center"/>
          </w:tcPr>
          <w:p>
            <w:pPr>
              <w:pStyle w:val="TableText"/>
            </w:pPr>
            <w:r>
              <w:t>14d</w:t>
            </w:r>
          </w:p>
        </w:tc>
        <w:tc>
          <w:tcPr>
            <w:tcW w:w="1600" w:type="dxa"/>
            <w:vAlign w:val="center"/>
          </w:tcPr>
          <w:p>
            <w:pPr>
              <w:pStyle w:val="TableNumber"/>
            </w:pPr>
            <w:r>
              <w:t>0.1199</w:t>
            </w:r>
          </w:p>
        </w:tc>
        <w:tc>
          <w:tcPr>
            <w:tcW w:w="1650" w:type="dxa"/>
            <w:vAlign w:val="center"/>
          </w:tcPr>
          <w:p>
            <w:pPr>
              <w:pStyle w:val="TableNumber"/>
            </w:pPr>
            <w:r>
              <w:t>58.54%</w:t>
            </w:r>
          </w:p>
        </w:tc>
        <w:tc>
          <w:tcPr>
            <w:tcW w:w="1650" w:type="dxa"/>
            <w:vAlign w:val="center"/>
          </w:tcPr>
          <w:p>
            <w:pPr>
              <w:pStyle w:val="TableNumber"/>
            </w:pPr>
            <w:r>
              <w:t>75.17%</w:t>
            </w:r>
          </w:p>
        </w:tc>
        <w:tc>
          <w:tcPr>
            <w:tcW w:w="1800" w:type="dxa"/>
            <w:vAlign w:val="center"/>
          </w:tcPr>
          <w:p>
            <w:pPr>
              <w:pStyle w:val="TableNumber"/>
            </w:pPr>
            <w:r>
              <w:t>4.83 pp</w:t>
            </w:r>
          </w:p>
        </w:tc>
        <w:tc>
          <w:tcPr>
            <w:tcW w:w="1960" w:type="dxa"/>
            <w:vAlign w:val="center"/>
          </w:tcPr>
          <w:p>
            <w:pPr>
              <w:pStyle w:val="TableNumber"/>
            </w:pPr>
            <w:r>
              <w:t>0.2496</w:t>
            </w:r>
          </w:p>
        </w:tc>
      </w:tr>
    </w:tbl>
    <w:p>
      <w:pPr>
        <w:pStyle w:val="a"/>
      </w:pPr>
      <w:r>
        <w:t>q50 correlation 從 1 日 0.0298 提高到 14 日 0.1199；方向一致率高於 50% 的 horizon 為 1 至 14 日全部，低於 50% 的 horizon 為無。coverage 介於 74.95% 與 82.06%，其中 13 個 horizon 低於名目 80%；區間寬度由 0.0732 增至 0.2496，仍需校準。</w:t>
      </w:r>
    </w:p>
    <w:p>
      <w:pPr>
        <w:pStyle w:val="21"/>
      </w:pPr>
      <w:r>
        <w:t>6.3 橫斷面排序與資金路徑</w:t>
      </w:r>
    </w:p>
    <w:p>
      <w:pPr>
        <w:pStyle w:val="Decision"/>
        <w:keepNext/>
        <w:spacing w:after="80"/>
      </w:pPr>
      <w:r>
        <w:t>表 9｜每個 horizon 的經濟診斷</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0.0383 (2/13)</w:t>
            </w:r>
          </w:p>
        </w:tc>
        <w:tc>
          <w:tcPr>
            <w:tcW w:w="1100" w:type="dxa"/>
            <w:vAlign w:val="center"/>
          </w:tcPr>
          <w:p>
            <w:pPr>
              <w:pStyle w:val="TableNumber"/>
            </w:pPr>
            <w:r>
              <w:t>0.298</w:t>
            </w:r>
          </w:p>
        </w:tc>
        <w:tc>
          <w:tcPr>
            <w:tcW w:w="1500" w:type="dxa"/>
            <w:vAlign w:val="center"/>
          </w:tcPr>
          <w:p>
            <w:pPr>
              <w:pStyle w:val="TableNumber"/>
            </w:pPr>
            <w:r>
              <w:t>+0.00%</w:t>
            </w:r>
          </w:p>
        </w:tc>
        <w:tc>
          <w:tcPr>
            <w:tcW w:w="1650" w:type="dxa"/>
            <w:vAlign w:val="center"/>
          </w:tcPr>
          <w:p>
            <w:pPr>
              <w:pStyle w:val="TableNumber"/>
            </w:pPr>
            <w:r>
              <w:t>3.29 (1/13)</w:t>
            </w:r>
          </w:p>
        </w:tc>
        <w:tc>
          <w:tcPr>
            <w:tcW w:w="1600" w:type="dxa"/>
            <w:vAlign w:val="center"/>
          </w:tcPr>
          <w:p>
            <w:pPr>
              <w:pStyle w:val="TableNumber"/>
            </w:pPr>
            <w:r>
              <w:t>-4.7% (3/13)</w:t>
            </w:r>
          </w:p>
        </w:tc>
        <w:tc>
          <w:tcPr>
            <w:tcW w:w="960" w:type="dxa"/>
            <w:vAlign w:val="center"/>
          </w:tcPr>
          <w:p>
            <w:pPr>
              <w:pStyle w:val="TableNumber"/>
            </w:pPr>
            <w:r>
              <w:t>0.454</w:t>
            </w:r>
          </w:p>
        </w:tc>
      </w:tr>
      <w:tr>
        <w:trPr>
          <w:cantSplit/>
        </w:trPr>
        <w:tc>
          <w:tcPr>
            <w:tcW w:w="650" w:type="dxa"/>
            <w:vAlign w:val="center"/>
          </w:tcPr>
          <w:p>
            <w:pPr>
              <w:pStyle w:val="TableText"/>
            </w:pPr>
            <w:r>
              <w:t>2d</w:t>
            </w:r>
          </w:p>
        </w:tc>
        <w:tc>
          <w:tcPr>
            <w:tcW w:w="1900" w:type="dxa"/>
            <w:vAlign w:val="center"/>
          </w:tcPr>
          <w:p>
            <w:pPr>
              <w:pStyle w:val="TableNumber"/>
            </w:pPr>
            <w:r>
              <w:t>0.0494 (2/13)</w:t>
            </w:r>
          </w:p>
        </w:tc>
        <w:tc>
          <w:tcPr>
            <w:tcW w:w="1100" w:type="dxa"/>
            <w:vAlign w:val="center"/>
          </w:tcPr>
          <w:p>
            <w:pPr>
              <w:pStyle w:val="TableNumber"/>
            </w:pPr>
            <w:r>
              <w:t>0.399</w:t>
            </w:r>
          </w:p>
        </w:tc>
        <w:tc>
          <w:tcPr>
            <w:tcW w:w="1500" w:type="dxa"/>
            <w:vAlign w:val="center"/>
          </w:tcPr>
          <w:p>
            <w:pPr>
              <w:pStyle w:val="TableNumber"/>
            </w:pPr>
            <w:r>
              <w:t>+0.01%</w:t>
            </w:r>
          </w:p>
        </w:tc>
        <w:tc>
          <w:tcPr>
            <w:tcW w:w="1650" w:type="dxa"/>
            <w:vAlign w:val="center"/>
          </w:tcPr>
          <w:p>
            <w:pPr>
              <w:pStyle w:val="TableNumber"/>
            </w:pPr>
            <w:r>
              <w:t>3.63 (1/13)</w:t>
            </w:r>
          </w:p>
        </w:tc>
        <w:tc>
          <w:tcPr>
            <w:tcW w:w="1600" w:type="dxa"/>
            <w:vAlign w:val="center"/>
          </w:tcPr>
          <w:p>
            <w:pPr>
              <w:pStyle w:val="TableNumber"/>
            </w:pPr>
            <w:r>
              <w:t>-7.6% (3/13)</w:t>
            </w:r>
          </w:p>
        </w:tc>
        <w:tc>
          <w:tcPr>
            <w:tcW w:w="960" w:type="dxa"/>
            <w:vAlign w:val="center"/>
          </w:tcPr>
          <w:p>
            <w:pPr>
              <w:pStyle w:val="TableNumber"/>
            </w:pPr>
            <w:r>
              <w:t>0.538</w:t>
            </w:r>
          </w:p>
        </w:tc>
      </w:tr>
      <w:tr>
        <w:trPr>
          <w:cantSplit/>
        </w:trPr>
        <w:tc>
          <w:tcPr>
            <w:tcW w:w="650" w:type="dxa"/>
            <w:vAlign w:val="center"/>
          </w:tcPr>
          <w:p>
            <w:pPr>
              <w:pStyle w:val="TableText"/>
            </w:pPr>
            <w:r>
              <w:t>3d</w:t>
            </w:r>
          </w:p>
        </w:tc>
        <w:tc>
          <w:tcPr>
            <w:tcW w:w="1900" w:type="dxa"/>
            <w:vAlign w:val="center"/>
          </w:tcPr>
          <w:p>
            <w:pPr>
              <w:pStyle w:val="TableNumber"/>
            </w:pPr>
            <w:r>
              <w:t>0.0585 (2/13)</w:t>
            </w:r>
          </w:p>
        </w:tc>
        <w:tc>
          <w:tcPr>
            <w:tcW w:w="1100" w:type="dxa"/>
            <w:vAlign w:val="center"/>
          </w:tcPr>
          <w:p>
            <w:pPr>
              <w:pStyle w:val="TableNumber"/>
            </w:pPr>
            <w:r>
              <w:t>0.448</w:t>
            </w:r>
          </w:p>
        </w:tc>
        <w:tc>
          <w:tcPr>
            <w:tcW w:w="1500" w:type="dxa"/>
            <w:vAlign w:val="center"/>
          </w:tcPr>
          <w:p>
            <w:pPr>
              <w:pStyle w:val="TableNumber"/>
            </w:pPr>
            <w:r>
              <w:t>+0.01%</w:t>
            </w:r>
          </w:p>
        </w:tc>
        <w:tc>
          <w:tcPr>
            <w:tcW w:w="1650" w:type="dxa"/>
            <w:vAlign w:val="center"/>
          </w:tcPr>
          <w:p>
            <w:pPr>
              <w:pStyle w:val="TableNumber"/>
            </w:pPr>
            <w:r>
              <w:t>4.06 (1/13)</w:t>
            </w:r>
          </w:p>
        </w:tc>
        <w:tc>
          <w:tcPr>
            <w:tcW w:w="1600" w:type="dxa"/>
            <w:vAlign w:val="center"/>
          </w:tcPr>
          <w:p>
            <w:pPr>
              <w:pStyle w:val="TableNumber"/>
            </w:pPr>
            <w:r>
              <w:t>-10.6% (3/13)</w:t>
            </w:r>
          </w:p>
        </w:tc>
        <w:tc>
          <w:tcPr>
            <w:tcW w:w="960" w:type="dxa"/>
            <w:vAlign w:val="center"/>
          </w:tcPr>
          <w:p>
            <w:pPr>
              <w:pStyle w:val="TableNumber"/>
            </w:pPr>
            <w:r>
              <w:t>0.553</w:t>
            </w:r>
          </w:p>
        </w:tc>
      </w:tr>
      <w:tr>
        <w:trPr>
          <w:cantSplit/>
        </w:trPr>
        <w:tc>
          <w:tcPr>
            <w:tcW w:w="650" w:type="dxa"/>
            <w:vAlign w:val="center"/>
          </w:tcPr>
          <w:p>
            <w:pPr>
              <w:pStyle w:val="TableText"/>
            </w:pPr>
            <w:r>
              <w:t>4d</w:t>
            </w:r>
          </w:p>
        </w:tc>
        <w:tc>
          <w:tcPr>
            <w:tcW w:w="1900" w:type="dxa"/>
            <w:vAlign w:val="center"/>
          </w:tcPr>
          <w:p>
            <w:pPr>
              <w:pStyle w:val="TableNumber"/>
            </w:pPr>
            <w:r>
              <w:t>0.0753 (2/13)</w:t>
            </w:r>
          </w:p>
        </w:tc>
        <w:tc>
          <w:tcPr>
            <w:tcW w:w="1100" w:type="dxa"/>
            <w:vAlign w:val="center"/>
          </w:tcPr>
          <w:p>
            <w:pPr>
              <w:pStyle w:val="TableNumber"/>
            </w:pPr>
            <w:r>
              <w:t>0.551</w:t>
            </w:r>
          </w:p>
        </w:tc>
        <w:tc>
          <w:tcPr>
            <w:tcW w:w="1500" w:type="dxa"/>
            <w:vAlign w:val="center"/>
          </w:tcPr>
          <w:p>
            <w:pPr>
              <w:pStyle w:val="TableNumber"/>
            </w:pPr>
            <w:r>
              <w:t>+0.01%</w:t>
            </w:r>
          </w:p>
        </w:tc>
        <w:tc>
          <w:tcPr>
            <w:tcW w:w="1650" w:type="dxa"/>
            <w:vAlign w:val="center"/>
          </w:tcPr>
          <w:p>
            <w:pPr>
              <w:pStyle w:val="TableNumber"/>
            </w:pPr>
            <w:r>
              <w:t>4.25 (1/13)</w:t>
            </w:r>
          </w:p>
        </w:tc>
        <w:tc>
          <w:tcPr>
            <w:tcW w:w="1600" w:type="dxa"/>
            <w:vAlign w:val="center"/>
          </w:tcPr>
          <w:p>
            <w:pPr>
              <w:pStyle w:val="TableNumber"/>
            </w:pPr>
            <w:r>
              <w:t>-14.2% (3/13)</w:t>
            </w:r>
          </w:p>
        </w:tc>
        <w:tc>
          <w:tcPr>
            <w:tcW w:w="960" w:type="dxa"/>
            <w:vAlign w:val="center"/>
          </w:tcPr>
          <w:p>
            <w:pPr>
              <w:pStyle w:val="TableNumber"/>
            </w:pPr>
            <w:r>
              <w:t>0.548</w:t>
            </w:r>
          </w:p>
        </w:tc>
      </w:tr>
      <w:tr>
        <w:trPr>
          <w:cantSplit/>
        </w:trPr>
        <w:tc>
          <w:tcPr>
            <w:tcW w:w="650" w:type="dxa"/>
            <w:vAlign w:val="center"/>
          </w:tcPr>
          <w:p>
            <w:pPr>
              <w:pStyle w:val="TableText"/>
            </w:pPr>
            <w:r>
              <w:t>5d</w:t>
            </w:r>
          </w:p>
        </w:tc>
        <w:tc>
          <w:tcPr>
            <w:tcW w:w="1900" w:type="dxa"/>
            <w:vAlign w:val="center"/>
          </w:tcPr>
          <w:p>
            <w:pPr>
              <w:pStyle w:val="TableNumber"/>
            </w:pPr>
            <w:r>
              <w:t>0.0879 (1/13)</w:t>
            </w:r>
          </w:p>
        </w:tc>
        <w:tc>
          <w:tcPr>
            <w:tcW w:w="1100" w:type="dxa"/>
            <w:vAlign w:val="center"/>
          </w:tcPr>
          <w:p>
            <w:pPr>
              <w:pStyle w:val="TableNumber"/>
            </w:pPr>
            <w:r>
              <w:t>0.667</w:t>
            </w:r>
          </w:p>
        </w:tc>
        <w:tc>
          <w:tcPr>
            <w:tcW w:w="1500" w:type="dxa"/>
            <w:vAlign w:val="center"/>
          </w:tcPr>
          <w:p>
            <w:pPr>
              <w:pStyle w:val="TableNumber"/>
            </w:pPr>
            <w:r>
              <w:t>+0.01%</w:t>
            </w:r>
          </w:p>
        </w:tc>
        <w:tc>
          <w:tcPr>
            <w:tcW w:w="1650" w:type="dxa"/>
            <w:vAlign w:val="center"/>
          </w:tcPr>
          <w:p>
            <w:pPr>
              <w:pStyle w:val="TableNumber"/>
            </w:pPr>
            <w:r>
              <w:t>3.76 (1/13)</w:t>
            </w:r>
          </w:p>
        </w:tc>
        <w:tc>
          <w:tcPr>
            <w:tcW w:w="1600" w:type="dxa"/>
            <w:vAlign w:val="center"/>
          </w:tcPr>
          <w:p>
            <w:pPr>
              <w:pStyle w:val="TableNumber"/>
            </w:pPr>
            <w:r>
              <w:t>-20.2% (4/13)</w:t>
            </w:r>
          </w:p>
        </w:tc>
        <w:tc>
          <w:tcPr>
            <w:tcW w:w="960" w:type="dxa"/>
            <w:vAlign w:val="center"/>
          </w:tcPr>
          <w:p>
            <w:pPr>
              <w:pStyle w:val="TableNumber"/>
            </w:pPr>
            <w:r>
              <w:t>0.525</w:t>
            </w:r>
          </w:p>
        </w:tc>
      </w:tr>
      <w:tr>
        <w:trPr>
          <w:cantSplit/>
        </w:trPr>
        <w:tc>
          <w:tcPr>
            <w:tcW w:w="650" w:type="dxa"/>
            <w:vAlign w:val="center"/>
          </w:tcPr>
          <w:p>
            <w:pPr>
              <w:pStyle w:val="TableText"/>
            </w:pPr>
            <w:r>
              <w:t>6d</w:t>
            </w:r>
          </w:p>
        </w:tc>
        <w:tc>
          <w:tcPr>
            <w:tcW w:w="1900" w:type="dxa"/>
            <w:vAlign w:val="center"/>
          </w:tcPr>
          <w:p>
            <w:pPr>
              <w:pStyle w:val="TableNumber"/>
            </w:pPr>
            <w:r>
              <w:t>0.0950 (1/13)</w:t>
            </w:r>
          </w:p>
        </w:tc>
        <w:tc>
          <w:tcPr>
            <w:tcW w:w="1100" w:type="dxa"/>
            <w:vAlign w:val="center"/>
          </w:tcPr>
          <w:p>
            <w:pPr>
              <w:pStyle w:val="TableNumber"/>
            </w:pPr>
            <w:r>
              <w:t>0.769</w:t>
            </w:r>
          </w:p>
        </w:tc>
        <w:tc>
          <w:tcPr>
            <w:tcW w:w="1500" w:type="dxa"/>
            <w:vAlign w:val="center"/>
          </w:tcPr>
          <w:p>
            <w:pPr>
              <w:pStyle w:val="TableNumber"/>
            </w:pPr>
            <w:r>
              <w:t>+0.02%</w:t>
            </w:r>
          </w:p>
        </w:tc>
        <w:tc>
          <w:tcPr>
            <w:tcW w:w="1650" w:type="dxa"/>
            <w:vAlign w:val="center"/>
          </w:tcPr>
          <w:p>
            <w:pPr>
              <w:pStyle w:val="TableNumber"/>
            </w:pPr>
            <w:r>
              <w:t>3.70 (1/13)</w:t>
            </w:r>
          </w:p>
        </w:tc>
        <w:tc>
          <w:tcPr>
            <w:tcW w:w="1600" w:type="dxa"/>
            <w:vAlign w:val="center"/>
          </w:tcPr>
          <w:p>
            <w:pPr>
              <w:pStyle w:val="TableNumber"/>
            </w:pPr>
            <w:r>
              <w:t>-27.4% (8/13)</w:t>
            </w:r>
          </w:p>
        </w:tc>
        <w:tc>
          <w:tcPr>
            <w:tcW w:w="960" w:type="dxa"/>
            <w:vAlign w:val="center"/>
          </w:tcPr>
          <w:p>
            <w:pPr>
              <w:pStyle w:val="TableNumber"/>
            </w:pPr>
            <w:r>
              <w:t>0.490</w:t>
            </w:r>
          </w:p>
        </w:tc>
      </w:tr>
      <w:tr>
        <w:trPr>
          <w:cantSplit/>
        </w:trPr>
        <w:tc>
          <w:tcPr>
            <w:tcW w:w="650" w:type="dxa"/>
            <w:vAlign w:val="center"/>
          </w:tcPr>
          <w:p>
            <w:pPr>
              <w:pStyle w:val="TableText"/>
            </w:pPr>
            <w:r>
              <w:t>7d</w:t>
            </w:r>
          </w:p>
        </w:tc>
        <w:tc>
          <w:tcPr>
            <w:tcW w:w="1900" w:type="dxa"/>
            <w:vAlign w:val="center"/>
          </w:tcPr>
          <w:p>
            <w:pPr>
              <w:pStyle w:val="TableNumber"/>
            </w:pPr>
            <w:r>
              <w:t>0.0955 (1/13)</w:t>
            </w:r>
          </w:p>
        </w:tc>
        <w:tc>
          <w:tcPr>
            <w:tcW w:w="1100" w:type="dxa"/>
            <w:vAlign w:val="center"/>
          </w:tcPr>
          <w:p>
            <w:pPr>
              <w:pStyle w:val="TableNumber"/>
            </w:pPr>
            <w:r>
              <w:t>0.821</w:t>
            </w:r>
          </w:p>
        </w:tc>
        <w:tc>
          <w:tcPr>
            <w:tcW w:w="1500" w:type="dxa"/>
            <w:vAlign w:val="center"/>
          </w:tcPr>
          <w:p>
            <w:pPr>
              <w:pStyle w:val="TableNumber"/>
            </w:pPr>
            <w:r>
              <w:t>+0.02%</w:t>
            </w:r>
          </w:p>
        </w:tc>
        <w:tc>
          <w:tcPr>
            <w:tcW w:w="1650" w:type="dxa"/>
            <w:vAlign w:val="center"/>
          </w:tcPr>
          <w:p>
            <w:pPr>
              <w:pStyle w:val="TableNumber"/>
            </w:pPr>
            <w:r>
              <w:t>3.48 (1/13)</w:t>
            </w:r>
          </w:p>
        </w:tc>
        <w:tc>
          <w:tcPr>
            <w:tcW w:w="1600" w:type="dxa"/>
            <w:vAlign w:val="center"/>
          </w:tcPr>
          <w:p>
            <w:pPr>
              <w:pStyle w:val="TableNumber"/>
            </w:pPr>
            <w:r>
              <w:t>-33.0% (7/13)</w:t>
            </w:r>
          </w:p>
        </w:tc>
        <w:tc>
          <w:tcPr>
            <w:tcW w:w="960" w:type="dxa"/>
            <w:vAlign w:val="center"/>
          </w:tcPr>
          <w:p>
            <w:pPr>
              <w:pStyle w:val="TableNumber"/>
            </w:pPr>
            <w:r>
              <w:t>0.475</w:t>
            </w:r>
          </w:p>
        </w:tc>
      </w:tr>
      <w:tr>
        <w:trPr>
          <w:cantSplit/>
        </w:trPr>
        <w:tc>
          <w:tcPr>
            <w:tcW w:w="650" w:type="dxa"/>
            <w:vAlign w:val="center"/>
          </w:tcPr>
          <w:p>
            <w:pPr>
              <w:pStyle w:val="TableText"/>
            </w:pPr>
            <w:r>
              <w:t>8d</w:t>
            </w:r>
          </w:p>
        </w:tc>
        <w:tc>
          <w:tcPr>
            <w:tcW w:w="1900" w:type="dxa"/>
            <w:vAlign w:val="center"/>
          </w:tcPr>
          <w:p>
            <w:pPr>
              <w:pStyle w:val="TableNumber"/>
            </w:pPr>
            <w:r>
              <w:t>0.0992 (1/13)</w:t>
            </w:r>
          </w:p>
        </w:tc>
        <w:tc>
          <w:tcPr>
            <w:tcW w:w="1100" w:type="dxa"/>
            <w:vAlign w:val="center"/>
          </w:tcPr>
          <w:p>
            <w:pPr>
              <w:pStyle w:val="TableNumber"/>
            </w:pPr>
            <w:r>
              <w:t>0.916</w:t>
            </w:r>
          </w:p>
        </w:tc>
        <w:tc>
          <w:tcPr>
            <w:tcW w:w="1500" w:type="dxa"/>
            <w:vAlign w:val="center"/>
          </w:tcPr>
          <w:p>
            <w:pPr>
              <w:pStyle w:val="TableNumber"/>
            </w:pPr>
            <w:r>
              <w:t>+0.02%</w:t>
            </w:r>
          </w:p>
        </w:tc>
        <w:tc>
          <w:tcPr>
            <w:tcW w:w="1650" w:type="dxa"/>
            <w:vAlign w:val="center"/>
          </w:tcPr>
          <w:p>
            <w:pPr>
              <w:pStyle w:val="TableNumber"/>
            </w:pPr>
            <w:r>
              <w:t>3.17 (2/13)</w:t>
            </w:r>
          </w:p>
        </w:tc>
        <w:tc>
          <w:tcPr>
            <w:tcW w:w="1600" w:type="dxa"/>
            <w:vAlign w:val="center"/>
          </w:tcPr>
          <w:p>
            <w:pPr>
              <w:pStyle w:val="TableNumber"/>
            </w:pPr>
            <w:r>
              <w:t>-35.3% (9/13)</w:t>
            </w:r>
          </w:p>
        </w:tc>
        <w:tc>
          <w:tcPr>
            <w:tcW w:w="960" w:type="dxa"/>
            <w:vAlign w:val="center"/>
          </w:tcPr>
          <w:p>
            <w:pPr>
              <w:pStyle w:val="TableNumber"/>
            </w:pPr>
            <w:r>
              <w:t>0.482</w:t>
            </w:r>
          </w:p>
        </w:tc>
      </w:tr>
      <w:tr>
        <w:trPr>
          <w:cantSplit/>
        </w:trPr>
        <w:tc>
          <w:tcPr>
            <w:tcW w:w="650" w:type="dxa"/>
            <w:vAlign w:val="center"/>
          </w:tcPr>
          <w:p>
            <w:pPr>
              <w:pStyle w:val="TableText"/>
            </w:pPr>
            <w:r>
              <w:t>9d</w:t>
            </w:r>
          </w:p>
        </w:tc>
        <w:tc>
          <w:tcPr>
            <w:tcW w:w="1900" w:type="dxa"/>
            <w:vAlign w:val="center"/>
          </w:tcPr>
          <w:p>
            <w:pPr>
              <w:pStyle w:val="TableNumber"/>
            </w:pPr>
            <w:r>
              <w:t>0.1013 (1/13)</w:t>
            </w:r>
          </w:p>
        </w:tc>
        <w:tc>
          <w:tcPr>
            <w:tcW w:w="1100" w:type="dxa"/>
            <w:vAlign w:val="center"/>
          </w:tcPr>
          <w:p>
            <w:pPr>
              <w:pStyle w:val="TableNumber"/>
            </w:pPr>
            <w:r>
              <w:t>1.018</w:t>
            </w:r>
          </w:p>
        </w:tc>
        <w:tc>
          <w:tcPr>
            <w:tcW w:w="1500" w:type="dxa"/>
            <w:vAlign w:val="center"/>
          </w:tcPr>
          <w:p>
            <w:pPr>
              <w:pStyle w:val="TableNumber"/>
            </w:pPr>
            <w:r>
              <w:t>+0.02%</w:t>
            </w:r>
          </w:p>
        </w:tc>
        <w:tc>
          <w:tcPr>
            <w:tcW w:w="1650" w:type="dxa"/>
            <w:vAlign w:val="center"/>
          </w:tcPr>
          <w:p>
            <w:pPr>
              <w:pStyle w:val="TableNumber"/>
            </w:pPr>
            <w:r>
              <w:t>3.29 (2/13)</w:t>
            </w:r>
          </w:p>
        </w:tc>
        <w:tc>
          <w:tcPr>
            <w:tcW w:w="1600" w:type="dxa"/>
            <w:vAlign w:val="center"/>
          </w:tcPr>
          <w:p>
            <w:pPr>
              <w:pStyle w:val="TableNumber"/>
            </w:pPr>
            <w:r>
              <w:t>-33.1% (9/13)</w:t>
            </w:r>
          </w:p>
        </w:tc>
        <w:tc>
          <w:tcPr>
            <w:tcW w:w="960" w:type="dxa"/>
            <w:vAlign w:val="center"/>
          </w:tcPr>
          <w:p>
            <w:pPr>
              <w:pStyle w:val="TableNumber"/>
            </w:pPr>
            <w:r>
              <w:t>0.477</w:t>
            </w:r>
          </w:p>
        </w:tc>
      </w:tr>
      <w:tr>
        <w:trPr>
          <w:cantSplit/>
        </w:trPr>
        <w:tc>
          <w:tcPr>
            <w:tcW w:w="650" w:type="dxa"/>
            <w:vAlign w:val="center"/>
          </w:tcPr>
          <w:p>
            <w:pPr>
              <w:pStyle w:val="TableText"/>
            </w:pPr>
            <w:r>
              <w:t>10d</w:t>
            </w:r>
          </w:p>
        </w:tc>
        <w:tc>
          <w:tcPr>
            <w:tcW w:w="1900" w:type="dxa"/>
            <w:vAlign w:val="center"/>
          </w:tcPr>
          <w:p>
            <w:pPr>
              <w:pStyle w:val="TableNumber"/>
            </w:pPr>
            <w:r>
              <w:t>0.1005 (2/13)</w:t>
            </w:r>
          </w:p>
        </w:tc>
        <w:tc>
          <w:tcPr>
            <w:tcW w:w="1100" w:type="dxa"/>
            <w:vAlign w:val="center"/>
          </w:tcPr>
          <w:p>
            <w:pPr>
              <w:pStyle w:val="TableNumber"/>
            </w:pPr>
            <w:r>
              <w:t>0.983</w:t>
            </w:r>
          </w:p>
        </w:tc>
        <w:tc>
          <w:tcPr>
            <w:tcW w:w="1500" w:type="dxa"/>
            <w:vAlign w:val="center"/>
          </w:tcPr>
          <w:p>
            <w:pPr>
              <w:pStyle w:val="TableNumber"/>
            </w:pPr>
            <w:r>
              <w:t>+0.02%</w:t>
            </w:r>
          </w:p>
        </w:tc>
        <w:tc>
          <w:tcPr>
            <w:tcW w:w="1650" w:type="dxa"/>
            <w:vAlign w:val="center"/>
          </w:tcPr>
          <w:p>
            <w:pPr>
              <w:pStyle w:val="TableNumber"/>
            </w:pPr>
            <w:r>
              <w:t>3.41 (2/13)</w:t>
            </w:r>
          </w:p>
        </w:tc>
        <w:tc>
          <w:tcPr>
            <w:tcW w:w="1600" w:type="dxa"/>
            <w:vAlign w:val="center"/>
          </w:tcPr>
          <w:p>
            <w:pPr>
              <w:pStyle w:val="TableNumber"/>
            </w:pPr>
            <w:r>
              <w:t>-32.1% (7/13)</w:t>
            </w:r>
          </w:p>
        </w:tc>
        <w:tc>
          <w:tcPr>
            <w:tcW w:w="960" w:type="dxa"/>
            <w:vAlign w:val="center"/>
          </w:tcPr>
          <w:p>
            <w:pPr>
              <w:pStyle w:val="TableNumber"/>
            </w:pPr>
            <w:r>
              <w:t>0.467</w:t>
            </w:r>
          </w:p>
        </w:tc>
      </w:tr>
      <w:tr>
        <w:trPr>
          <w:cantSplit/>
        </w:trPr>
        <w:tc>
          <w:tcPr>
            <w:tcW w:w="650" w:type="dxa"/>
            <w:vAlign w:val="center"/>
          </w:tcPr>
          <w:p>
            <w:pPr>
              <w:pStyle w:val="TableText"/>
            </w:pPr>
            <w:r>
              <w:t>11d</w:t>
            </w:r>
          </w:p>
        </w:tc>
        <w:tc>
          <w:tcPr>
            <w:tcW w:w="1900" w:type="dxa"/>
            <w:vAlign w:val="center"/>
          </w:tcPr>
          <w:p>
            <w:pPr>
              <w:pStyle w:val="TableNumber"/>
            </w:pPr>
            <w:r>
              <w:t>0.0914 (2/13)</w:t>
            </w:r>
          </w:p>
        </w:tc>
        <w:tc>
          <w:tcPr>
            <w:tcW w:w="1100" w:type="dxa"/>
            <w:vAlign w:val="center"/>
          </w:tcPr>
          <w:p>
            <w:pPr>
              <w:pStyle w:val="TableNumber"/>
            </w:pPr>
            <w:r>
              <w:t>0.839</w:t>
            </w:r>
          </w:p>
        </w:tc>
        <w:tc>
          <w:tcPr>
            <w:tcW w:w="1500" w:type="dxa"/>
            <w:vAlign w:val="center"/>
          </w:tcPr>
          <w:p>
            <w:pPr>
              <w:pStyle w:val="TableNumber"/>
            </w:pPr>
            <w:r>
              <w:t>+0.02%</w:t>
            </w:r>
          </w:p>
        </w:tc>
        <w:tc>
          <w:tcPr>
            <w:tcW w:w="1650" w:type="dxa"/>
            <w:vAlign w:val="center"/>
          </w:tcPr>
          <w:p>
            <w:pPr>
              <w:pStyle w:val="TableNumber"/>
            </w:pPr>
            <w:r>
              <w:t>3.16 (1/13)</w:t>
            </w:r>
          </w:p>
        </w:tc>
        <w:tc>
          <w:tcPr>
            <w:tcW w:w="1600" w:type="dxa"/>
            <w:vAlign w:val="center"/>
          </w:tcPr>
          <w:p>
            <w:pPr>
              <w:pStyle w:val="TableNumber"/>
            </w:pPr>
            <w:r>
              <w:t>-32.9% (6/13)</w:t>
            </w:r>
          </w:p>
        </w:tc>
        <w:tc>
          <w:tcPr>
            <w:tcW w:w="960" w:type="dxa"/>
            <w:vAlign w:val="center"/>
          </w:tcPr>
          <w:p>
            <w:pPr>
              <w:pStyle w:val="TableNumber"/>
            </w:pPr>
            <w:r>
              <w:t>0.470</w:t>
            </w:r>
          </w:p>
        </w:tc>
      </w:tr>
      <w:tr>
        <w:trPr>
          <w:cantSplit/>
        </w:trPr>
        <w:tc>
          <w:tcPr>
            <w:tcW w:w="650" w:type="dxa"/>
            <w:vAlign w:val="center"/>
          </w:tcPr>
          <w:p>
            <w:pPr>
              <w:pStyle w:val="TableText"/>
            </w:pPr>
            <w:r>
              <w:t>12d</w:t>
            </w:r>
          </w:p>
        </w:tc>
        <w:tc>
          <w:tcPr>
            <w:tcW w:w="1900" w:type="dxa"/>
            <w:vAlign w:val="center"/>
          </w:tcPr>
          <w:p>
            <w:pPr>
              <w:pStyle w:val="TableNumber"/>
            </w:pPr>
            <w:r>
              <w:t>0.0894 (2/13)</w:t>
            </w:r>
          </w:p>
        </w:tc>
        <w:tc>
          <w:tcPr>
            <w:tcW w:w="1100" w:type="dxa"/>
            <w:vAlign w:val="center"/>
          </w:tcPr>
          <w:p>
            <w:pPr>
              <w:pStyle w:val="TableNumber"/>
            </w:pPr>
            <w:r>
              <w:t>0.809</w:t>
            </w:r>
          </w:p>
        </w:tc>
        <w:tc>
          <w:tcPr>
            <w:tcW w:w="1500" w:type="dxa"/>
            <w:vAlign w:val="center"/>
          </w:tcPr>
          <w:p>
            <w:pPr>
              <w:pStyle w:val="TableNumber"/>
            </w:pPr>
            <w:r>
              <w:t>+0.02%</w:t>
            </w:r>
          </w:p>
        </w:tc>
        <w:tc>
          <w:tcPr>
            <w:tcW w:w="1650" w:type="dxa"/>
            <w:vAlign w:val="center"/>
          </w:tcPr>
          <w:p>
            <w:pPr>
              <w:pStyle w:val="TableNumber"/>
            </w:pPr>
            <w:r>
              <w:t>3.00 (2/13)</w:t>
            </w:r>
          </w:p>
        </w:tc>
        <w:tc>
          <w:tcPr>
            <w:tcW w:w="1600" w:type="dxa"/>
            <w:vAlign w:val="center"/>
          </w:tcPr>
          <w:p>
            <w:pPr>
              <w:pStyle w:val="TableNumber"/>
            </w:pPr>
            <w:r>
              <w:t>-32.8% (4/13)</w:t>
            </w:r>
          </w:p>
        </w:tc>
        <w:tc>
          <w:tcPr>
            <w:tcW w:w="960" w:type="dxa"/>
            <w:vAlign w:val="center"/>
          </w:tcPr>
          <w:p>
            <w:pPr>
              <w:pStyle w:val="TableNumber"/>
            </w:pPr>
            <w:r>
              <w:t>0.452</w:t>
            </w:r>
          </w:p>
        </w:tc>
      </w:tr>
      <w:tr>
        <w:trPr>
          <w:cantSplit/>
        </w:trPr>
        <w:tc>
          <w:tcPr>
            <w:tcW w:w="650" w:type="dxa"/>
            <w:vAlign w:val="center"/>
          </w:tcPr>
          <w:p>
            <w:pPr>
              <w:pStyle w:val="TableText"/>
            </w:pPr>
            <w:r>
              <w:t>13d</w:t>
            </w:r>
          </w:p>
        </w:tc>
        <w:tc>
          <w:tcPr>
            <w:tcW w:w="1900" w:type="dxa"/>
            <w:vAlign w:val="center"/>
          </w:tcPr>
          <w:p>
            <w:pPr>
              <w:pStyle w:val="TableNumber"/>
            </w:pPr>
            <w:r>
              <w:t>0.0881 (3/13)</w:t>
            </w:r>
          </w:p>
        </w:tc>
        <w:tc>
          <w:tcPr>
            <w:tcW w:w="1100" w:type="dxa"/>
            <w:vAlign w:val="center"/>
          </w:tcPr>
          <w:p>
            <w:pPr>
              <w:pStyle w:val="TableNumber"/>
            </w:pPr>
            <w:r>
              <w:t>0.807</w:t>
            </w:r>
          </w:p>
        </w:tc>
        <w:tc>
          <w:tcPr>
            <w:tcW w:w="1500" w:type="dxa"/>
            <w:vAlign w:val="center"/>
          </w:tcPr>
          <w:p>
            <w:pPr>
              <w:pStyle w:val="TableNumber"/>
            </w:pPr>
            <w:r>
              <w:t>+0.03%</w:t>
            </w:r>
          </w:p>
        </w:tc>
        <w:tc>
          <w:tcPr>
            <w:tcW w:w="1650" w:type="dxa"/>
            <w:vAlign w:val="center"/>
          </w:tcPr>
          <w:p>
            <w:pPr>
              <w:pStyle w:val="TableNumber"/>
            </w:pPr>
            <w:r>
              <w:t>2.85 (1/13)</w:t>
            </w:r>
          </w:p>
        </w:tc>
        <w:tc>
          <w:tcPr>
            <w:tcW w:w="1600" w:type="dxa"/>
            <w:vAlign w:val="center"/>
          </w:tcPr>
          <w:p>
            <w:pPr>
              <w:pStyle w:val="TableNumber"/>
            </w:pPr>
            <w:r>
              <w:t>-32.0% (4/13)</w:t>
            </w:r>
          </w:p>
        </w:tc>
        <w:tc>
          <w:tcPr>
            <w:tcW w:w="960" w:type="dxa"/>
            <w:vAlign w:val="center"/>
          </w:tcPr>
          <w:p>
            <w:pPr>
              <w:pStyle w:val="TableNumber"/>
            </w:pPr>
            <w:r>
              <w:t>0.455</w:t>
            </w:r>
          </w:p>
        </w:tc>
      </w:tr>
      <w:tr>
        <w:trPr>
          <w:cantSplit/>
        </w:trPr>
        <w:tc>
          <w:tcPr>
            <w:tcW w:w="650" w:type="dxa"/>
            <w:vAlign w:val="center"/>
          </w:tcPr>
          <w:p>
            <w:pPr>
              <w:pStyle w:val="TableText"/>
            </w:pPr>
            <w:r>
              <w:t>14d</w:t>
            </w:r>
          </w:p>
        </w:tc>
        <w:tc>
          <w:tcPr>
            <w:tcW w:w="1900" w:type="dxa"/>
            <w:vAlign w:val="center"/>
          </w:tcPr>
          <w:p>
            <w:pPr>
              <w:pStyle w:val="TableNumber"/>
            </w:pPr>
            <w:r>
              <w:t>0.0872 (4/13)</w:t>
            </w:r>
          </w:p>
        </w:tc>
        <w:tc>
          <w:tcPr>
            <w:tcW w:w="1100" w:type="dxa"/>
            <w:vAlign w:val="center"/>
          </w:tcPr>
          <w:p>
            <w:pPr>
              <w:pStyle w:val="TableNumber"/>
            </w:pPr>
            <w:r>
              <w:t>0.843</w:t>
            </w:r>
          </w:p>
        </w:tc>
        <w:tc>
          <w:tcPr>
            <w:tcW w:w="1500" w:type="dxa"/>
            <w:vAlign w:val="center"/>
          </w:tcPr>
          <w:p>
            <w:pPr>
              <w:pStyle w:val="TableNumber"/>
            </w:pPr>
            <w:r>
              <w:t>+0.03%</w:t>
            </w:r>
          </w:p>
        </w:tc>
        <w:tc>
          <w:tcPr>
            <w:tcW w:w="1650" w:type="dxa"/>
            <w:vAlign w:val="center"/>
          </w:tcPr>
          <w:p>
            <w:pPr>
              <w:pStyle w:val="TableNumber"/>
            </w:pPr>
            <w:r>
              <w:t>2.70 (2/13)</w:t>
            </w:r>
          </w:p>
        </w:tc>
        <w:tc>
          <w:tcPr>
            <w:tcW w:w="1600" w:type="dxa"/>
            <w:vAlign w:val="center"/>
          </w:tcPr>
          <w:p>
            <w:pPr>
              <w:pStyle w:val="TableNumber"/>
            </w:pPr>
            <w:r>
              <w:t>-32.2% (4/13)</w:t>
            </w:r>
          </w:p>
        </w:tc>
        <w:tc>
          <w:tcPr>
            <w:tcW w:w="960" w:type="dxa"/>
            <w:vAlign w:val="center"/>
          </w:tcPr>
          <w:p>
            <w:pPr>
              <w:pStyle w:val="TableNumber"/>
            </w:pPr>
            <w:r>
              <w:t>0.454</w:t>
            </w:r>
          </w:p>
        </w:tc>
      </w:tr>
    </w:tbl>
    <w:p>
      <w:pPr>
        <w:pStyle w:val="a"/>
      </w:pPr>
      <w:r>
        <w:t>RankIC 與成本後 Sharpe 在 14 個 horizon 全為正；RankIC 有 5 個 horizon 排名第一，成本後 Sharpe 有 9 個 horizon 排名第一。最大回撤介於 -4.7% 與 -35.3%，最差出現在 8d。本輪 test 的橫斷面排序能力與分布誤差排名一致，但資金路徑仍需考慮重疊報酬與未完整建模的交易成本。</w:t>
      </w:r>
    </w:p>
    <w:p>
      <w:pPr>
        <w:pStyle w:val="Note"/>
      </w:pPr>
      <w:r>
        <w:t>不同 horizon 的 forward return 可能重疊；Sharpe 的 sqrt(252/h) 年化沒有校正重疊造成的自相關，也沒有完整市場衝擊、借券、容量、滑價與稅費。</w:t>
      </w:r>
    </w:p>
    <w:p>
      <w:pPr>
        <w:pStyle w:val="11"/>
      </w:pPr>
      <w:r>
        <w:t>7. 一至十四日衍生訊號分布</w:t>
      </w:r>
    </w:p>
    <w:p>
      <w:pPr>
        <w:pStyle w:val="Decision"/>
        <w:keepNext/>
        <w:spacing w:after="80"/>
      </w:pPr>
      <w:r>
        <w:t>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空／多</w:t>
            </w:r>
          </w:p>
        </w:tc>
      </w:tr>
      <w:tr>
        <w:trPr>
          <w:cantSplit/>
        </w:trPr>
        <w:tc>
          <w:tcPr>
            <w:tcW w:w="900" w:type="dxa"/>
            <w:vAlign w:val="center"/>
          </w:tcPr>
          <w:p>
            <w:pPr>
              <w:pStyle w:val="TableText"/>
            </w:pPr>
            <w:r>
              <w:t>1d</w:t>
            </w:r>
          </w:p>
        </w:tc>
        <w:tc>
          <w:tcPr>
            <w:tcW w:w="1800" w:type="dxa"/>
            <w:vAlign w:val="center"/>
          </w:tcPr>
          <w:p>
            <w:pPr>
              <w:pStyle w:val="TableNumber"/>
            </w:pPr>
            <w:r>
              <w:t>64.84%</w:t>
            </w:r>
          </w:p>
        </w:tc>
        <w:tc>
          <w:tcPr>
            <w:tcW w:w="1800" w:type="dxa"/>
            <w:vAlign w:val="center"/>
          </w:tcPr>
          <w:p>
            <w:pPr>
              <w:pStyle w:val="TableNumber"/>
            </w:pPr>
            <w:r>
              <w:t>0.00%</w:t>
            </w:r>
          </w:p>
        </w:tc>
        <w:tc>
          <w:tcPr>
            <w:tcW w:w="1800" w:type="dxa"/>
            <w:vAlign w:val="center"/>
          </w:tcPr>
          <w:p>
            <w:pPr>
              <w:pStyle w:val="TableNumber"/>
            </w:pPr>
            <w:r>
              <w:t>35.15%</w:t>
            </w:r>
          </w:p>
        </w:tc>
        <w:tc>
          <w:tcPr>
            <w:tcW w:w="3060" w:type="dxa"/>
            <w:vAlign w:val="center"/>
          </w:tcPr>
          <w:p>
            <w:pPr>
              <w:pStyle w:val="TableNumber"/>
            </w:pPr>
            <w:r>
              <w:t>2/0</w:t>
            </w:r>
          </w:p>
        </w:tc>
      </w:tr>
      <w:tr>
        <w:trPr>
          <w:cantSplit/>
        </w:trPr>
        <w:tc>
          <w:tcPr>
            <w:tcW w:w="900" w:type="dxa"/>
            <w:vAlign w:val="center"/>
          </w:tcPr>
          <w:p>
            <w:pPr>
              <w:pStyle w:val="TableText"/>
            </w:pPr>
            <w:r>
              <w:t>2d</w:t>
            </w:r>
          </w:p>
        </w:tc>
        <w:tc>
          <w:tcPr>
            <w:tcW w:w="1800" w:type="dxa"/>
            <w:vAlign w:val="center"/>
          </w:tcPr>
          <w:p>
            <w:pPr>
              <w:pStyle w:val="TableNumber"/>
            </w:pPr>
            <w:r>
              <w:t>69.78%</w:t>
            </w:r>
          </w:p>
        </w:tc>
        <w:tc>
          <w:tcPr>
            <w:tcW w:w="1800" w:type="dxa"/>
            <w:vAlign w:val="center"/>
          </w:tcPr>
          <w:p>
            <w:pPr>
              <w:pStyle w:val="TableNumber"/>
            </w:pPr>
            <w:r>
              <w:t>0.00%</w:t>
            </w:r>
          </w:p>
        </w:tc>
        <w:tc>
          <w:tcPr>
            <w:tcW w:w="1800" w:type="dxa"/>
            <w:vAlign w:val="center"/>
          </w:tcPr>
          <w:p>
            <w:pPr>
              <w:pStyle w:val="TableNumber"/>
            </w:pPr>
            <w:r>
              <w:t>30.11%</w:t>
            </w:r>
          </w:p>
        </w:tc>
        <w:tc>
          <w:tcPr>
            <w:tcW w:w="3060" w:type="dxa"/>
            <w:vAlign w:val="center"/>
          </w:tcPr>
          <w:p>
            <w:pPr>
              <w:pStyle w:val="TableNumber"/>
            </w:pPr>
            <w:r>
              <w:t>21/0</w:t>
            </w:r>
          </w:p>
        </w:tc>
      </w:tr>
      <w:tr>
        <w:trPr>
          <w:cantSplit/>
        </w:trPr>
        <w:tc>
          <w:tcPr>
            <w:tcW w:w="900" w:type="dxa"/>
            <w:vAlign w:val="center"/>
          </w:tcPr>
          <w:p>
            <w:pPr>
              <w:pStyle w:val="TableText"/>
            </w:pPr>
            <w:r>
              <w:t>3d</w:t>
            </w:r>
          </w:p>
        </w:tc>
        <w:tc>
          <w:tcPr>
            <w:tcW w:w="1800" w:type="dxa"/>
            <w:vAlign w:val="center"/>
          </w:tcPr>
          <w:p>
            <w:pPr>
              <w:pStyle w:val="TableNumber"/>
            </w:pPr>
            <w:r>
              <w:t>80.50%</w:t>
            </w:r>
          </w:p>
        </w:tc>
        <w:tc>
          <w:tcPr>
            <w:tcW w:w="1800" w:type="dxa"/>
            <w:vAlign w:val="center"/>
          </w:tcPr>
          <w:p>
            <w:pPr>
              <w:pStyle w:val="TableNumber"/>
            </w:pPr>
            <w:r>
              <w:t>0.00%</w:t>
            </w:r>
          </w:p>
        </w:tc>
        <w:tc>
          <w:tcPr>
            <w:tcW w:w="1800" w:type="dxa"/>
            <w:vAlign w:val="center"/>
          </w:tcPr>
          <w:p>
            <w:pPr>
              <w:pStyle w:val="TableNumber"/>
            </w:pPr>
            <w:r>
              <w:t>18.68%</w:t>
            </w:r>
          </w:p>
        </w:tc>
        <w:tc>
          <w:tcPr>
            <w:tcW w:w="3060" w:type="dxa"/>
            <w:vAlign w:val="center"/>
          </w:tcPr>
          <w:p>
            <w:pPr>
              <w:pStyle w:val="TableNumber"/>
            </w:pPr>
            <w:r>
              <w:t>166/0</w:t>
            </w:r>
          </w:p>
        </w:tc>
      </w:tr>
      <w:tr>
        <w:trPr>
          <w:cantSplit/>
        </w:trPr>
        <w:tc>
          <w:tcPr>
            <w:tcW w:w="900" w:type="dxa"/>
            <w:vAlign w:val="center"/>
          </w:tcPr>
          <w:p>
            <w:pPr>
              <w:pStyle w:val="TableText"/>
            </w:pPr>
            <w:r>
              <w:t>4d</w:t>
            </w:r>
          </w:p>
        </w:tc>
        <w:tc>
          <w:tcPr>
            <w:tcW w:w="1800" w:type="dxa"/>
            <w:vAlign w:val="center"/>
          </w:tcPr>
          <w:p>
            <w:pPr>
              <w:pStyle w:val="TableNumber"/>
            </w:pPr>
            <w:r>
              <w:t>81.88%</w:t>
            </w:r>
          </w:p>
        </w:tc>
        <w:tc>
          <w:tcPr>
            <w:tcW w:w="1800" w:type="dxa"/>
            <w:vAlign w:val="center"/>
          </w:tcPr>
          <w:p>
            <w:pPr>
              <w:pStyle w:val="TableNumber"/>
            </w:pPr>
            <w:r>
              <w:t>0.00%</w:t>
            </w:r>
          </w:p>
        </w:tc>
        <w:tc>
          <w:tcPr>
            <w:tcW w:w="1800" w:type="dxa"/>
            <w:vAlign w:val="center"/>
          </w:tcPr>
          <w:p>
            <w:pPr>
              <w:pStyle w:val="TableNumber"/>
            </w:pPr>
            <w:r>
              <w:t>16.57%</w:t>
            </w:r>
          </w:p>
        </w:tc>
        <w:tc>
          <w:tcPr>
            <w:tcW w:w="3060" w:type="dxa"/>
            <w:vAlign w:val="center"/>
          </w:tcPr>
          <w:p>
            <w:pPr>
              <w:pStyle w:val="TableNumber"/>
            </w:pPr>
            <w:r>
              <w:t>308/0</w:t>
            </w:r>
          </w:p>
        </w:tc>
      </w:tr>
      <w:tr>
        <w:trPr>
          <w:cantSplit/>
        </w:trPr>
        <w:tc>
          <w:tcPr>
            <w:tcW w:w="900" w:type="dxa"/>
            <w:vAlign w:val="center"/>
          </w:tcPr>
          <w:p>
            <w:pPr>
              <w:pStyle w:val="TableText"/>
            </w:pPr>
            <w:r>
              <w:t>5d</w:t>
            </w:r>
          </w:p>
        </w:tc>
        <w:tc>
          <w:tcPr>
            <w:tcW w:w="1800" w:type="dxa"/>
            <w:vAlign w:val="center"/>
          </w:tcPr>
          <w:p>
            <w:pPr>
              <w:pStyle w:val="TableNumber"/>
            </w:pPr>
            <w:r>
              <w:t>86.37%</w:t>
            </w:r>
          </w:p>
        </w:tc>
        <w:tc>
          <w:tcPr>
            <w:tcW w:w="1800" w:type="dxa"/>
            <w:vAlign w:val="center"/>
          </w:tcPr>
          <w:p>
            <w:pPr>
              <w:pStyle w:val="TableNumber"/>
            </w:pPr>
            <w:r>
              <w:t>0.00%</w:t>
            </w:r>
          </w:p>
        </w:tc>
        <w:tc>
          <w:tcPr>
            <w:tcW w:w="1800" w:type="dxa"/>
            <w:vAlign w:val="center"/>
          </w:tcPr>
          <w:p>
            <w:pPr>
              <w:pStyle w:val="TableNumber"/>
            </w:pPr>
            <w:r>
              <w:t>11.63%</w:t>
            </w:r>
          </w:p>
        </w:tc>
        <w:tc>
          <w:tcPr>
            <w:tcW w:w="3060" w:type="dxa"/>
            <w:vAlign w:val="center"/>
          </w:tcPr>
          <w:p>
            <w:pPr>
              <w:pStyle w:val="TableNumber"/>
            </w:pPr>
            <w:r>
              <w:t>400/0</w:t>
            </w:r>
          </w:p>
        </w:tc>
      </w:tr>
      <w:tr>
        <w:trPr>
          <w:cantSplit/>
        </w:trPr>
        <w:tc>
          <w:tcPr>
            <w:tcW w:w="900" w:type="dxa"/>
            <w:vAlign w:val="center"/>
          </w:tcPr>
          <w:p>
            <w:pPr>
              <w:pStyle w:val="TableText"/>
            </w:pPr>
            <w:r>
              <w:t>6d</w:t>
            </w:r>
          </w:p>
        </w:tc>
        <w:tc>
          <w:tcPr>
            <w:tcW w:w="1800" w:type="dxa"/>
            <w:vAlign w:val="center"/>
          </w:tcPr>
          <w:p>
            <w:pPr>
              <w:pStyle w:val="TableNumber"/>
            </w:pPr>
            <w:r>
              <w:t>87.74%</w:t>
            </w:r>
          </w:p>
        </w:tc>
        <w:tc>
          <w:tcPr>
            <w:tcW w:w="1800" w:type="dxa"/>
            <w:vAlign w:val="center"/>
          </w:tcPr>
          <w:p>
            <w:pPr>
              <w:pStyle w:val="TableNumber"/>
            </w:pPr>
            <w:r>
              <w:t>0.00%</w:t>
            </w:r>
          </w:p>
        </w:tc>
        <w:tc>
          <w:tcPr>
            <w:tcW w:w="1800" w:type="dxa"/>
            <w:vAlign w:val="center"/>
          </w:tcPr>
          <w:p>
            <w:pPr>
              <w:pStyle w:val="TableNumber"/>
            </w:pPr>
            <w:r>
              <w:t>10.15%</w:t>
            </w:r>
          </w:p>
        </w:tc>
        <w:tc>
          <w:tcPr>
            <w:tcW w:w="3060" w:type="dxa"/>
            <w:vAlign w:val="center"/>
          </w:tcPr>
          <w:p>
            <w:pPr>
              <w:pStyle w:val="TableNumber"/>
            </w:pPr>
            <w:r>
              <w:t>406/15</w:t>
            </w:r>
          </w:p>
        </w:tc>
      </w:tr>
      <w:tr>
        <w:trPr>
          <w:cantSplit/>
        </w:trPr>
        <w:tc>
          <w:tcPr>
            <w:tcW w:w="900" w:type="dxa"/>
            <w:vAlign w:val="center"/>
          </w:tcPr>
          <w:p>
            <w:pPr>
              <w:pStyle w:val="TableText"/>
            </w:pPr>
            <w:r>
              <w:t>7d</w:t>
            </w:r>
          </w:p>
        </w:tc>
        <w:tc>
          <w:tcPr>
            <w:tcW w:w="1800" w:type="dxa"/>
            <w:vAlign w:val="center"/>
          </w:tcPr>
          <w:p>
            <w:pPr>
              <w:pStyle w:val="TableNumber"/>
            </w:pPr>
            <w:r>
              <w:t>86.53%</w:t>
            </w:r>
          </w:p>
        </w:tc>
        <w:tc>
          <w:tcPr>
            <w:tcW w:w="1800" w:type="dxa"/>
            <w:vAlign w:val="center"/>
          </w:tcPr>
          <w:p>
            <w:pPr>
              <w:pStyle w:val="TableNumber"/>
            </w:pPr>
            <w:r>
              <w:t>0.00%</w:t>
            </w:r>
          </w:p>
        </w:tc>
        <w:tc>
          <w:tcPr>
            <w:tcW w:w="1800" w:type="dxa"/>
            <w:vAlign w:val="center"/>
          </w:tcPr>
          <w:p>
            <w:pPr>
              <w:pStyle w:val="TableNumber"/>
            </w:pPr>
            <w:r>
              <w:t>11.27%</w:t>
            </w:r>
          </w:p>
        </w:tc>
        <w:tc>
          <w:tcPr>
            <w:tcW w:w="3060" w:type="dxa"/>
            <w:vAlign w:val="center"/>
          </w:tcPr>
          <w:p>
            <w:pPr>
              <w:pStyle w:val="TableNumber"/>
            </w:pPr>
            <w:r>
              <w:t>426/14</w:t>
            </w:r>
          </w:p>
        </w:tc>
      </w:tr>
      <w:tr>
        <w:trPr>
          <w:cantSplit/>
        </w:trPr>
        <w:tc>
          <w:tcPr>
            <w:tcW w:w="900" w:type="dxa"/>
            <w:vAlign w:val="center"/>
          </w:tcPr>
          <w:p>
            <w:pPr>
              <w:pStyle w:val="TableText"/>
            </w:pPr>
            <w:r>
              <w:t>8d</w:t>
            </w:r>
          </w:p>
        </w:tc>
        <w:tc>
          <w:tcPr>
            <w:tcW w:w="1800" w:type="dxa"/>
            <w:vAlign w:val="center"/>
          </w:tcPr>
          <w:p>
            <w:pPr>
              <w:pStyle w:val="TableNumber"/>
            </w:pPr>
            <w:r>
              <w:t>87.02%</w:t>
            </w:r>
          </w:p>
        </w:tc>
        <w:tc>
          <w:tcPr>
            <w:tcW w:w="1800" w:type="dxa"/>
            <w:vAlign w:val="center"/>
          </w:tcPr>
          <w:p>
            <w:pPr>
              <w:pStyle w:val="TableNumber"/>
            </w:pPr>
            <w:r>
              <w:t>0.00%</w:t>
            </w:r>
          </w:p>
        </w:tc>
        <w:tc>
          <w:tcPr>
            <w:tcW w:w="1800" w:type="dxa"/>
            <w:vAlign w:val="center"/>
          </w:tcPr>
          <w:p>
            <w:pPr>
              <w:pStyle w:val="TableNumber"/>
            </w:pPr>
            <w:r>
              <w:t>10.58%</w:t>
            </w:r>
          </w:p>
        </w:tc>
        <w:tc>
          <w:tcPr>
            <w:tcW w:w="3060" w:type="dxa"/>
            <w:vAlign w:val="center"/>
          </w:tcPr>
          <w:p>
            <w:pPr>
              <w:pStyle w:val="TableNumber"/>
            </w:pPr>
            <w:r>
              <w:t>478/3</w:t>
            </w:r>
          </w:p>
        </w:tc>
      </w:tr>
      <w:tr>
        <w:trPr>
          <w:cantSplit/>
        </w:trPr>
        <w:tc>
          <w:tcPr>
            <w:tcW w:w="900" w:type="dxa"/>
            <w:vAlign w:val="center"/>
          </w:tcPr>
          <w:p>
            <w:pPr>
              <w:pStyle w:val="TableText"/>
            </w:pPr>
            <w:r>
              <w:t>9d</w:t>
            </w:r>
          </w:p>
        </w:tc>
        <w:tc>
          <w:tcPr>
            <w:tcW w:w="1800" w:type="dxa"/>
            <w:vAlign w:val="center"/>
          </w:tcPr>
          <w:p>
            <w:pPr>
              <w:pStyle w:val="TableNumber"/>
            </w:pPr>
            <w:r>
              <w:t>86.47%</w:t>
            </w:r>
          </w:p>
        </w:tc>
        <w:tc>
          <w:tcPr>
            <w:tcW w:w="1800" w:type="dxa"/>
            <w:vAlign w:val="center"/>
          </w:tcPr>
          <w:p>
            <w:pPr>
              <w:pStyle w:val="TableNumber"/>
            </w:pPr>
            <w:r>
              <w:t>0.00%</w:t>
            </w:r>
          </w:p>
        </w:tc>
        <w:tc>
          <w:tcPr>
            <w:tcW w:w="1800" w:type="dxa"/>
            <w:vAlign w:val="center"/>
          </w:tcPr>
          <w:p>
            <w:pPr>
              <w:pStyle w:val="TableNumber"/>
            </w:pPr>
            <w:r>
              <w:t>10.53%</w:t>
            </w:r>
          </w:p>
        </w:tc>
        <w:tc>
          <w:tcPr>
            <w:tcW w:w="3060" w:type="dxa"/>
            <w:vAlign w:val="center"/>
          </w:tcPr>
          <w:p>
            <w:pPr>
              <w:pStyle w:val="TableNumber"/>
            </w:pPr>
            <w:r>
              <w:t>598/4</w:t>
            </w:r>
          </w:p>
        </w:tc>
      </w:tr>
      <w:tr>
        <w:trPr>
          <w:cantSplit/>
        </w:trPr>
        <w:tc>
          <w:tcPr>
            <w:tcW w:w="900" w:type="dxa"/>
            <w:vAlign w:val="center"/>
          </w:tcPr>
          <w:p>
            <w:pPr>
              <w:pStyle w:val="TableText"/>
            </w:pPr>
            <w:r>
              <w:t>10d</w:t>
            </w:r>
          </w:p>
        </w:tc>
        <w:tc>
          <w:tcPr>
            <w:tcW w:w="1800" w:type="dxa"/>
            <w:vAlign w:val="center"/>
          </w:tcPr>
          <w:p>
            <w:pPr>
              <w:pStyle w:val="TableNumber"/>
            </w:pPr>
            <w:r>
              <w:t>84.89%</w:t>
            </w:r>
          </w:p>
        </w:tc>
        <w:tc>
          <w:tcPr>
            <w:tcW w:w="1800" w:type="dxa"/>
            <w:vAlign w:val="center"/>
          </w:tcPr>
          <w:p>
            <w:pPr>
              <w:pStyle w:val="TableNumber"/>
            </w:pPr>
            <w:r>
              <w:t>0.00%</w:t>
            </w:r>
          </w:p>
        </w:tc>
        <w:tc>
          <w:tcPr>
            <w:tcW w:w="1800" w:type="dxa"/>
            <w:vAlign w:val="center"/>
          </w:tcPr>
          <w:p>
            <w:pPr>
              <w:pStyle w:val="TableNumber"/>
            </w:pPr>
            <w:r>
              <w:t>11.88%</w:t>
            </w:r>
          </w:p>
        </w:tc>
        <w:tc>
          <w:tcPr>
            <w:tcW w:w="3060" w:type="dxa"/>
            <w:vAlign w:val="center"/>
          </w:tcPr>
          <w:p>
            <w:pPr>
              <w:pStyle w:val="TableNumber"/>
            </w:pPr>
            <w:r>
              <w:t>640/7</w:t>
            </w:r>
          </w:p>
        </w:tc>
      </w:tr>
      <w:tr>
        <w:trPr>
          <w:cantSplit/>
        </w:trPr>
        <w:tc>
          <w:tcPr>
            <w:tcW w:w="900" w:type="dxa"/>
            <w:vAlign w:val="center"/>
          </w:tcPr>
          <w:p>
            <w:pPr>
              <w:pStyle w:val="TableText"/>
            </w:pPr>
            <w:r>
              <w:t>11d</w:t>
            </w:r>
          </w:p>
        </w:tc>
        <w:tc>
          <w:tcPr>
            <w:tcW w:w="1800" w:type="dxa"/>
            <w:vAlign w:val="center"/>
          </w:tcPr>
          <w:p>
            <w:pPr>
              <w:pStyle w:val="TableNumber"/>
            </w:pPr>
            <w:r>
              <w:t>84.47%</w:t>
            </w:r>
          </w:p>
        </w:tc>
        <w:tc>
          <w:tcPr>
            <w:tcW w:w="1800" w:type="dxa"/>
            <w:vAlign w:val="center"/>
          </w:tcPr>
          <w:p>
            <w:pPr>
              <w:pStyle w:val="TableNumber"/>
            </w:pPr>
            <w:r>
              <w:t>0.00%</w:t>
            </w:r>
          </w:p>
        </w:tc>
        <w:tc>
          <w:tcPr>
            <w:tcW w:w="1800" w:type="dxa"/>
            <w:vAlign w:val="center"/>
          </w:tcPr>
          <w:p>
            <w:pPr>
              <w:pStyle w:val="TableNumber"/>
            </w:pPr>
            <w:r>
              <w:t>11.92%</w:t>
            </w:r>
          </w:p>
        </w:tc>
        <w:tc>
          <w:tcPr>
            <w:tcW w:w="3060" w:type="dxa"/>
            <w:vAlign w:val="center"/>
          </w:tcPr>
          <w:p>
            <w:pPr>
              <w:pStyle w:val="TableNumber"/>
            </w:pPr>
            <w:r>
              <w:t>710/11</w:t>
            </w:r>
          </w:p>
        </w:tc>
      </w:tr>
      <w:tr>
        <w:trPr>
          <w:cantSplit/>
        </w:trPr>
        <w:tc>
          <w:tcPr>
            <w:tcW w:w="900" w:type="dxa"/>
            <w:vAlign w:val="center"/>
          </w:tcPr>
          <w:p>
            <w:pPr>
              <w:pStyle w:val="TableText"/>
            </w:pPr>
            <w:r>
              <w:t>12d</w:t>
            </w:r>
          </w:p>
        </w:tc>
        <w:tc>
          <w:tcPr>
            <w:tcW w:w="1800" w:type="dxa"/>
            <w:vAlign w:val="center"/>
          </w:tcPr>
          <w:p>
            <w:pPr>
              <w:pStyle w:val="TableNumber"/>
            </w:pPr>
            <w:r>
              <w:t>84.20%</w:t>
            </w:r>
          </w:p>
        </w:tc>
        <w:tc>
          <w:tcPr>
            <w:tcW w:w="1800" w:type="dxa"/>
            <w:vAlign w:val="center"/>
          </w:tcPr>
          <w:p>
            <w:pPr>
              <w:pStyle w:val="TableNumber"/>
            </w:pPr>
            <w:r>
              <w:t>0.00%</w:t>
            </w:r>
          </w:p>
        </w:tc>
        <w:tc>
          <w:tcPr>
            <w:tcW w:w="1800" w:type="dxa"/>
            <w:vAlign w:val="center"/>
          </w:tcPr>
          <w:p>
            <w:pPr>
              <w:pStyle w:val="TableNumber"/>
            </w:pPr>
            <w:r>
              <w:t>11.94%</w:t>
            </w:r>
          </w:p>
        </w:tc>
        <w:tc>
          <w:tcPr>
            <w:tcW w:w="3060" w:type="dxa"/>
            <w:vAlign w:val="center"/>
          </w:tcPr>
          <w:p>
            <w:pPr>
              <w:pStyle w:val="TableNumber"/>
            </w:pPr>
            <w:r>
              <w:t>751/21</w:t>
            </w:r>
          </w:p>
        </w:tc>
      </w:tr>
      <w:tr>
        <w:trPr>
          <w:cantSplit/>
        </w:trPr>
        <w:tc>
          <w:tcPr>
            <w:tcW w:w="900" w:type="dxa"/>
            <w:vAlign w:val="center"/>
          </w:tcPr>
          <w:p>
            <w:pPr>
              <w:pStyle w:val="TableText"/>
            </w:pPr>
            <w:r>
              <w:t>13d</w:t>
            </w:r>
          </w:p>
        </w:tc>
        <w:tc>
          <w:tcPr>
            <w:tcW w:w="1800" w:type="dxa"/>
            <w:vAlign w:val="center"/>
          </w:tcPr>
          <w:p>
            <w:pPr>
              <w:pStyle w:val="TableNumber"/>
            </w:pPr>
            <w:r>
              <w:t>84.78%</w:t>
            </w:r>
          </w:p>
        </w:tc>
        <w:tc>
          <w:tcPr>
            <w:tcW w:w="1800" w:type="dxa"/>
            <w:vAlign w:val="center"/>
          </w:tcPr>
          <w:p>
            <w:pPr>
              <w:pStyle w:val="TableNumber"/>
            </w:pPr>
            <w:r>
              <w:t>0.00%</w:t>
            </w:r>
          </w:p>
        </w:tc>
        <w:tc>
          <w:tcPr>
            <w:tcW w:w="1800" w:type="dxa"/>
            <w:vAlign w:val="center"/>
          </w:tcPr>
          <w:p>
            <w:pPr>
              <w:pStyle w:val="TableNumber"/>
            </w:pPr>
            <w:r>
              <w:t>11.08%</w:t>
            </w:r>
          </w:p>
        </w:tc>
        <w:tc>
          <w:tcPr>
            <w:tcW w:w="3060" w:type="dxa"/>
            <w:vAlign w:val="center"/>
          </w:tcPr>
          <w:p>
            <w:pPr>
              <w:pStyle w:val="TableNumber"/>
            </w:pPr>
            <w:r>
              <w:t>800/27</w:t>
            </w:r>
          </w:p>
        </w:tc>
      </w:tr>
      <w:tr>
        <w:trPr>
          <w:cantSplit/>
        </w:trPr>
        <w:tc>
          <w:tcPr>
            <w:tcW w:w="900" w:type="dxa"/>
            <w:vAlign w:val="center"/>
          </w:tcPr>
          <w:p>
            <w:pPr>
              <w:pStyle w:val="TableText"/>
            </w:pPr>
            <w:r>
              <w:t>14d</w:t>
            </w:r>
          </w:p>
        </w:tc>
        <w:tc>
          <w:tcPr>
            <w:tcW w:w="1800" w:type="dxa"/>
            <w:vAlign w:val="center"/>
          </w:tcPr>
          <w:p>
            <w:pPr>
              <w:pStyle w:val="TableNumber"/>
            </w:pPr>
            <w:r>
              <w:t>84.77%</w:t>
            </w:r>
          </w:p>
        </w:tc>
        <w:tc>
          <w:tcPr>
            <w:tcW w:w="1800" w:type="dxa"/>
            <w:vAlign w:val="center"/>
          </w:tcPr>
          <w:p>
            <w:pPr>
              <w:pStyle w:val="TableNumber"/>
            </w:pPr>
            <w:r>
              <w:t>0.00%</w:t>
            </w:r>
          </w:p>
        </w:tc>
        <w:tc>
          <w:tcPr>
            <w:tcW w:w="1800" w:type="dxa"/>
            <w:vAlign w:val="center"/>
          </w:tcPr>
          <w:p>
            <w:pPr>
              <w:pStyle w:val="TableNumber"/>
            </w:pPr>
            <w:r>
              <w:t>11.44%</w:t>
            </w:r>
          </w:p>
        </w:tc>
        <w:tc>
          <w:tcPr>
            <w:tcW w:w="3060" w:type="dxa"/>
            <w:vAlign w:val="center"/>
          </w:tcPr>
          <w:p>
            <w:pPr>
              <w:pStyle w:val="TableNumber"/>
            </w:pPr>
            <w:r>
              <w:t>706/52</w:t>
            </w:r>
          </w:p>
        </w:tc>
      </w:tr>
    </w:tbl>
    <w:p>
      <w:pPr>
        <w:pStyle w:val="a"/>
      </w:pPr>
      <w:r>
        <w:t>6d bearish 為 87.74%，bearish 在所有 horizon 都是多數；strong_bearish／strong_bullish 合計為 6412／154。這些互斥的規則標籤描述 q10、q50、q90 相對 0 的位置，不是上漲或下跌機率；因此不得用同一套部位規則直接套用 1 至 14 日。</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EODHD / US</w:t>
            </w:r>
          </w:p>
        </w:tc>
        <w:tc>
          <w:tcPr>
            <w:tcW w:w="1100" w:type="dxa"/>
            <w:vAlign w:val="center"/>
          </w:tcPr>
          <w:p>
            <w:pPr>
              <w:pStyle w:val="TableNumber"/>
            </w:pPr>
            <w:r>
              <w:t>17,792</w:t>
            </w:r>
          </w:p>
        </w:tc>
        <w:tc>
          <w:tcPr>
            <w:tcW w:w="1300" w:type="dxa"/>
            <w:vAlign w:val="center"/>
          </w:tcPr>
          <w:p>
            <w:pPr>
              <w:pStyle w:val="TableNumber"/>
            </w:pPr>
            <w:r>
              <w:t>0.305973</w:t>
            </w:r>
          </w:p>
        </w:tc>
        <w:tc>
          <w:tcPr>
            <w:tcW w:w="1400" w:type="dxa"/>
            <w:vAlign w:val="center"/>
          </w:tcPr>
          <w:p>
            <w:pPr>
              <w:pStyle w:val="TableNumber"/>
            </w:pPr>
            <w:r>
              <w:t>0.0885</w:t>
            </w:r>
          </w:p>
        </w:tc>
        <w:tc>
          <w:tcPr>
            <w:tcW w:w="1800" w:type="dxa"/>
            <w:vAlign w:val="center"/>
          </w:tcPr>
          <w:p>
            <w:pPr>
              <w:pStyle w:val="TableNumber"/>
            </w:pPr>
            <w:r>
              <w:t>0.0300 至 0.1346</w:t>
            </w:r>
          </w:p>
        </w:tc>
        <w:tc>
          <w:tcPr>
            <w:tcW w:w="1250" w:type="dxa"/>
            <w:vAlign w:val="center"/>
          </w:tcPr>
          <w:p>
            <w:pPr>
              <w:pStyle w:val="TableNumber"/>
            </w:pPr>
            <w:r>
              <w:t>54.44%</w:t>
            </w:r>
          </w:p>
        </w:tc>
        <w:tc>
          <w:tcPr>
            <w:tcW w:w="1010" w:type="dxa"/>
            <w:vAlign w:val="center"/>
          </w:tcPr>
          <w:p>
            <w:pPr>
              <w:pStyle w:val="TableNumber"/>
            </w:pPr>
            <w:r>
              <w:t>78.12%</w:t>
            </w:r>
          </w:p>
        </w:tc>
      </w:tr>
      <w:tr>
        <w:trPr>
          <w:cantSplit/>
        </w:trPr>
        <w:tc>
          <w:tcPr>
            <w:tcW w:w="1500" w:type="dxa"/>
            <w:vAlign w:val="center"/>
          </w:tcPr>
          <w:p>
            <w:pPr>
              <w:pStyle w:val="TableText"/>
            </w:pPr>
            <w:r>
              <w:t>TPEx</w:t>
            </w:r>
          </w:p>
        </w:tc>
        <w:tc>
          <w:tcPr>
            <w:tcW w:w="1100" w:type="dxa"/>
            <w:vAlign w:val="center"/>
          </w:tcPr>
          <w:p>
            <w:pPr>
              <w:pStyle w:val="TableNumber"/>
            </w:pPr>
            <w:r>
              <w:t>1,218</w:t>
            </w:r>
          </w:p>
        </w:tc>
        <w:tc>
          <w:tcPr>
            <w:tcW w:w="1300" w:type="dxa"/>
            <w:vAlign w:val="center"/>
          </w:tcPr>
          <w:p>
            <w:pPr>
              <w:pStyle w:val="TableNumber"/>
            </w:pPr>
            <w:r>
              <w:t>0.361878</w:t>
            </w:r>
          </w:p>
        </w:tc>
        <w:tc>
          <w:tcPr>
            <w:tcW w:w="1400" w:type="dxa"/>
            <w:vAlign w:val="center"/>
          </w:tcPr>
          <w:p>
            <w:pPr>
              <w:pStyle w:val="TableNumber"/>
            </w:pPr>
            <w:r>
              <w:t>0.0252</w:t>
            </w:r>
          </w:p>
        </w:tc>
        <w:tc>
          <w:tcPr>
            <w:tcW w:w="1800" w:type="dxa"/>
            <w:vAlign w:val="center"/>
          </w:tcPr>
          <w:p>
            <w:pPr>
              <w:pStyle w:val="TableNumber"/>
            </w:pPr>
            <w:r>
              <w:t>-0.0527 至 0.0720</w:t>
            </w:r>
          </w:p>
        </w:tc>
        <w:tc>
          <w:tcPr>
            <w:tcW w:w="1250" w:type="dxa"/>
            <w:vAlign w:val="center"/>
          </w:tcPr>
          <w:p>
            <w:pPr>
              <w:pStyle w:val="TableNumber"/>
            </w:pPr>
            <w:r>
              <w:t>59.76%</w:t>
            </w:r>
          </w:p>
        </w:tc>
        <w:tc>
          <w:tcPr>
            <w:tcW w:w="1010" w:type="dxa"/>
            <w:vAlign w:val="center"/>
          </w:tcPr>
          <w:p>
            <w:pPr>
              <w:pStyle w:val="TableNumber"/>
            </w:pPr>
            <w:r>
              <w:t>64.55%</w:t>
            </w:r>
          </w:p>
        </w:tc>
      </w:tr>
      <w:tr>
        <w:trPr>
          <w:cantSplit/>
        </w:trPr>
        <w:tc>
          <w:tcPr>
            <w:tcW w:w="1500" w:type="dxa"/>
            <w:vAlign w:val="center"/>
          </w:tcPr>
          <w:p>
            <w:pPr>
              <w:pStyle w:val="TableText"/>
            </w:pPr>
            <w:r>
              <w:t>TWSE</w:t>
            </w:r>
          </w:p>
        </w:tc>
        <w:tc>
          <w:tcPr>
            <w:tcW w:w="1100" w:type="dxa"/>
            <w:vAlign w:val="center"/>
          </w:tcPr>
          <w:p>
            <w:pPr>
              <w:pStyle w:val="TableNumber"/>
            </w:pPr>
            <w:r>
              <w:t>990</w:t>
            </w:r>
          </w:p>
        </w:tc>
        <w:tc>
          <w:tcPr>
            <w:tcW w:w="1300" w:type="dxa"/>
            <w:vAlign w:val="center"/>
          </w:tcPr>
          <w:p>
            <w:pPr>
              <w:pStyle w:val="TableNumber"/>
            </w:pPr>
            <w:r>
              <w:t>0.253577</w:t>
            </w:r>
          </w:p>
        </w:tc>
        <w:tc>
          <w:tcPr>
            <w:tcW w:w="1400" w:type="dxa"/>
            <w:vAlign w:val="center"/>
          </w:tcPr>
          <w:p>
            <w:pPr>
              <w:pStyle w:val="TableNumber"/>
            </w:pPr>
            <w:r>
              <w:t>0.1030</w:t>
            </w:r>
          </w:p>
        </w:tc>
        <w:tc>
          <w:tcPr>
            <w:tcW w:w="1800" w:type="dxa"/>
            <w:vAlign w:val="center"/>
          </w:tcPr>
          <w:p>
            <w:pPr>
              <w:pStyle w:val="TableNumber"/>
            </w:pPr>
            <w:r>
              <w:t>0.0644 至 0.1384</w:t>
            </w:r>
          </w:p>
        </w:tc>
        <w:tc>
          <w:tcPr>
            <w:tcW w:w="1250" w:type="dxa"/>
            <w:vAlign w:val="center"/>
          </w:tcPr>
          <w:p>
            <w:pPr>
              <w:pStyle w:val="TableNumber"/>
            </w:pPr>
            <w:r>
              <w:t>68.20%</w:t>
            </w:r>
          </w:p>
        </w:tc>
        <w:tc>
          <w:tcPr>
            <w:tcW w:w="1010" w:type="dxa"/>
            <w:vAlign w:val="center"/>
          </w:tcPr>
          <w:p>
            <w:pPr>
              <w:pStyle w:val="TableNumber"/>
            </w:pPr>
            <w:r>
              <w:t>62.70%</w:t>
            </w:r>
          </w:p>
        </w:tc>
      </w:tr>
    </w:tbl>
    <w:p>
      <w:pPr>
        <w:pStyle w:val="a"/>
      </w:pPr>
      <w:r>
        <w:t>台灣切片的 14 horizon score 與 coverage 與 EODHD／US 有差異，但樣本數、交易所、期間與標的組成都不同。TWSE 的平均 correlation 與方向一致率不能直接外推到美國或其他市場；provider 切片只能作穩定性診斷。</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2025</w:t>
            </w:r>
          </w:p>
        </w:tc>
        <w:tc>
          <w:tcPr>
            <w:tcW w:w="1200" w:type="dxa"/>
            <w:vAlign w:val="center"/>
          </w:tcPr>
          <w:p>
            <w:pPr>
              <w:pStyle w:val="TableNumber"/>
            </w:pPr>
            <w:r>
              <w:t>3,710</w:t>
            </w:r>
          </w:p>
        </w:tc>
        <w:tc>
          <w:tcPr>
            <w:tcW w:w="1400" w:type="dxa"/>
            <w:vAlign w:val="center"/>
          </w:tcPr>
          <w:p>
            <w:pPr>
              <w:pStyle w:val="TableNumber"/>
            </w:pPr>
            <w:r>
              <w:t>0.280377</w:t>
            </w:r>
          </w:p>
        </w:tc>
        <w:tc>
          <w:tcPr>
            <w:tcW w:w="1400" w:type="dxa"/>
            <w:vAlign w:val="center"/>
          </w:tcPr>
          <w:p>
            <w:pPr>
              <w:pStyle w:val="TableNumber"/>
            </w:pPr>
            <w:r>
              <w:t>0.0799</w:t>
            </w:r>
          </w:p>
        </w:tc>
        <w:tc>
          <w:tcPr>
            <w:tcW w:w="1800" w:type="dxa"/>
            <w:vAlign w:val="center"/>
          </w:tcPr>
          <w:p>
            <w:pPr>
              <w:pStyle w:val="TableNumber"/>
            </w:pPr>
            <w:r>
              <w:t>0.0496 至 0.1105</w:t>
            </w:r>
          </w:p>
        </w:tc>
        <w:tc>
          <w:tcPr>
            <w:tcW w:w="1200" w:type="dxa"/>
            <w:vAlign w:val="center"/>
          </w:tcPr>
          <w:p>
            <w:pPr>
              <w:pStyle w:val="TableNumber"/>
            </w:pPr>
            <w:r>
              <w:t>54.23%</w:t>
            </w:r>
          </w:p>
        </w:tc>
        <w:tc>
          <w:tcPr>
            <w:tcW w:w="1060" w:type="dxa"/>
            <w:vAlign w:val="center"/>
          </w:tcPr>
          <w:p>
            <w:pPr>
              <w:pStyle w:val="TableNumber"/>
            </w:pPr>
            <w:r>
              <w:t>81.34%</w:t>
            </w:r>
          </w:p>
        </w:tc>
      </w:tr>
      <w:tr>
        <w:trPr>
          <w:cantSplit/>
        </w:trPr>
        <w:tc>
          <w:tcPr>
            <w:tcW w:w="1300" w:type="dxa"/>
            <w:vAlign w:val="center"/>
          </w:tcPr>
          <w:p>
            <w:pPr>
              <w:pStyle w:val="TableText"/>
            </w:pPr>
            <w:r>
              <w:t>2026</w:t>
            </w:r>
          </w:p>
        </w:tc>
        <w:tc>
          <w:tcPr>
            <w:tcW w:w="1200" w:type="dxa"/>
            <w:vAlign w:val="center"/>
          </w:tcPr>
          <w:p>
            <w:pPr>
              <w:pStyle w:val="TableNumber"/>
            </w:pPr>
            <w:r>
              <w:t>16,290</w:t>
            </w:r>
          </w:p>
        </w:tc>
        <w:tc>
          <w:tcPr>
            <w:tcW w:w="1400" w:type="dxa"/>
            <w:vAlign w:val="center"/>
          </w:tcPr>
          <w:p>
            <w:pPr>
              <w:pStyle w:val="TableNumber"/>
            </w:pPr>
            <w:r>
              <w:t>0.312798</w:t>
            </w:r>
          </w:p>
        </w:tc>
        <w:tc>
          <w:tcPr>
            <w:tcW w:w="1400" w:type="dxa"/>
            <w:vAlign w:val="center"/>
          </w:tcPr>
          <w:p>
            <w:pPr>
              <w:pStyle w:val="TableNumber"/>
            </w:pPr>
            <w:r>
              <w:t>0.0870</w:t>
            </w:r>
          </w:p>
        </w:tc>
        <w:tc>
          <w:tcPr>
            <w:tcW w:w="1800" w:type="dxa"/>
            <w:vAlign w:val="center"/>
          </w:tcPr>
          <w:p>
            <w:pPr>
              <w:pStyle w:val="TableNumber"/>
            </w:pPr>
            <w:r>
              <w:t>0.0217 至 0.1305</w:t>
            </w:r>
          </w:p>
        </w:tc>
        <w:tc>
          <w:tcPr>
            <w:tcW w:w="1200" w:type="dxa"/>
            <w:vAlign w:val="center"/>
          </w:tcPr>
          <w:p>
            <w:pPr>
              <w:pStyle w:val="TableNumber"/>
            </w:pPr>
            <w:r>
              <w:t>55.72%</w:t>
            </w:r>
          </w:p>
        </w:tc>
        <w:tc>
          <w:tcPr>
            <w:tcW w:w="1060" w:type="dxa"/>
            <w:vAlign w:val="center"/>
          </w:tcPr>
          <w:p>
            <w:pPr>
              <w:pStyle w:val="TableNumber"/>
            </w:pPr>
            <w:r>
              <w:t>75.43%</w:t>
            </w:r>
          </w:p>
        </w:tc>
      </w:tr>
    </w:tbl>
    <w:p>
      <w:pPr>
        <w:pStyle w:val="Lead"/>
      </w:pPr>
      <w:r>
        <w:t>年度切片為 2025、2026；各年度 14 horizon score 為 2025=0.2804、2026=0.3128。平均 correlation 與 coverage 已列於表 12；樣本數為 2025=3,710、2026=16,290，因此年度切片只能作穩定性診斷，不能單獨證明時間外推能力。</w:t>
      </w:r>
    </w:p>
    <w:p>
      <w:pPr>
        <w:pStyle w:val="11"/>
      </w:pPr>
      <w:r>
        <w:t>9. 風險與下一階段</w:t>
      </w:r>
    </w:p>
    <w:p>
      <w:pPr>
        <w:pStyle w:val="Decision"/>
        <w:keepNext/>
        <w:spacing w:after="80"/>
      </w:pPr>
      <w:r>
        <w:t>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Test 已解鎖</w:t>
            </w:r>
          </w:p>
        </w:tc>
        <w:tc>
          <w:tcPr>
            <w:tcW w:w="2900" w:type="dxa"/>
            <w:vAlign w:val="center"/>
          </w:tcPr>
          <w:p>
            <w:pPr>
              <w:pStyle w:val="TableText"/>
            </w:pPr>
            <w:r>
              <w:t>checkpoint 由 validation 選出；test benchmark 已評分 20,000 筆</w:t>
            </w:r>
          </w:p>
        </w:tc>
        <w:tc>
          <w:tcPr>
            <w:tcW w:w="3960" w:type="dxa"/>
            <w:vAlign w:val="center"/>
          </w:tcPr>
          <w:p>
            <w:pPr>
              <w:pStyle w:val="TableText"/>
            </w:pPr>
            <w:r>
              <w:t>保留一次性 test protocol；校準規則與模型登記仍須先完成</w:t>
            </w:r>
          </w:p>
        </w:tc>
      </w:tr>
      <w:tr>
        <w:trPr>
          <w:cantSplit/>
        </w:trPr>
        <w:tc>
          <w:tcPr>
            <w:tcW w:w="2500" w:type="dxa"/>
            <w:vAlign w:val="center"/>
          </w:tcPr>
          <w:p>
            <w:pPr>
              <w:pStyle w:val="TableText"/>
            </w:pPr>
            <w:r>
              <w:t>單一 seed</w:t>
            </w:r>
          </w:p>
        </w:tc>
        <w:tc>
          <w:tcPr>
            <w:tcW w:w="2900" w:type="dxa"/>
            <w:vAlign w:val="center"/>
          </w:tcPr>
          <w:p>
            <w:pPr>
              <w:pStyle w:val="TableText"/>
            </w:pPr>
            <w:r>
              <w:t>seed=42</w:t>
            </w:r>
          </w:p>
        </w:tc>
        <w:tc>
          <w:tcPr>
            <w:tcW w:w="3960" w:type="dxa"/>
            <w:vAlign w:val="center"/>
          </w:tcPr>
          <w:p>
            <w:pPr>
              <w:pStyle w:val="TableText"/>
            </w:pPr>
            <w:r>
              <w:t>至少多 seed，報告中位數、離散度與最差值</w:t>
            </w:r>
          </w:p>
        </w:tc>
      </w:tr>
      <w:tr>
        <w:trPr>
          <w:cantSplit/>
        </w:trPr>
        <w:tc>
          <w:tcPr>
            <w:tcW w:w="2500" w:type="dxa"/>
            <w:vAlign w:val="center"/>
          </w:tcPr>
          <w:p>
            <w:pPr>
              <w:pStyle w:val="TableText"/>
            </w:pPr>
            <w:r>
              <w:t>區間 coverage</w:t>
            </w:r>
          </w:p>
        </w:tc>
        <w:tc>
          <w:tcPr>
            <w:tcW w:w="2900" w:type="dxa"/>
            <w:vAlign w:val="center"/>
          </w:tcPr>
          <w:p>
            <w:pPr>
              <w:pStyle w:val="TableText"/>
            </w:pPr>
            <w:r>
              <w:t>13/14 horizon 低於 80%；最低 74.95%</w:t>
            </w:r>
          </w:p>
        </w:tc>
        <w:tc>
          <w:tcPr>
            <w:tcW w:w="3960" w:type="dxa"/>
            <w:vAlign w:val="center"/>
          </w:tcPr>
          <w:p>
            <w:pPr>
              <w:pStyle w:val="TableText"/>
            </w:pPr>
            <w:r>
              <w:t>用 validation 擬合分 horizon 校準，再固定規則後重新驗證</w:t>
            </w:r>
          </w:p>
        </w:tc>
      </w:tr>
      <w:tr>
        <w:trPr>
          <w:cantSplit/>
        </w:trPr>
        <w:tc>
          <w:tcPr>
            <w:tcW w:w="2500" w:type="dxa"/>
            <w:vAlign w:val="center"/>
          </w:tcPr>
          <w:p>
            <w:pPr>
              <w:pStyle w:val="TableText"/>
            </w:pPr>
            <w:r>
              <w:t>長 horizon 回撤</w:t>
            </w:r>
          </w:p>
        </w:tc>
        <w:tc>
          <w:tcPr>
            <w:tcW w:w="2900" w:type="dxa"/>
            <w:vAlign w:val="center"/>
          </w:tcPr>
          <w:p>
            <w:pPr>
              <w:pStyle w:val="TableText"/>
            </w:pPr>
            <w:r>
              <w:t>最差為 -35.3%（8d）</w:t>
            </w:r>
          </w:p>
        </w:tc>
        <w:tc>
          <w:tcPr>
            <w:tcW w:w="3960" w:type="dxa"/>
            <w:vAlign w:val="center"/>
          </w:tcPr>
          <w:p>
            <w:pPr>
              <w:pStyle w:val="TableText"/>
            </w:pPr>
            <w:r>
              <w:t>加入持有期、曝險與風險限制比較</w:t>
            </w:r>
          </w:p>
        </w:tc>
      </w:tr>
      <w:tr>
        <w:trPr>
          <w:cantSplit/>
        </w:trPr>
        <w:tc>
          <w:tcPr>
            <w:tcW w:w="2500" w:type="dxa"/>
            <w:vAlign w:val="center"/>
          </w:tcPr>
          <w:p>
            <w:pPr>
              <w:pStyle w:val="TableText"/>
            </w:pPr>
            <w:r>
              <w:t>訊號偏 bearish</w:t>
            </w:r>
          </w:p>
        </w:tc>
        <w:tc>
          <w:tcPr>
            <w:tcW w:w="2900" w:type="dxa"/>
            <w:vAlign w:val="center"/>
          </w:tcPr>
          <w:p>
            <w:pPr>
              <w:pStyle w:val="TableText"/>
            </w:pPr>
            <w:r>
              <w:t>6d bearish 達 87.74%；strong bear／bull 總數 6412/154</w:t>
            </w:r>
          </w:p>
        </w:tc>
        <w:tc>
          <w:tcPr>
            <w:tcW w:w="3960" w:type="dxa"/>
            <w:vAlign w:val="center"/>
          </w:tcPr>
          <w:p>
            <w:pPr>
              <w:pStyle w:val="TableText"/>
            </w:pPr>
            <w:r>
              <w:t>每個 horizon 分別固定 threshold 與 position mapping</w:t>
            </w:r>
          </w:p>
        </w:tc>
      </w:tr>
      <w:tr>
        <w:trPr>
          <w:cantSplit/>
        </w:trPr>
        <w:tc>
          <w:tcPr>
            <w:tcW w:w="2500" w:type="dxa"/>
            <w:vAlign w:val="center"/>
          </w:tcPr>
          <w:p>
            <w:pPr>
              <w:pStyle w:val="TableText"/>
            </w:pPr>
            <w:r>
              <w:t>年度樣本不平衡</w:t>
            </w:r>
          </w:p>
        </w:tc>
        <w:tc>
          <w:tcPr>
            <w:tcW w:w="2900" w:type="dxa"/>
            <w:vAlign w:val="center"/>
          </w:tcPr>
          <w:p>
            <w:pPr>
              <w:pStyle w:val="TableText"/>
            </w:pPr>
            <w:r>
              <w:t>2025=3,710、2026=16,290</w:t>
            </w:r>
          </w:p>
        </w:tc>
        <w:tc>
          <w:tcPr>
            <w:tcW w:w="3960" w:type="dxa"/>
            <w:vAlign w:val="center"/>
          </w:tcPr>
          <w:p>
            <w:pPr>
              <w:pStyle w:val="TableText"/>
            </w:pPr>
            <w:r>
              <w:t>增加年度、regime、rolling 與 provider 穩定性分析</w:t>
            </w:r>
          </w:p>
        </w:tc>
      </w:tr>
      <w:tr>
        <w:trPr>
          <w:cantSplit/>
        </w:trPr>
        <w:tc>
          <w:tcPr>
            <w:tcW w:w="2500" w:type="dxa"/>
            <w:vAlign w:val="center"/>
          </w:tcPr>
          <w:p>
            <w:pPr>
              <w:pStyle w:val="TableText"/>
            </w:pPr>
            <w:r>
              <w:t>Lifecycle 狀態</w:t>
            </w:r>
          </w:p>
        </w:tc>
        <w:tc>
          <w:tcPr>
            <w:tcW w:w="2900" w:type="dxa"/>
            <w:vAlign w:val="center"/>
          </w:tcPr>
          <w:p>
            <w:pPr>
              <w:pStyle w:val="TableText"/>
            </w:pPr>
            <w:r>
              <w:t>training exit code 1 但 marker ready 且 training_completed=true；validation exit code 0</w:t>
            </w:r>
          </w:p>
        </w:tc>
        <w:tc>
          <w:tcPr>
            <w:tcW w:w="3960" w:type="dxa"/>
            <w:vAlign w:val="center"/>
          </w:tcPr>
          <w:p>
            <w:pPr>
              <w:pStyle w:val="TableText"/>
            </w:pPr>
            <w:r>
              <w:t>保留 lifecycle 與結果 marker，檢查 exit code 1 的訓練日誌與可重現性</w:t>
            </w:r>
          </w:p>
        </w:tc>
      </w:tr>
      <w:tr>
        <w:trPr>
          <w:cantSplit/>
        </w:trPr>
        <w:tc>
          <w:tcPr>
            <w:tcW w:w="2500" w:type="dxa"/>
            <w:vAlign w:val="center"/>
          </w:tcPr>
          <w:p>
            <w:pPr>
              <w:pStyle w:val="TableText"/>
            </w:pPr>
            <w:r>
              <w:t>Checkpoint 誤用</w:t>
            </w:r>
          </w:p>
        </w:tc>
        <w:tc>
          <w:tcPr>
            <w:tcW w:w="2900" w:type="dxa"/>
            <w:vAlign w:val="center"/>
          </w:tcPr>
          <w:p>
            <w:pPr>
              <w:pStyle w:val="TableText"/>
            </w:pPr>
            <w:r>
              <w:t>test 使用 checkpoint-043773；monitor 最佳值 0.276788</w:t>
            </w:r>
          </w:p>
        </w:tc>
        <w:tc>
          <w:tcPr>
            <w:tcW w:w="3960" w:type="dxa"/>
            <w:vAlign w:val="center"/>
          </w:tcPr>
          <w:p>
            <w:pPr>
              <w:pStyle w:val="TableText"/>
            </w:pPr>
            <w:r>
              <w:t>部署產物必須鎖定 best-checkpoint.json 指向</w:t>
            </w:r>
          </w:p>
        </w:tc>
      </w:tr>
      <w:tr>
        <w:trPr>
          <w:cantSplit/>
        </w:trPr>
        <w:tc>
          <w:tcPr>
            <w:tcW w:w="2500" w:type="dxa"/>
            <w:vAlign w:val="center"/>
          </w:tcPr>
          <w:p>
            <w:pPr>
              <w:pStyle w:val="TableText"/>
            </w:pPr>
            <w:r>
              <w:t>簡化交易成本</w:t>
            </w:r>
          </w:p>
        </w:tc>
        <w:tc>
          <w:tcPr>
            <w:tcW w:w="2900" w:type="dxa"/>
            <w:vAlign w:val="center"/>
          </w:tcPr>
          <w:p>
            <w:pPr>
              <w:pStyle w:val="TableText"/>
            </w:pPr>
            <w:r>
              <w:t>每單位 turnover 固定 10 bps</w:t>
            </w:r>
          </w:p>
        </w:tc>
        <w:tc>
          <w:tcPr>
            <w:tcW w:w="3960" w:type="dxa"/>
            <w:vAlign w:val="center"/>
          </w:tcPr>
          <w:p>
            <w:pPr>
              <w:pStyle w:val="TableText"/>
            </w:pPr>
            <w:r>
              <w:t>加入滑價、市場衝擊、借券、容量與稅費情境</w:t>
            </w:r>
          </w:p>
        </w:tc>
      </w:tr>
    </w:tbl>
    <w:p>
      <w:pPr>
        <w:pStyle w:val="Lead"/>
      </w:pPr>
      <w:r>
        <w:t>最終判斷：本輪最佳 checkpoint 在 test 的全 horizon score 為 0.306784，13 個模型排名第 1，且所有 horizon 的 normalized pinball 都排名第 1；RankIC 與成本後 Sharpe 也在多數 horizon 維持正值。coverage 仍有 13 個 horizon 低於 80%，training lifecycle exit code=1 與完成 marker 不一致，單一 seed 與交易成本限制也仍存在，因此本報告支持候選模型判斷，不支持直接部署結論。</w:t>
      </w:r>
    </w:p>
    <w:p>
      <w:pPr>
        <w:pStyle w:val="11"/>
        <w:pageBreakBefore/>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1至14日 score</w:t>
            </w:r>
          </w:p>
        </w:tc>
        <w:tc>
          <w:tcPr>
            <w:tcW w:w="1330" w:type="dxa"/>
            <w:shd w:val="clear" w:fill="DCE6F1"/>
            <w:vAlign w:val="center"/>
          </w:tcPr>
          <w:p>
            <w:pPr>
              <w:pStyle w:val="TableHeader"/>
            </w:pPr>
            <w:r>
              <w:t>1日</w:t>
            </w:r>
          </w:p>
        </w:tc>
        <w:tc>
          <w:tcPr>
            <w:tcW w:w="1330" w:type="dxa"/>
            <w:shd w:val="clear" w:fill="DCE6F1"/>
            <w:vAlign w:val="center"/>
          </w:tcPr>
          <w:p>
            <w:pPr>
              <w:pStyle w:val="TableHeader"/>
            </w:pPr>
            <w:r>
              <w:t>7日</w:t>
            </w:r>
          </w:p>
        </w:tc>
        <w:tc>
          <w:tcPr>
            <w:tcW w:w="1350" w:type="dxa"/>
            <w:shd w:val="clear" w:fill="DCE6F1"/>
            <w:vAlign w:val="center"/>
          </w:tcPr>
          <w:p>
            <w:pPr>
              <w:pStyle w:val="TableHeader"/>
            </w:pPr>
            <w:r>
              <w:t>14日</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0.306784</w:t>
            </w:r>
          </w:p>
        </w:tc>
        <w:tc>
          <w:tcPr>
            <w:tcW w:w="1330" w:type="dxa"/>
            <w:shd w:val="clear" w:fill="EDF5FC"/>
            <w:vAlign w:val="center"/>
          </w:tcPr>
          <w:p>
            <w:pPr>
              <w:pStyle w:val="TableNumber"/>
            </w:pPr>
            <w:r>
              <w:t>0.3799</w:t>
            </w:r>
          </w:p>
        </w:tc>
        <w:tc>
          <w:tcPr>
            <w:tcW w:w="1330" w:type="dxa"/>
            <w:shd w:val="clear" w:fill="EDF5FC"/>
            <w:vAlign w:val="center"/>
          </w:tcPr>
          <w:p>
            <w:pPr>
              <w:pStyle w:val="TableNumber"/>
            </w:pPr>
            <w:r>
              <w:t>0.2987</w:t>
            </w:r>
          </w:p>
        </w:tc>
        <w:tc>
          <w:tcPr>
            <w:tcW w:w="1350" w:type="dxa"/>
            <w:shd w:val="clear" w:fill="EDF5FC"/>
            <w:vAlign w:val="center"/>
          </w:tcPr>
          <w:p>
            <w:pPr>
              <w:pStyle w:val="TableNumber"/>
            </w:pPr>
            <w:r>
              <w:t>0.2924</w:t>
            </w:r>
          </w:p>
        </w:tc>
      </w:tr>
      <w:tr>
        <w:trPr>
          <w:cantSplit/>
        </w:trPr>
        <w:tc>
          <w:tcPr>
            <w:tcW w:w="650" w:type="dxa"/>
            <w:vAlign w:val="center"/>
          </w:tcPr>
          <w:p>
            <w:pPr>
              <w:pStyle w:val="TableNumber"/>
            </w:pPr>
            <w:r>
              <w:t>2</w:t>
            </w:r>
          </w:p>
        </w:tc>
        <w:tc>
          <w:tcPr>
            <w:tcW w:w="2800" w:type="dxa"/>
            <w:vAlign w:val="center"/>
          </w:tcPr>
          <w:p>
            <w:pPr>
              <w:pStyle w:val="TableText"/>
            </w:pPr>
            <w:r>
              <w:t>成對 GRU</w:t>
            </w:r>
          </w:p>
        </w:tc>
        <w:tc>
          <w:tcPr>
            <w:tcW w:w="1900" w:type="dxa"/>
            <w:vAlign w:val="center"/>
          </w:tcPr>
          <w:p>
            <w:pPr>
              <w:pStyle w:val="TableNumber"/>
            </w:pPr>
            <w:r>
              <w:t>0.310659</w:t>
            </w:r>
          </w:p>
        </w:tc>
        <w:tc>
          <w:tcPr>
            <w:tcW w:w="1330" w:type="dxa"/>
            <w:vAlign w:val="center"/>
          </w:tcPr>
          <w:p>
            <w:pPr>
              <w:pStyle w:val="TableNumber"/>
            </w:pPr>
            <w:r>
              <w:t>0.3824</w:t>
            </w:r>
          </w:p>
        </w:tc>
        <w:tc>
          <w:tcPr>
            <w:tcW w:w="1330" w:type="dxa"/>
            <w:vAlign w:val="center"/>
          </w:tcPr>
          <w:p>
            <w:pPr>
              <w:pStyle w:val="TableNumber"/>
            </w:pPr>
            <w:r>
              <w:t>0.3059</w:t>
            </w:r>
          </w:p>
        </w:tc>
        <w:tc>
          <w:tcPr>
            <w:tcW w:w="1350" w:type="dxa"/>
            <w:vAlign w:val="center"/>
          </w:tcPr>
          <w:p>
            <w:pPr>
              <w:pStyle w:val="TableNumber"/>
            </w:pPr>
            <w:r>
              <w:t>0.2986</w:t>
            </w:r>
          </w:p>
        </w:tc>
      </w:tr>
      <w:tr>
        <w:trPr>
          <w:cantSplit/>
        </w:trPr>
        <w:tc>
          <w:tcPr>
            <w:tcW w:w="650" w:type="dxa"/>
            <w:vAlign w:val="center"/>
          </w:tcPr>
          <w:p>
            <w:pPr>
              <w:pStyle w:val="TableNumber"/>
            </w:pPr>
            <w:r>
              <w:t>3</w:t>
            </w:r>
          </w:p>
        </w:tc>
        <w:tc>
          <w:tcPr>
            <w:tcW w:w="2800" w:type="dxa"/>
            <w:vAlign w:val="center"/>
          </w:tcPr>
          <w:p>
            <w:pPr>
              <w:pStyle w:val="TableText"/>
            </w:pPr>
            <w:r>
              <w:t>Quantile GBDT</w:t>
            </w:r>
          </w:p>
        </w:tc>
        <w:tc>
          <w:tcPr>
            <w:tcW w:w="1900" w:type="dxa"/>
            <w:vAlign w:val="center"/>
          </w:tcPr>
          <w:p>
            <w:pPr>
              <w:pStyle w:val="TableNumber"/>
            </w:pPr>
            <w:r>
              <w:t>0.316089</w:t>
            </w:r>
          </w:p>
        </w:tc>
        <w:tc>
          <w:tcPr>
            <w:tcW w:w="1330" w:type="dxa"/>
            <w:vAlign w:val="center"/>
          </w:tcPr>
          <w:p>
            <w:pPr>
              <w:pStyle w:val="TableNumber"/>
            </w:pPr>
            <w:r>
              <w:t>0.3846</w:t>
            </w:r>
          </w:p>
        </w:tc>
        <w:tc>
          <w:tcPr>
            <w:tcW w:w="1330" w:type="dxa"/>
            <w:vAlign w:val="center"/>
          </w:tcPr>
          <w:p>
            <w:pPr>
              <w:pStyle w:val="TableNumber"/>
            </w:pPr>
            <w:r>
              <w:t>0.3097</w:t>
            </w:r>
          </w:p>
        </w:tc>
        <w:tc>
          <w:tcPr>
            <w:tcW w:w="1350" w:type="dxa"/>
            <w:vAlign w:val="center"/>
          </w:tcPr>
          <w:p>
            <w:pPr>
              <w:pStyle w:val="TableNumber"/>
            </w:pPr>
            <w:r>
              <w:t>0.3055</w:t>
            </w:r>
          </w:p>
        </w:tc>
      </w:tr>
      <w:tr>
        <w:trPr>
          <w:cantSplit/>
        </w:trPr>
        <w:tc>
          <w:tcPr>
            <w:tcW w:w="650" w:type="dxa"/>
            <w:vAlign w:val="center"/>
          </w:tcPr>
          <w:p>
            <w:pPr>
              <w:pStyle w:val="TableNumber"/>
            </w:pPr>
            <w:r>
              <w:t>4</w:t>
            </w:r>
          </w:p>
        </w:tc>
        <w:tc>
          <w:tcPr>
            <w:tcW w:w="2800" w:type="dxa"/>
            <w:vAlign w:val="center"/>
          </w:tcPr>
          <w:p>
            <w:pPr>
              <w:pStyle w:val="TableText"/>
            </w:pPr>
            <w:r>
              <w:t>Compact PatchTST</w:t>
            </w:r>
          </w:p>
        </w:tc>
        <w:tc>
          <w:tcPr>
            <w:tcW w:w="1900" w:type="dxa"/>
            <w:vAlign w:val="center"/>
          </w:tcPr>
          <w:p>
            <w:pPr>
              <w:pStyle w:val="TableNumber"/>
            </w:pPr>
            <w:r>
              <w:t>0.321045</w:t>
            </w:r>
          </w:p>
        </w:tc>
        <w:tc>
          <w:tcPr>
            <w:tcW w:w="1330" w:type="dxa"/>
            <w:vAlign w:val="center"/>
          </w:tcPr>
          <w:p>
            <w:pPr>
              <w:pStyle w:val="TableNumber"/>
            </w:pPr>
            <w:r>
              <w:t>0.4014</w:t>
            </w:r>
          </w:p>
        </w:tc>
        <w:tc>
          <w:tcPr>
            <w:tcW w:w="1330" w:type="dxa"/>
            <w:vAlign w:val="center"/>
          </w:tcPr>
          <w:p>
            <w:pPr>
              <w:pStyle w:val="TableNumber"/>
            </w:pPr>
            <w:r>
              <w:t>0.3142</w:t>
            </w:r>
          </w:p>
        </w:tc>
        <w:tc>
          <w:tcPr>
            <w:tcW w:w="1350" w:type="dxa"/>
            <w:vAlign w:val="center"/>
          </w:tcPr>
          <w:p>
            <w:pPr>
              <w:pStyle w:val="TableNumber"/>
            </w:pPr>
            <w:r>
              <w:t>0.3044</w:t>
            </w:r>
          </w:p>
        </w:tc>
      </w:tr>
      <w:tr>
        <w:trPr>
          <w:cantSplit/>
        </w:trPr>
        <w:tc>
          <w:tcPr>
            <w:tcW w:w="650" w:type="dxa"/>
            <w:vAlign w:val="center"/>
          </w:tcPr>
          <w:p>
            <w:pPr>
              <w:pStyle w:val="TableNumber"/>
            </w:pPr>
            <w:r>
              <w:t>5</w:t>
            </w:r>
          </w:p>
        </w:tc>
        <w:tc>
          <w:tcPr>
            <w:tcW w:w="2800" w:type="dxa"/>
            <w:vAlign w:val="center"/>
          </w:tcPr>
          <w:p>
            <w:pPr>
              <w:pStyle w:val="TableText"/>
            </w:pPr>
            <w:r>
              <w:t>固定偏多分布</w:t>
            </w:r>
          </w:p>
        </w:tc>
        <w:tc>
          <w:tcPr>
            <w:tcW w:w="1900" w:type="dxa"/>
            <w:vAlign w:val="center"/>
          </w:tcPr>
          <w:p>
            <w:pPr>
              <w:pStyle w:val="TableNumber"/>
            </w:pPr>
            <w:r>
              <w:t>0.336065</w:t>
            </w:r>
          </w:p>
        </w:tc>
        <w:tc>
          <w:tcPr>
            <w:tcW w:w="1330" w:type="dxa"/>
            <w:vAlign w:val="center"/>
          </w:tcPr>
          <w:p>
            <w:pPr>
              <w:pStyle w:val="TableNumber"/>
            </w:pPr>
            <w:r>
              <w:t>0.4262</w:t>
            </w:r>
          </w:p>
        </w:tc>
        <w:tc>
          <w:tcPr>
            <w:tcW w:w="1330" w:type="dxa"/>
            <w:vAlign w:val="center"/>
          </w:tcPr>
          <w:p>
            <w:pPr>
              <w:pStyle w:val="TableNumber"/>
            </w:pPr>
            <w:r>
              <w:t>0.3262</w:t>
            </w:r>
          </w:p>
        </w:tc>
        <w:tc>
          <w:tcPr>
            <w:tcW w:w="1350" w:type="dxa"/>
            <w:vAlign w:val="center"/>
          </w:tcPr>
          <w:p>
            <w:pPr>
              <w:pStyle w:val="TableNumber"/>
            </w:pPr>
            <w:r>
              <w:t>0.3179</w:t>
            </w:r>
          </w:p>
        </w:tc>
      </w:tr>
      <w:tr>
        <w:trPr>
          <w:cantSplit/>
        </w:trPr>
        <w:tc>
          <w:tcPr>
            <w:tcW w:w="650" w:type="dxa"/>
            <w:vAlign w:val="center"/>
          </w:tcPr>
          <w:p>
            <w:pPr>
              <w:pStyle w:val="TableNumber"/>
            </w:pPr>
            <w:r>
              <w:t>6</w:t>
            </w:r>
          </w:p>
        </w:tc>
        <w:tc>
          <w:tcPr>
            <w:tcW w:w="2800" w:type="dxa"/>
            <w:vAlign w:val="center"/>
          </w:tcPr>
          <w:p>
            <w:pPr>
              <w:pStyle w:val="TableText"/>
            </w:pPr>
            <w:r>
              <w:t>零報酬分布</w:t>
            </w:r>
          </w:p>
        </w:tc>
        <w:tc>
          <w:tcPr>
            <w:tcW w:w="1900" w:type="dxa"/>
            <w:vAlign w:val="center"/>
          </w:tcPr>
          <w:p>
            <w:pPr>
              <w:pStyle w:val="TableNumber"/>
            </w:pPr>
            <w:r>
              <w:t>0.336065</w:t>
            </w:r>
          </w:p>
        </w:tc>
        <w:tc>
          <w:tcPr>
            <w:tcW w:w="1330" w:type="dxa"/>
            <w:vAlign w:val="center"/>
          </w:tcPr>
          <w:p>
            <w:pPr>
              <w:pStyle w:val="TableNumber"/>
            </w:pPr>
            <w:r>
              <w:t>0.4262</w:t>
            </w:r>
          </w:p>
        </w:tc>
        <w:tc>
          <w:tcPr>
            <w:tcW w:w="1330" w:type="dxa"/>
            <w:vAlign w:val="center"/>
          </w:tcPr>
          <w:p>
            <w:pPr>
              <w:pStyle w:val="TableNumber"/>
            </w:pPr>
            <w:r>
              <w:t>0.3262</w:t>
            </w:r>
          </w:p>
        </w:tc>
        <w:tc>
          <w:tcPr>
            <w:tcW w:w="1350" w:type="dxa"/>
            <w:vAlign w:val="center"/>
          </w:tcPr>
          <w:p>
            <w:pPr>
              <w:pStyle w:val="TableNumber"/>
            </w:pPr>
            <w:r>
              <w:t>0.3179</w:t>
            </w:r>
          </w:p>
        </w:tc>
      </w:tr>
      <w:tr>
        <w:trPr>
          <w:cantSplit/>
        </w:trPr>
        <w:tc>
          <w:tcPr>
            <w:tcW w:w="650" w:type="dxa"/>
            <w:vAlign w:val="center"/>
          </w:tcPr>
          <w:p>
            <w:pPr>
              <w:pStyle w:val="TableNumber"/>
            </w:pPr>
            <w:r>
              <w:t>7</w:t>
            </w:r>
          </w:p>
        </w:tc>
        <w:tc>
          <w:tcPr>
            <w:tcW w:w="2800" w:type="dxa"/>
            <w:vAlign w:val="center"/>
          </w:tcPr>
          <w:p>
            <w:pPr>
              <w:pStyle w:val="TableText"/>
            </w:pPr>
            <w:r>
              <w:t>MACD 規則</w:t>
            </w:r>
          </w:p>
        </w:tc>
        <w:tc>
          <w:tcPr>
            <w:tcW w:w="1900" w:type="dxa"/>
            <w:vAlign w:val="center"/>
          </w:tcPr>
          <w:p>
            <w:pPr>
              <w:pStyle w:val="TableNumber"/>
            </w:pPr>
            <w:r>
              <w:t>0.338294</w:t>
            </w:r>
          </w:p>
        </w:tc>
        <w:tc>
          <w:tcPr>
            <w:tcW w:w="1330" w:type="dxa"/>
            <w:vAlign w:val="center"/>
          </w:tcPr>
          <w:p>
            <w:pPr>
              <w:pStyle w:val="TableNumber"/>
            </w:pPr>
            <w:r>
              <w:t>0.4267</w:t>
            </w:r>
          </w:p>
        </w:tc>
        <w:tc>
          <w:tcPr>
            <w:tcW w:w="1330" w:type="dxa"/>
            <w:vAlign w:val="center"/>
          </w:tcPr>
          <w:p>
            <w:pPr>
              <w:pStyle w:val="TableNumber"/>
            </w:pPr>
            <w:r>
              <w:t>0.3283</w:t>
            </w:r>
          </w:p>
        </w:tc>
        <w:tc>
          <w:tcPr>
            <w:tcW w:w="1350" w:type="dxa"/>
            <w:vAlign w:val="center"/>
          </w:tcPr>
          <w:p>
            <w:pPr>
              <w:pStyle w:val="TableNumber"/>
            </w:pPr>
            <w:r>
              <w:t>0.3221</w:t>
            </w:r>
          </w:p>
        </w:tc>
      </w:tr>
      <w:tr>
        <w:trPr>
          <w:cantSplit/>
        </w:trPr>
        <w:tc>
          <w:tcPr>
            <w:tcW w:w="650" w:type="dxa"/>
            <w:vAlign w:val="center"/>
          </w:tcPr>
          <w:p>
            <w:pPr>
              <w:pStyle w:val="TableNumber"/>
            </w:pPr>
            <w:r>
              <w:t>8</w:t>
            </w:r>
          </w:p>
        </w:tc>
        <w:tc>
          <w:tcPr>
            <w:tcW w:w="2800" w:type="dxa"/>
            <w:vAlign w:val="center"/>
          </w:tcPr>
          <w:p>
            <w:pPr>
              <w:pStyle w:val="TableText"/>
            </w:pPr>
            <w:r>
              <w:t>均線交叉</w:t>
            </w:r>
          </w:p>
        </w:tc>
        <w:tc>
          <w:tcPr>
            <w:tcW w:w="1900" w:type="dxa"/>
            <w:vAlign w:val="center"/>
          </w:tcPr>
          <w:p>
            <w:pPr>
              <w:pStyle w:val="TableNumber"/>
            </w:pPr>
            <w:r>
              <w:t>0.360944</w:t>
            </w:r>
          </w:p>
        </w:tc>
        <w:tc>
          <w:tcPr>
            <w:tcW w:w="1330" w:type="dxa"/>
            <w:vAlign w:val="center"/>
          </w:tcPr>
          <w:p>
            <w:pPr>
              <w:pStyle w:val="TableNumber"/>
            </w:pPr>
            <w:r>
              <w:t>0.4339</w:t>
            </w:r>
          </w:p>
        </w:tc>
        <w:tc>
          <w:tcPr>
            <w:tcW w:w="1330" w:type="dxa"/>
            <w:vAlign w:val="center"/>
          </w:tcPr>
          <w:p>
            <w:pPr>
              <w:pStyle w:val="TableNumber"/>
            </w:pPr>
            <w:r>
              <w:t>0.3501</w:t>
            </w:r>
          </w:p>
        </w:tc>
        <w:tc>
          <w:tcPr>
            <w:tcW w:w="1350" w:type="dxa"/>
            <w:vAlign w:val="center"/>
          </w:tcPr>
          <w:p>
            <w:pPr>
              <w:pStyle w:val="TableNumber"/>
            </w:pPr>
            <w:r>
              <w:t>0.3590</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0.375532</w:t>
            </w:r>
          </w:p>
        </w:tc>
        <w:tc>
          <w:tcPr>
            <w:tcW w:w="1330" w:type="dxa"/>
            <w:vAlign w:val="center"/>
          </w:tcPr>
          <w:p>
            <w:pPr>
              <w:pStyle w:val="TableNumber"/>
            </w:pPr>
            <w:r>
              <w:t>0.5484</w:t>
            </w:r>
          </w:p>
        </w:tc>
        <w:tc>
          <w:tcPr>
            <w:tcW w:w="1330" w:type="dxa"/>
            <w:vAlign w:val="center"/>
          </w:tcPr>
          <w:p>
            <w:pPr>
              <w:pStyle w:val="TableNumber"/>
            </w:pPr>
            <w:r>
              <w:t>0.3626</w:t>
            </w:r>
          </w:p>
        </w:tc>
        <w:tc>
          <w:tcPr>
            <w:tcW w:w="1350" w:type="dxa"/>
            <w:vAlign w:val="center"/>
          </w:tcPr>
          <w:p>
            <w:pPr>
              <w:pStyle w:val="TableNumber"/>
            </w:pPr>
            <w:r>
              <w:t>0.3360</w:t>
            </w:r>
          </w:p>
        </w:tc>
      </w:tr>
      <w:tr>
        <w:trPr>
          <w:cantSplit/>
        </w:trPr>
        <w:tc>
          <w:tcPr>
            <w:tcW w:w="650" w:type="dxa"/>
            <w:vAlign w:val="center"/>
          </w:tcPr>
          <w:p>
            <w:pPr>
              <w:pStyle w:val="TableNumber"/>
            </w:pPr>
            <w:r>
              <w:t>10</w:t>
            </w:r>
          </w:p>
        </w:tc>
        <w:tc>
          <w:tcPr>
            <w:tcW w:w="2800" w:type="dxa"/>
            <w:vAlign w:val="center"/>
          </w:tcPr>
          <w:p>
            <w:pPr>
              <w:pStyle w:val="TableText"/>
            </w:pPr>
            <w:r>
              <w:t>RSI 規則</w:t>
            </w:r>
          </w:p>
        </w:tc>
        <w:tc>
          <w:tcPr>
            <w:tcW w:w="1900" w:type="dxa"/>
            <w:vAlign w:val="center"/>
          </w:tcPr>
          <w:p>
            <w:pPr>
              <w:pStyle w:val="TableNumber"/>
            </w:pPr>
            <w:r>
              <w:t>0.407665</w:t>
            </w:r>
          </w:p>
        </w:tc>
        <w:tc>
          <w:tcPr>
            <w:tcW w:w="1330" w:type="dxa"/>
            <w:vAlign w:val="center"/>
          </w:tcPr>
          <w:p>
            <w:pPr>
              <w:pStyle w:val="TableNumber"/>
            </w:pPr>
            <w:r>
              <w:t>0.4404</w:t>
            </w:r>
          </w:p>
        </w:tc>
        <w:tc>
          <w:tcPr>
            <w:tcW w:w="1330" w:type="dxa"/>
            <w:vAlign w:val="center"/>
          </w:tcPr>
          <w:p>
            <w:pPr>
              <w:pStyle w:val="TableNumber"/>
            </w:pPr>
            <w:r>
              <w:t>0.3955</w:t>
            </w:r>
          </w:p>
        </w:tc>
        <w:tc>
          <w:tcPr>
            <w:tcW w:w="1350" w:type="dxa"/>
            <w:vAlign w:val="center"/>
          </w:tcPr>
          <w:p>
            <w:pPr>
              <w:pStyle w:val="TableNumber"/>
            </w:pPr>
            <w:r>
              <w:t>0.4390</w:t>
            </w:r>
          </w:p>
        </w:tc>
      </w:tr>
      <w:tr>
        <w:trPr>
          <w:cantSplit/>
        </w:trPr>
        <w:tc>
          <w:tcPr>
            <w:tcW w:w="650" w:type="dxa"/>
            <w:vAlign w:val="center"/>
          </w:tcPr>
          <w:p>
            <w:pPr>
              <w:pStyle w:val="TableNumber"/>
            </w:pPr>
            <w:r>
              <w:t>11</w:t>
            </w:r>
          </w:p>
        </w:tc>
        <w:tc>
          <w:tcPr>
            <w:tcW w:w="2800" w:type="dxa"/>
            <w:vAlign w:val="center"/>
          </w:tcPr>
          <w:p>
            <w:pPr>
              <w:pStyle w:val="TableText"/>
            </w:pPr>
            <w:r>
              <w:t>波動率縮放規則</w:t>
            </w:r>
          </w:p>
        </w:tc>
        <w:tc>
          <w:tcPr>
            <w:tcW w:w="1900" w:type="dxa"/>
            <w:vAlign w:val="center"/>
          </w:tcPr>
          <w:p>
            <w:pPr>
              <w:pStyle w:val="TableNumber"/>
            </w:pPr>
            <w:r>
              <w:t>0.500529</w:t>
            </w:r>
          </w:p>
        </w:tc>
        <w:tc>
          <w:tcPr>
            <w:tcW w:w="1330" w:type="dxa"/>
            <w:vAlign w:val="center"/>
          </w:tcPr>
          <w:p>
            <w:pPr>
              <w:pStyle w:val="TableNumber"/>
            </w:pPr>
            <w:r>
              <w:t>0.4687</w:t>
            </w:r>
          </w:p>
        </w:tc>
        <w:tc>
          <w:tcPr>
            <w:tcW w:w="1330" w:type="dxa"/>
            <w:vAlign w:val="center"/>
          </w:tcPr>
          <w:p>
            <w:pPr>
              <w:pStyle w:val="TableNumber"/>
            </w:pPr>
            <w:r>
              <w:t>0.4889</w:t>
            </w:r>
          </w:p>
        </w:tc>
        <w:tc>
          <w:tcPr>
            <w:tcW w:w="1350" w:type="dxa"/>
            <w:vAlign w:val="center"/>
          </w:tcPr>
          <w:p>
            <w:pPr>
              <w:pStyle w:val="TableNumber"/>
            </w:pPr>
            <w:r>
              <w:t>0.5854</w:t>
            </w:r>
          </w:p>
        </w:tc>
      </w:tr>
      <w:tr>
        <w:trPr>
          <w:cantSplit/>
        </w:trPr>
        <w:tc>
          <w:tcPr>
            <w:tcW w:w="650" w:type="dxa"/>
            <w:vAlign w:val="center"/>
          </w:tcPr>
          <w:p>
            <w:pPr>
              <w:pStyle w:val="TableNumber"/>
            </w:pPr>
            <w:r>
              <w:t>12</w:t>
            </w:r>
          </w:p>
        </w:tc>
        <w:tc>
          <w:tcPr>
            <w:tcW w:w="2800" w:type="dxa"/>
            <w:vAlign w:val="center"/>
          </w:tcPr>
          <w:p>
            <w:pPr>
              <w:pStyle w:val="TableText"/>
            </w:pPr>
            <w:r>
              <w:t>5 日動能</w:t>
            </w:r>
          </w:p>
        </w:tc>
        <w:tc>
          <w:tcPr>
            <w:tcW w:w="1900" w:type="dxa"/>
            <w:vAlign w:val="center"/>
          </w:tcPr>
          <w:p>
            <w:pPr>
              <w:pStyle w:val="TableNumber"/>
            </w:pPr>
            <w:r>
              <w:t>0.519113</w:t>
            </w:r>
          </w:p>
        </w:tc>
        <w:tc>
          <w:tcPr>
            <w:tcW w:w="1330" w:type="dxa"/>
            <w:vAlign w:val="center"/>
          </w:tcPr>
          <w:p>
            <w:pPr>
              <w:pStyle w:val="TableNumber"/>
            </w:pPr>
            <w:r>
              <w:t>0.4750</w:t>
            </w:r>
          </w:p>
        </w:tc>
        <w:tc>
          <w:tcPr>
            <w:tcW w:w="1330" w:type="dxa"/>
            <w:vAlign w:val="center"/>
          </w:tcPr>
          <w:p>
            <w:pPr>
              <w:pStyle w:val="TableNumber"/>
            </w:pPr>
            <w:r>
              <w:t>0.5079</w:t>
            </w:r>
          </w:p>
        </w:tc>
        <w:tc>
          <w:tcPr>
            <w:tcW w:w="1350" w:type="dxa"/>
            <w:vAlign w:val="center"/>
          </w:tcPr>
          <w:p>
            <w:pPr>
              <w:pStyle w:val="TableNumber"/>
            </w:pPr>
            <w:r>
              <w:t>0.6127</w:t>
            </w:r>
          </w:p>
        </w:tc>
      </w:tr>
      <w:tr>
        <w:trPr>
          <w:cantSplit/>
        </w:trPr>
        <w:tc>
          <w:tcPr>
            <w:tcW w:w="650" w:type="dxa"/>
            <w:vAlign w:val="center"/>
          </w:tcPr>
          <w:p>
            <w:pPr>
              <w:pStyle w:val="TableNumber"/>
            </w:pPr>
            <w:r>
              <w:t>13</w:t>
            </w:r>
          </w:p>
        </w:tc>
        <w:tc>
          <w:tcPr>
            <w:tcW w:w="2800" w:type="dxa"/>
            <w:vAlign w:val="center"/>
          </w:tcPr>
          <w:p>
            <w:pPr>
              <w:pStyle w:val="TableText"/>
            </w:pPr>
            <w:r>
              <w:t>5 日反轉</w:t>
            </w:r>
          </w:p>
        </w:tc>
        <w:tc>
          <w:tcPr>
            <w:tcW w:w="1900" w:type="dxa"/>
            <w:vAlign w:val="center"/>
          </w:tcPr>
          <w:p>
            <w:pPr>
              <w:pStyle w:val="TableNumber"/>
            </w:pPr>
            <w:r>
              <w:t>0.523584</w:t>
            </w:r>
          </w:p>
        </w:tc>
        <w:tc>
          <w:tcPr>
            <w:tcW w:w="1330" w:type="dxa"/>
            <w:vAlign w:val="center"/>
          </w:tcPr>
          <w:p>
            <w:pPr>
              <w:pStyle w:val="TableNumber"/>
            </w:pPr>
            <w:r>
              <w:t>0.4677</w:t>
            </w:r>
          </w:p>
        </w:tc>
        <w:tc>
          <w:tcPr>
            <w:tcW w:w="1330" w:type="dxa"/>
            <w:vAlign w:val="center"/>
          </w:tcPr>
          <w:p>
            <w:pPr>
              <w:pStyle w:val="TableNumber"/>
            </w:pPr>
            <w:r>
              <w:t>0.5110</w:t>
            </w:r>
          </w:p>
        </w:tc>
        <w:tc>
          <w:tcPr>
            <w:tcW w:w="1350" w:type="dxa"/>
            <w:vAlign w:val="center"/>
          </w:tcPr>
          <w:p>
            <w:pPr>
              <w:pStyle w:val="TableNumber"/>
            </w:pPr>
            <w:r>
              <w:t>0.6254</w:t>
            </w:r>
          </w:p>
        </w:tc>
      </w:tr>
    </w:tbl>
    <w:p>
      <w:pPr>
        <w:pStyle w:val="Note"/>
      </w:pPr>
      <w:r>
        <w:t>所有 learned baseline 均使用 seed 42；主排名只依 14 horizon selection score。</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run ID</w:t>
            </w:r>
          </w:p>
        </w:tc>
        <w:tc>
          <w:tcPr>
            <w:tcW w:w="6360" w:type="dxa"/>
            <w:vAlign w:val="center"/>
          </w:tcPr>
          <w:p>
            <w:pPr>
              <w:pStyle w:val="TableText"/>
            </w:pPr>
            <w:r>
              <w:t>run-20260915T091153Z-918316277</w:t>
            </w:r>
          </w:p>
        </w:tc>
      </w:tr>
      <w:tr>
        <w:trPr>
          <w:cantSplit/>
        </w:trPr>
        <w:tc>
          <w:tcPr>
            <w:tcW w:w="3000" w:type="dxa"/>
            <w:vAlign w:val="center"/>
          </w:tcPr>
          <w:p>
            <w:pPr>
              <w:pStyle w:val="TableText"/>
            </w:pPr>
            <w:r>
              <w:t>最佳 checkpoint</w:t>
            </w:r>
          </w:p>
        </w:tc>
        <w:tc>
          <w:tcPr>
            <w:tcW w:w="6360" w:type="dxa"/>
            <w:vAlign w:val="center"/>
          </w:tcPr>
          <w:p>
            <w:pPr>
              <w:pStyle w:val="TableText"/>
            </w:pPr>
            <w:r>
              <w:t>checkpoint-043773; validation monitor 0.276787509975134; test score 0.306783702944706</w:t>
            </w:r>
          </w:p>
        </w:tc>
      </w:tr>
      <w:tr>
        <w:trPr>
          <w:cantSplit/>
        </w:trPr>
        <w:tc>
          <w:tcPr>
            <w:tcW w:w="3000" w:type="dxa"/>
            <w:vAlign w:val="center"/>
          </w:tcPr>
          <w:p>
            <w:pPr>
              <w:pStyle w:val="TableText"/>
            </w:pPr>
            <w:r>
              <w:t>輸出 schema</w:t>
            </w:r>
          </w:p>
        </w:tc>
        <w:tc>
          <w:tcPr>
            <w:tcW w:w="6360" w:type="dxa"/>
            <w:vAlign w:val="center"/>
          </w:tcPr>
          <w:p>
            <w:pPr>
              <w:pStyle w:val="TableText"/>
            </w:pPr>
            <w:r>
              <w:t>model_output_schema_version=5.0; horizons 1-14; q10/q50/q90</w:t>
            </w:r>
          </w:p>
        </w:tc>
      </w:tr>
      <w:tr>
        <w:trPr>
          <w:cantSplit/>
        </w:trPr>
        <w:tc>
          <w:tcPr>
            <w:tcW w:w="3000" w:type="dxa"/>
            <w:vAlign w:val="center"/>
          </w:tcPr>
          <w:p>
            <w:pPr>
              <w:pStyle w:val="TableText"/>
            </w:pPr>
            <w:r>
              <w:t>evaluation 狀態</w:t>
            </w:r>
          </w:p>
        </w:tc>
        <w:tc>
          <w:tcPr>
            <w:tcW w:w="6360" w:type="dxa"/>
            <w:vAlign w:val="center"/>
          </w:tcPr>
          <w:p>
            <w:pPr>
              <w:pStyle w:val="TableText"/>
            </w:pPr>
            <w:r>
              <w:t>state=ready; split=test; exit code 0; test_unlocked=true</w:t>
            </w:r>
          </w:p>
        </w:tc>
      </w:tr>
      <w:tr>
        <w:trPr>
          <w:cantSplit/>
        </w:trPr>
        <w:tc>
          <w:tcPr>
            <w:tcW w:w="3000" w:type="dxa"/>
            <w:vAlign w:val="center"/>
          </w:tcPr>
          <w:p>
            <w:pPr>
              <w:pStyle w:val="TableText"/>
            </w:pPr>
            <w:r>
              <w:t>training lifecycle</w:t>
            </w:r>
          </w:p>
        </w:tc>
        <w:tc>
          <w:tcPr>
            <w:tcW w:w="6360" w:type="dxa"/>
            <w:vAlign w:val="center"/>
          </w:tcPr>
          <w:p>
            <w:pPr>
              <w:pStyle w:val="TableText"/>
            </w:pPr>
            <w:r>
              <w:t>state=ready; exit code 1; timed_out=False; training_completed=True</w:t>
            </w:r>
          </w:p>
        </w:tc>
      </w:tr>
      <w:tr>
        <w:trPr>
          <w:cantSplit/>
        </w:trPr>
        <w:tc>
          <w:tcPr>
            <w:tcW w:w="3000" w:type="dxa"/>
            <w:vAlign w:val="center"/>
          </w:tcPr>
          <w:p>
            <w:pPr>
              <w:pStyle w:val="TableText"/>
            </w:pPr>
            <w:r>
              <w:t>上一輪比較</w:t>
            </w:r>
          </w:p>
        </w:tc>
        <w:tc>
          <w:tcPr>
            <w:tcW w:w="6360" w:type="dxa"/>
            <w:vAlign w:val="center"/>
          </w:tcPr>
          <w:p>
            <w:pPr>
              <w:pStyle w:val="TableText"/>
            </w:pPr>
            <w:r>
              <w:t>run-20260905T203327Z-270337978; validation score 0.314283044124755; split 差異使比較只能作方向性參考</w:t>
            </w:r>
          </w:p>
        </w:tc>
      </w:tr>
      <w:tr>
        <w:trPr>
          <w:cantSplit/>
        </w:trPr>
        <w:tc>
          <w:tcPr>
            <w:tcW w:w="3000" w:type="dxa"/>
            <w:vAlign w:val="center"/>
          </w:tcPr>
          <w:p>
            <w:pPr>
              <w:pStyle w:val="TableText"/>
            </w:pPr>
            <w:r>
              <w:t>資料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主要 artifacts</w:t>
            </w:r>
          </w:p>
        </w:tc>
        <w:tc>
          <w:tcPr>
            <w:tcW w:w="6360" w:type="dxa"/>
            <w:vAlign w:val="center"/>
          </w:tcPr>
          <w:p>
            <w:pPr>
              <w:pStyle w:val="TableText"/>
            </w:pPr>
            <w:r>
              <w:t>best-checkpoint.json; checkpoint-leaderboard.json; training-result.json; validation-benchmark.json; resolved-config.yaml; run-manifest.json</w:t>
            </w:r>
          </w:p>
        </w:tc>
      </w:tr>
    </w:tbl>
    <w:p>
      <w:pPr>
        <w:pStyle w:val="Note"/>
      </w:pPr>
      <w:r>
        <w:t>本報告數值直接來自本輪 run artifacts；沒有重新訓練、重新抽樣或修改指標手冊。test 評分使用 validation 選出的 checkpoint。</w:t>
      </w:r>
    </w:p>
    <w:p>
      <w:pPr>
        <w:pStyle w:val="Kicker"/>
      </w:pPr>
      <w:r>
        <w:t>MODEL PERFORMANCE EVALUATION</w:t>
      </w:r>
    </w:p>
    <w:p>
      <w:pPr>
        <w:pStyle w:val="ReportTitle"/>
      </w:pPr>
      <w:r>
        <w:t>One to Fourteen Day Alpha Forecast Validation</w:t>
      </w:r>
    </w:p>
    <w:p>
      <w:pPr>
        <w:pStyle w:val="1"/>
      </w:pPr>
      <w:r>
        <w:t>Stage 2 | run-20260915T091153Z-918316277</w:t>
      </w:r>
    </w:p>
    <w:p>
      <w:pPr>
        <w:pStyle w:val="Metadata"/>
      </w:pPr>
      <w:r>
        <w:t>Report date: 2026-09-17</w:t>
      </w:r>
    </w:p>
    <w:p>
      <w:pPr>
        <w:pStyle w:val="Metadata"/>
      </w:pPr>
      <w:r>
        <w:t>Best checkpoint: checkpoint-043773 (global step 43,773)</w:t>
      </w:r>
    </w:p>
    <w:p>
      <w:pPr>
        <w:pStyle w:val="Metadata"/>
      </w:pPr>
      <w:r>
        <w:t>Evaluation split: test; checkpoint selected on validation; test is unlocked</w:t>
      </w:r>
    </w:p>
    <w:p>
      <w:pPr>
        <w:pStyle w:val="Lead"/>
      </w:pPr>
      <w:r>
        <w:t>Conclusion: on 20,000 test benchmark rows, this Stage 2 run's best checkpoint obtains an all-horizon score of 0.306784 and ranks 1 of 13. Normalized pinball ranks first at all 14 horizons; RankIC ranks first at 5 horizons and net Sharpe at 9. q50 correlation ranges from 0.0298 to 0.1204, direction agreement from 51.41% to 58.54%, and 13 horizons are below nominal 80% coverage. The score is 2.39% better than the previous validation score, but the split changed from validation to test, so this is not a like-for-like gain. The training marker says completed while training lifecycle exit_code=1; deployment remains blocked until that mismatch, calibration, multi-seed stability, and risk gates are resolved.</w:t>
      </w:r>
    </w:p>
    <w:p>
      <w:pPr>
        <w:pStyle w:val="11"/>
      </w:pPr>
      <w:r>
        <w:t>1. Executive summary</w:t>
      </w:r>
    </w:p>
    <w:p>
      <w:pPr>
        <w:pStyle w:val="21"/>
      </w:pPr>
      <w:r>
        <w:t>1.1 The unit of evaluation is all 14 horizons</w:t>
      </w:r>
    </w:p>
    <w:p>
      <w:pPr>
        <w:pStyle w:val="a"/>
      </w:pPr>
      <w:r>
        <w:t>Each sample contains 14 separate q10, q50, and q90 triplets. They describe benchmark-relative outcomes after holding for 1, 2, and up to 14 common trading days. The selection score is the equal-weight mean normalized pinball across all horizons. The horizon tables test whether the aggregate result is supported broadly rather than by only a few holding periods.</w:t>
      </w:r>
    </w:p>
    <w:p>
      <w:pPr>
        <w:pStyle w:val="Decision"/>
        <w:keepNext/>
        <w:spacing w:after="80"/>
      </w:pPr>
      <w:r>
        <w:t>Table 1 | Main findings across days 1 through 14</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Evaluation area</w:t>
            </w:r>
          </w:p>
        </w:tc>
        <w:tc>
          <w:tcPr>
            <w:tcW w:w="2800" w:type="dxa"/>
            <w:shd w:val="clear" w:fill="DCE6F1"/>
            <w:vAlign w:val="center"/>
          </w:tcPr>
          <w:p>
            <w:pPr>
              <w:pStyle w:val="TableHeader"/>
            </w:pPr>
            <w:r>
              <w:t>Result</w:t>
            </w:r>
          </w:p>
        </w:tc>
        <w:tc>
          <w:tcPr>
            <w:tcW w:w="3910" w:type="dxa"/>
            <w:shd w:val="clear" w:fill="DCE6F1"/>
            <w:vAlign w:val="center"/>
          </w:tcPr>
          <w:p>
            <w:pPr>
              <w:pStyle w:val="TableHeader"/>
            </w:pPr>
            <w:r>
              <w:t>Correct interpretation</w:t>
            </w:r>
          </w:p>
        </w:tc>
      </w:tr>
      <w:tr>
        <w:trPr>
          <w:cantSplit/>
        </w:trPr>
        <w:tc>
          <w:tcPr>
            <w:tcW w:w="2650" w:type="dxa"/>
            <w:vAlign w:val="center"/>
          </w:tcPr>
          <w:p>
            <w:pPr>
              <w:pStyle w:val="TableText"/>
            </w:pPr>
            <w:r>
              <w:t>All-horizon test score</w:t>
            </w:r>
          </w:p>
        </w:tc>
        <w:tc>
          <w:tcPr>
            <w:tcW w:w="2800" w:type="dxa"/>
            <w:vAlign w:val="center"/>
          </w:tcPr>
          <w:p>
            <w:pPr>
              <w:pStyle w:val="TableNumber"/>
            </w:pPr>
            <w:r>
              <w:t>0.306784</w:t>
            </w:r>
          </w:p>
        </w:tc>
        <w:tc>
          <w:tcPr>
            <w:tcW w:w="3910" w:type="dxa"/>
            <w:vAlign w:val="center"/>
          </w:tcPr>
          <w:p>
            <w:pPr>
              <w:pStyle w:val="TableText"/>
            </w:pPr>
            <w:r>
              <w:t>Rank 1 of 13; equal weight across 14 horizons; checkpoint selected on validation</w:t>
            </w:r>
          </w:p>
        </w:tc>
      </w:tr>
      <w:tr>
        <w:trPr>
          <w:cantSplit/>
        </w:trPr>
        <w:tc>
          <w:tcPr>
            <w:tcW w:w="2650" w:type="dxa"/>
            <w:vAlign w:val="center"/>
          </w:tcPr>
          <w:p>
            <w:pPr>
              <w:pStyle w:val="TableText"/>
            </w:pPr>
            <w:r>
              <w:t>Per-horizon normalized pinball</w:t>
            </w:r>
          </w:p>
        </w:tc>
        <w:tc>
          <w:tcPr>
            <w:tcW w:w="2800" w:type="dxa"/>
            <w:vAlign w:val="center"/>
          </w:tcPr>
          <w:p>
            <w:pPr>
              <w:pStyle w:val="TableNumber"/>
            </w:pPr>
            <w:r>
              <w:t>Rank 1 at 14</w:t>
            </w:r>
          </w:p>
        </w:tc>
        <w:tc>
          <w:tcPr>
            <w:tcW w:w="3910" w:type="dxa"/>
            <w:vAlign w:val="center"/>
          </w:tcPr>
          <w:p>
            <w:pPr>
              <w:pStyle w:val="TableText"/>
            </w:pPr>
            <w:r>
              <w:t>Rank 1 at every day from 1 through 14</w:t>
            </w:r>
          </w:p>
        </w:tc>
      </w:tr>
      <w:tr>
        <w:trPr>
          <w:cantSplit/>
        </w:trPr>
        <w:tc>
          <w:tcPr>
            <w:tcW w:w="2650" w:type="dxa"/>
            <w:vAlign w:val="center"/>
          </w:tcPr>
          <w:p>
            <w:pPr>
              <w:pStyle w:val="TableText"/>
            </w:pPr>
            <w:r>
              <w:t>q50 Pearson correlation</w:t>
            </w:r>
          </w:p>
        </w:tc>
        <w:tc>
          <w:tcPr>
            <w:tcW w:w="2800" w:type="dxa"/>
            <w:vAlign w:val="center"/>
          </w:tcPr>
          <w:p>
            <w:pPr>
              <w:pStyle w:val="TableNumber"/>
            </w:pPr>
            <w:r>
              <w:t>14 of 14 positive; 0.0298 to 0.1204</w:t>
            </w:r>
          </w:p>
        </w:tc>
        <w:tc>
          <w:tcPr>
            <w:tcW w:w="3910" w:type="dxa"/>
            <w:vAlign w:val="center"/>
          </w:tcPr>
          <w:p>
            <w:pPr>
              <w:pStyle w:val="TableText"/>
            </w:pPr>
            <w:r>
              <w:t>Generally higher at longer horizons but still weak</w:t>
            </w:r>
          </w:p>
        </w:tc>
      </w:tr>
      <w:tr>
        <w:trPr>
          <w:cantSplit/>
        </w:trPr>
        <w:tc>
          <w:tcPr>
            <w:tcW w:w="2650" w:type="dxa"/>
            <w:vAlign w:val="center"/>
          </w:tcPr>
          <w:p>
            <w:pPr>
              <w:pStyle w:val="TableText"/>
            </w:pPr>
            <w:r>
              <w:t>Direction agreement</w:t>
            </w:r>
          </w:p>
        </w:tc>
        <w:tc>
          <w:tcPr>
            <w:tcW w:w="2800" w:type="dxa"/>
            <w:vAlign w:val="center"/>
          </w:tcPr>
          <w:p>
            <w:pPr>
              <w:pStyle w:val="TableNumber"/>
            </w:pPr>
            <w:r>
              <w:t>51.41% to 58.54%</w:t>
            </w:r>
          </w:p>
        </w:tc>
        <w:tc>
          <w:tcPr>
            <w:tcW w:w="3910" w:type="dxa"/>
            <w:vAlign w:val="center"/>
          </w:tcPr>
          <w:p>
            <w:pPr>
              <w:pStyle w:val="TableText"/>
            </w:pPr>
            <w:r>
              <w:t>Above 50% at all 14 horizons</w:t>
            </w:r>
          </w:p>
        </w:tc>
      </w:tr>
      <w:tr>
        <w:trPr>
          <w:cantSplit/>
        </w:trPr>
        <w:tc>
          <w:tcPr>
            <w:tcW w:w="2650" w:type="dxa"/>
            <w:vAlign w:val="center"/>
          </w:tcPr>
          <w:p>
            <w:pPr>
              <w:pStyle w:val="TableText"/>
            </w:pPr>
            <w:r>
              <w:t>q10 to q90 coverage</w:t>
            </w:r>
          </w:p>
        </w:tc>
        <w:tc>
          <w:tcPr>
            <w:tcW w:w="2800" w:type="dxa"/>
            <w:vAlign w:val="center"/>
          </w:tcPr>
          <w:p>
            <w:pPr>
              <w:pStyle w:val="TableNumber"/>
            </w:pPr>
            <w:r>
              <w:t>74.95% to 82.06%</w:t>
            </w:r>
          </w:p>
        </w:tc>
        <w:tc>
          <w:tcPr>
            <w:tcW w:w="3910" w:type="dxa"/>
            <w:vAlign w:val="center"/>
          </w:tcPr>
          <w:p>
            <w:pPr>
              <w:pStyle w:val="TableText"/>
            </w:pPr>
            <w:r>
              <w:t>13 of 14 below nominal 80%</w:t>
            </w:r>
          </w:p>
        </w:tc>
      </w:tr>
      <w:tr>
        <w:trPr>
          <w:cantSplit/>
        </w:trPr>
        <w:tc>
          <w:tcPr>
            <w:tcW w:w="2650" w:type="dxa"/>
            <w:vAlign w:val="center"/>
          </w:tcPr>
          <w:p>
            <w:pPr>
              <w:pStyle w:val="TableText"/>
            </w:pPr>
            <w:r>
              <w:t>RankIC</w:t>
            </w:r>
          </w:p>
        </w:tc>
        <w:tc>
          <w:tcPr>
            <w:tcW w:w="2800" w:type="dxa"/>
            <w:vAlign w:val="center"/>
          </w:tcPr>
          <w:p>
            <w:pPr>
              <w:pStyle w:val="TableNumber"/>
            </w:pPr>
            <w:r>
              <w:t>14 of 14 positive; rank 1 at 5</w:t>
            </w:r>
          </w:p>
        </w:tc>
        <w:tc>
          <w:tcPr>
            <w:tcW w:w="3910" w:type="dxa"/>
            <w:vAlign w:val="center"/>
          </w:tcPr>
          <w:p>
            <w:pPr>
              <w:pStyle w:val="TableText"/>
            </w:pPr>
            <w:r>
              <w:t>Ranks 1 through 4 across horizons</w:t>
            </w:r>
          </w:p>
        </w:tc>
      </w:tr>
      <w:tr>
        <w:trPr>
          <w:cantSplit/>
        </w:trPr>
        <w:tc>
          <w:tcPr>
            <w:tcW w:w="2650" w:type="dxa"/>
            <w:vAlign w:val="center"/>
          </w:tcPr>
          <w:p>
            <w:pPr>
              <w:pStyle w:val="TableText"/>
            </w:pPr>
            <w:r>
              <w:t>Net Sharpe</w:t>
            </w:r>
          </w:p>
        </w:tc>
        <w:tc>
          <w:tcPr>
            <w:tcW w:w="2800" w:type="dxa"/>
            <w:vAlign w:val="center"/>
          </w:tcPr>
          <w:p>
            <w:pPr>
              <w:pStyle w:val="TableNumber"/>
            </w:pPr>
            <w:r>
              <w:t>14 of 14 positive; rank 1 at 9</w:t>
            </w:r>
          </w:p>
        </w:tc>
        <w:tc>
          <w:tcPr>
            <w:tcW w:w="3910" w:type="dxa"/>
            <w:vAlign w:val="center"/>
          </w:tcPr>
          <w:p>
            <w:pPr>
              <w:pStyle w:val="TableText"/>
            </w:pPr>
            <w:r>
              <w:t>Ranks 1 through 2; overlapping-return autocorrelation is not corrected</w:t>
            </w:r>
          </w:p>
        </w:tc>
      </w:tr>
      <w:tr>
        <w:trPr>
          <w:cantSplit/>
        </w:trPr>
        <w:tc>
          <w:tcPr>
            <w:tcW w:w="2650" w:type="dxa"/>
            <w:vAlign w:val="center"/>
          </w:tcPr>
          <w:p>
            <w:pPr>
              <w:pStyle w:val="TableText"/>
            </w:pPr>
            <w:r>
              <w:t>Maximum drawdown</w:t>
            </w:r>
          </w:p>
        </w:tc>
        <w:tc>
          <w:tcPr>
            <w:tcW w:w="2800" w:type="dxa"/>
            <w:vAlign w:val="center"/>
          </w:tcPr>
          <w:p>
            <w:pPr>
              <w:pStyle w:val="TableNumber"/>
            </w:pPr>
            <w:r>
              <w:t>-4.72% to -35.31%</w:t>
            </w:r>
          </w:p>
        </w:tc>
        <w:tc>
          <w:tcPr>
            <w:tcW w:w="3910" w:type="dxa"/>
            <w:vAlign w:val="center"/>
          </w:tcPr>
          <w:p>
            <w:pPr>
              <w:pStyle w:val="TableText"/>
            </w:pPr>
            <w:r>
              <w:t>Ranks 3 through 9 across models</w:t>
            </w:r>
          </w:p>
        </w:tc>
      </w:tr>
    </w:tbl>
    <w:p>
      <w:pPr>
        <w:pStyle w:val="21"/>
      </w:pPr>
      <w:r>
        <w:t>1.2 Decision and evidence strength</w:t>
      </w:r>
    </w:p>
    <w:p>
      <w:pPr>
        <w:pStyle w:val="a"/>
      </w:pPr>
      <w:r>
        <w:t>Kronos has a test score of 0.306784, ranked 1 of 13; it is 1.25% lower than second-place Paired GRU at 0.310659 and 8.71% lower than the zero-return baseline at 0.336065. It ranks first on normalized pinball at all 14 horizons. Relative to the previous run, days 2, 3, 4, 5, 6, 7, 8, 9, 10, 11, 12, 13, 14 improve and days 1 worsen, with changes from -5.51% to 4.20%; the prior result was validation and this result is test, so the comparison is directional only.</w:t>
      </w:r>
    </w:p>
    <w:p>
      <w:pPr>
        <w:pStyle w:val="Decision"/>
      </w:pPr>
      <w:r>
        <w:t>Decision: retain the best checkpoint and test result as candidate evidence. Test scoring is complete, but do not approve deployment or live use until interval calibration, multi-seed stability, the training lifecycle exit-code mismatch, and trading-risk gates are resolved.</w:t>
      </w:r>
    </w:p>
    <w:p>
      <w:pPr>
        <w:pStyle w:val="Note"/>
      </w:pPr>
      <w:r>
        <w:t>Selection score measures distribution error across 14 horizons. It is not return, hit rate, or a tradability score.</w:t>
      </w:r>
    </w:p>
    <w:p>
      <w:pPr>
        <w:pStyle w:val="11"/>
      </w:pPr>
      <w:r>
        <w:t>2. Validation design and evidence boundary</w:t>
      </w:r>
    </w:p>
    <w:p>
      <w:pPr>
        <w:pStyle w:val="21"/>
      </w:pPr>
      <w:r>
        <w:t>2.1 Data and splits</w:t>
      </w:r>
    </w:p>
    <w:p>
      <w:pPr>
        <w:pStyle w:val="a"/>
      </w:pPr>
      <w:r>
        <w:t>The us_tw_eodhd profile combines EODHD US data with official TPEx and TWSE data. Every model uses the same chronological split, benchmark mapping, cutoff-inclusive input context, and entry and exit timestamps.</w:t>
      </w:r>
    </w:p>
    <w:p>
      <w:pPr>
        <w:pStyle w:val="Decision"/>
        <w:keepNext/>
        <w:spacing w:after="80"/>
      </w:pPr>
      <w:r>
        <w:t>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Full training split</w:t>
            </w:r>
          </w:p>
        </w:tc>
        <w:tc>
          <w:tcPr>
            <w:tcW w:w="2050" w:type="dxa"/>
            <w:vAlign w:val="center"/>
          </w:tcPr>
          <w:p>
            <w:pPr>
              <w:pStyle w:val="TableNumber"/>
            </w:pPr>
            <w:r>
              <w:t>14,007,228</w:t>
            </w:r>
          </w:p>
        </w:tc>
        <w:tc>
          <w:tcPr>
            <w:tcW w:w="4510" w:type="dxa"/>
            <w:vAlign w:val="center"/>
          </w:tcPr>
          <w:p>
            <w:pPr>
              <w:pStyle w:val="TableText"/>
            </w:pPr>
            <w:r>
              <w:t>Stage 2 uses the full training split with no max_samples cap</w:t>
            </w:r>
          </w:p>
        </w:tc>
      </w:tr>
      <w:tr>
        <w:trPr>
          <w:cantSplit/>
        </w:trPr>
        <w:tc>
          <w:tcPr>
            <w:tcW w:w="2800" w:type="dxa"/>
            <w:vAlign w:val="center"/>
          </w:tcPr>
          <w:p>
            <w:pPr>
              <w:pStyle w:val="TableText"/>
            </w:pPr>
            <w:r>
              <w:t>Processed training rows</w:t>
            </w:r>
          </w:p>
        </w:tc>
        <w:tc>
          <w:tcPr>
            <w:tcW w:w="2050" w:type="dxa"/>
            <w:vAlign w:val="center"/>
          </w:tcPr>
          <w:p>
            <w:pPr>
              <w:pStyle w:val="TableNumber"/>
            </w:pPr>
            <w:r>
              <w:t>25,213,120</w:t>
            </w:r>
          </w:p>
        </w:tc>
        <w:tc>
          <w:tcPr>
            <w:tcW w:w="4510" w:type="dxa"/>
            <w:vAlign w:val="center"/>
          </w:tcPr>
          <w:p>
            <w:pPr>
              <w:pStyle w:val="TableText"/>
            </w:pPr>
            <w:r>
              <w:t>About 1.80 raw split epochs; 36.00% of planned samples before early stopping</w:t>
            </w:r>
          </w:p>
        </w:tc>
      </w:tr>
      <w:tr>
        <w:trPr>
          <w:cantSplit/>
        </w:trPr>
        <w:tc>
          <w:tcPr>
            <w:tcW w:w="2800" w:type="dxa"/>
            <w:vAlign w:val="center"/>
          </w:tcPr>
          <w:p>
            <w:pPr>
              <w:pStyle w:val="TableText"/>
            </w:pPr>
            <w:r>
              <w:t>Full validation split</w:t>
            </w:r>
          </w:p>
        </w:tc>
        <w:tc>
          <w:tcPr>
            <w:tcW w:w="2050" w:type="dxa"/>
            <w:vAlign w:val="center"/>
          </w:tcPr>
          <w:p>
            <w:pPr>
              <w:pStyle w:val="TableNumber"/>
            </w:pPr>
            <w:r>
              <w:t>1,230,902</w:t>
            </w:r>
          </w:p>
        </w:tc>
        <w:tc>
          <w:tcPr>
            <w:tcW w:w="4510" w:type="dxa"/>
            <w:vAlign w:val="center"/>
          </w:tcPr>
          <w:p>
            <w:pPr>
              <w:pStyle w:val="TableText"/>
            </w:pPr>
            <w:r>
              <w:t>Used for checkpoint selection; the benchmark evaluates a deterministic subset</w:t>
            </w:r>
          </w:p>
        </w:tc>
      </w:tr>
      <w:tr>
        <w:trPr>
          <w:cantSplit/>
        </w:trPr>
        <w:tc>
          <w:tcPr>
            <w:tcW w:w="2800" w:type="dxa"/>
            <w:vAlign w:val="center"/>
          </w:tcPr>
          <w:p>
            <w:pPr>
              <w:pStyle w:val="TableText"/>
            </w:pPr>
            <w:r>
              <w:t>Full test split</w:t>
            </w:r>
          </w:p>
        </w:tc>
        <w:tc>
          <w:tcPr>
            <w:tcW w:w="2050" w:type="dxa"/>
            <w:vAlign w:val="center"/>
          </w:tcPr>
          <w:p>
            <w:pPr>
              <w:pStyle w:val="TableNumber"/>
            </w:pPr>
            <w:r>
              <w:t>1,261,524</w:t>
            </w:r>
          </w:p>
        </w:tc>
        <w:tc>
          <w:tcPr>
            <w:tcW w:w="4510" w:type="dxa"/>
            <w:vAlign w:val="center"/>
          </w:tcPr>
          <w:p>
            <w:pPr>
              <w:pStyle w:val="TableText"/>
            </w:pPr>
            <w:r>
              <w:t>Test is unlocked and the benchmark scores 20,000 rows after validation selection</w:t>
            </w:r>
          </w:p>
        </w:tc>
      </w:tr>
      <w:tr>
        <w:trPr>
          <w:cantSplit/>
        </w:trPr>
        <w:tc>
          <w:tcPr>
            <w:tcW w:w="2800" w:type="dxa"/>
            <w:vAlign w:val="center"/>
          </w:tcPr>
          <w:p>
            <w:pPr>
              <w:pStyle w:val="TableText"/>
            </w:pPr>
            <w:r>
              <w:t>Test rows per horizon</w:t>
            </w:r>
          </w:p>
        </w:tc>
        <w:tc>
          <w:tcPr>
            <w:tcW w:w="2050" w:type="dxa"/>
            <w:vAlign w:val="center"/>
          </w:tcPr>
          <w:p>
            <w:pPr>
              <w:pStyle w:val="TableNumber"/>
            </w:pPr>
            <w:r>
              <w:t>20,000</w:t>
            </w:r>
          </w:p>
        </w:tc>
        <w:tc>
          <w:tcPr>
            <w:tcW w:w="4510" w:type="dxa"/>
            <w:vAlign w:val="center"/>
          </w:tcPr>
          <w:p>
            <w:pPr>
              <w:pStyle w:val="TableText"/>
            </w:pPr>
            <w:r>
              <w:t>Days 1 through 14 use the same rows across 112 dates</w:t>
            </w:r>
          </w:p>
        </w:tc>
      </w:tr>
      <w:tr>
        <w:trPr>
          <w:cantSplit/>
        </w:trPr>
        <w:tc>
          <w:tcPr>
            <w:tcW w:w="2800" w:type="dxa"/>
            <w:vAlign w:val="center"/>
          </w:tcPr>
          <w:p>
            <w:pPr>
              <w:pStyle w:val="TableText"/>
            </w:pPr>
            <w:r>
              <w:t>Cross-sectional dates</w:t>
            </w:r>
          </w:p>
        </w:tc>
        <w:tc>
          <w:tcPr>
            <w:tcW w:w="2050" w:type="dxa"/>
            <w:vAlign w:val="center"/>
          </w:tcPr>
          <w:p>
            <w:pPr>
              <w:pStyle w:val="TableNumber"/>
            </w:pPr>
            <w:r>
              <w:t>112</w:t>
            </w:r>
          </w:p>
        </w:tc>
        <w:tc>
          <w:tcPr>
            <w:tcW w:w="4510" w:type="dxa"/>
            <w:vAlign w:val="center"/>
          </w:tcPr>
          <w:p>
            <w:pPr>
              <w:pStyle w:val="TableText"/>
            </w:pPr>
            <w:r>
              <w:t>Every horizon aggregates 112 eligible dates</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One seed; random variation is not measured</w:t>
            </w:r>
          </w:p>
        </w:tc>
      </w:tr>
    </w:tbl>
    <w:p>
      <w:pPr>
        <w:pStyle w:val="a"/>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answers how much the stock outperforms or underperforms the benchmark over the same holding period. It is not valuation, a price target, or the stock's standalone return. If q=0.05, the exact relative gross ratio is exp(0.05)-1=5.13%; for small values, it is approximately 5%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Every number is benchmark-relative adjusted execution log return for that horizon.</w:t>
      </w:r>
    </w:p>
    <w:p>
      <w:pPr>
        <w:pStyle w:val="Decision"/>
        <w:keepNext/>
        <w:spacing w:after="80"/>
      </w:pPr>
      <w:r>
        <w:t>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the number forecasts</w:t>
            </w:r>
          </w:p>
        </w:tc>
      </w:tr>
      <w:tr>
        <w:trPr>
          <w:cantSplit/>
        </w:trPr>
        <w:tc>
          <w:tcPr>
            <w:tcW w:w="1300" w:type="dxa"/>
            <w:vAlign w:val="center"/>
          </w:tcPr>
          <w:p>
            <w:pPr>
              <w:pStyle w:val="TableText"/>
            </w:pPr>
            <w:r>
              <w:t>q10</w:t>
            </w:r>
          </w:p>
        </w:tc>
        <w:tc>
          <w:tcPr>
            <w:tcW w:w="2400" w:type="dxa"/>
            <w:vAlign w:val="center"/>
          </w:tcPr>
          <w:p>
            <w:pPr>
              <w:pStyle w:val="TableText"/>
            </w:pPr>
            <w:r>
              <w:t>Pessimistic scenario</w:t>
            </w:r>
          </w:p>
        </w:tc>
        <w:tc>
          <w:tcPr>
            <w:tcW w:w="5660" w:type="dxa"/>
            <w:vAlign w:val="center"/>
          </w:tcPr>
          <w:p>
            <w:pPr>
              <w:pStyle w:val="TableText"/>
            </w:pPr>
            <w:r>
              <w:t>About 10% of outcomes may be lower and 90% higher; it is not a 10% probability of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Half of outcomes may be lower and half higher; used for point forecasts, direction, and ranks</w:t>
            </w:r>
          </w:p>
        </w:tc>
      </w:tr>
      <w:tr>
        <w:trPr>
          <w:cantSplit/>
        </w:trPr>
        <w:tc>
          <w:tcPr>
            <w:tcW w:w="1300" w:type="dxa"/>
            <w:vAlign w:val="center"/>
          </w:tcPr>
          <w:p>
            <w:pPr>
              <w:pStyle w:val="TableText"/>
            </w:pPr>
            <w:r>
              <w:t>q90</w:t>
            </w:r>
          </w:p>
        </w:tc>
        <w:tc>
          <w:tcPr>
            <w:tcW w:w="2400" w:type="dxa"/>
            <w:vAlign w:val="center"/>
          </w:tcPr>
          <w:p>
            <w:pPr>
              <w:pStyle w:val="TableText"/>
            </w:pPr>
            <w:r>
              <w:t>Optimistic scenario</w:t>
            </w:r>
          </w:p>
        </w:tc>
        <w:tc>
          <w:tcPr>
            <w:tcW w:w="5660" w:type="dxa"/>
            <w:vAlign w:val="center"/>
          </w:tcPr>
          <w:p>
            <w:pPr>
              <w:pStyle w:val="TableText"/>
            </w:pPr>
            <w:r>
              <w:t>About 90% of outcomes may be lower and 10% higher; it is not a guaranteed ceiling</w:t>
            </w:r>
          </w:p>
        </w:tc>
      </w:tr>
    </w:tbl>
    <w:p>
      <w:pPr>
        <w:pStyle w:val="21"/>
      </w:pPr>
      <w:r>
        <w:t>3.2 Three stock scenarios</w:t>
      </w:r>
    </w:p>
    <w:p>
      <w:pPr>
        <w:pStyle w:val="Decision"/>
        <w:keepNext/>
        <w:spacing w:after="80"/>
      </w:pPr>
      <w:r>
        <w:t>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winner</w:t>
            </w:r>
          </w:p>
        </w:tc>
        <w:tc>
          <w:tcPr>
            <w:tcW w:w="2250" w:type="dxa"/>
            <w:vAlign w:val="center"/>
          </w:tcPr>
          <w:p>
            <w:pPr>
              <w:pStyle w:val="TableText"/>
            </w:pPr>
            <w:r>
              <w:t>+0.02 / +0.05 / +0.09</w:t>
            </w:r>
          </w:p>
        </w:tc>
        <w:tc>
          <w:tcPr>
            <w:tcW w:w="4910" w:type="dxa"/>
            <w:vAlign w:val="center"/>
          </w:tcPr>
          <w:p>
            <w:pPr>
              <w:pStyle w:val="TableText"/>
            </w:pPr>
            <w:r>
              <w:t>Even pessimistic q10 is positive, so every reported scenario outperforms the benchmark</w:t>
            </w:r>
          </w:p>
        </w:tc>
      </w:tr>
      <w:tr>
        <w:trPr>
          <w:cantSplit/>
        </w:trPr>
        <w:tc>
          <w:tcPr>
            <w:tcW w:w="2200" w:type="dxa"/>
            <w:vAlign w:val="center"/>
          </w:tcPr>
          <w:p>
            <w:pPr>
              <w:pStyle w:val="TableText"/>
            </w:pPr>
            <w:r>
              <w:t>Distressed weak stock</w:t>
            </w:r>
          </w:p>
        </w:tc>
        <w:tc>
          <w:tcPr>
            <w:tcW w:w="2250" w:type="dxa"/>
            <w:vAlign w:val="center"/>
          </w:tcPr>
          <w:p>
            <w:pPr>
              <w:pStyle w:val="TableText"/>
            </w:pPr>
            <w:r>
              <w:t>-0.12 / -0.06 / -0.01</w:t>
            </w:r>
          </w:p>
        </w:tc>
        <w:tc>
          <w:tcPr>
            <w:tcW w:w="4910" w:type="dxa"/>
            <w:vAlign w:val="center"/>
          </w:tcPr>
          <w:p>
            <w:pPr>
              <w:pStyle w:val="TableText"/>
            </w:pPr>
            <w:r>
              <w:t>Even optimistic q90 is negative, so every reported scenario underperforms</w:t>
            </w:r>
          </w:p>
        </w:tc>
      </w:tr>
      <w:tr>
        <w:trPr>
          <w:cantSplit/>
        </w:trPr>
        <w:tc>
          <w:tcPr>
            <w:tcW w:w="2200" w:type="dxa"/>
            <w:vAlign w:val="center"/>
          </w:tcPr>
          <w:p>
            <w:pPr>
              <w:pStyle w:val="TableText"/>
            </w:pPr>
            <w:r>
              <w:t>Speculative high-volatility stock</w:t>
            </w:r>
          </w:p>
        </w:tc>
        <w:tc>
          <w:tcPr>
            <w:tcW w:w="2250" w:type="dxa"/>
            <w:vAlign w:val="center"/>
          </w:tcPr>
          <w:p>
            <w:pPr>
              <w:pStyle w:val="TableText"/>
            </w:pPr>
            <w:r>
              <w:t>-0.08 / -0.01 / +0.25</w:t>
            </w:r>
          </w:p>
        </w:tc>
        <w:tc>
          <w:tcPr>
            <w:tcW w:w="4910" w:type="dxa"/>
            <w:vAlign w:val="center"/>
          </w:tcPr>
          <w:p>
            <w:pPr>
              <w:pStyle w:val="TableText"/>
            </w:pPr>
            <w:r>
              <w:t>The middle is flat to weak while the upside tail is large; this means a wide distribution, not a 25% chance of rising</w:t>
            </w:r>
          </w:p>
        </w:tc>
      </w:tr>
      <w:tr>
        <w:trPr>
          <w:cantSplit/>
        </w:trPr>
        <w:tc>
          <w:tcPr>
            <w:tcW w:w="2200" w:type="dxa"/>
            <w:vAlign w:val="center"/>
          </w:tcPr>
          <w:p>
            <w:pPr>
              <w:pStyle w:val="TableText"/>
            </w:pPr>
            <w:r>
              <w:t>Positive center with downside risk</w:t>
            </w:r>
          </w:p>
        </w:tc>
        <w:tc>
          <w:tcPr>
            <w:tcW w:w="2250" w:type="dxa"/>
            <w:vAlign w:val="center"/>
          </w:tcPr>
          <w:p>
            <w:pPr>
              <w:pStyle w:val="TableText"/>
            </w:pPr>
            <w:r>
              <w:t>-0.04 / +0.03 / +0.10</w:t>
            </w:r>
          </w:p>
        </w:tc>
        <w:tc>
          <w:tcPr>
            <w:tcW w:w="4910" w:type="dxa"/>
            <w:vAlign w:val="center"/>
          </w:tcPr>
          <w:p>
            <w:pPr>
              <w:pStyle w:val="TableText"/>
            </w:pPr>
            <w:r>
              <w:t>q50 is positive but q10 remains negative; the typical case wins while the pessimistic case loses</w:t>
            </w:r>
          </w:p>
        </w:tc>
      </w:tr>
    </w:tbl>
    <w:p>
      <w:pPr>
        <w:pStyle w:val="Note"/>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by design. Bullish, bearish, and strong signals are post-processing labels, not classifier outputs. primary_5d/selection_score is only a legacy-compatible checkpoint-monitor path; its value remains the mean normalized pinball across days 1 through 14 and is not treated as a five-day headline metric in this report.</w:t>
      </w:r>
    </w:p>
    <w:p>
      <w:pPr>
        <w:pStyle w:val="11"/>
      </w:pPr>
      <w:r>
        <w:t>4. Training completion early stopping and checkpoint</w:t>
      </w:r>
    </w:p>
    <w:p>
      <w:pPr>
        <w:pStyle w:val="21"/>
      </w:pPr>
      <w:r>
        <w:t>4.1 Execution state</w:t>
      </w:r>
    </w:p>
    <w:p>
      <w:pPr>
        <w:pStyle w:val="Decision"/>
        <w:keepNext/>
        <w:spacing w:after="80"/>
      </w:pPr>
      <w:r>
        <w:t>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Completion evidence</w:t>
            </w:r>
          </w:p>
        </w:tc>
        <w:tc>
          <w:tcPr>
            <w:tcW w:w="6260" w:type="dxa"/>
            <w:vAlign w:val="center"/>
          </w:tcPr>
          <w:p>
            <w:pPr>
              <w:pStyle w:val="TableText"/>
            </w:pPr>
            <w:r>
              <w:t>training_completed=true; marker ready; completion result present</w:t>
            </w:r>
          </w:p>
        </w:tc>
      </w:tr>
      <w:tr>
        <w:trPr>
          <w:cantSplit/>
        </w:trPr>
        <w:tc>
          <w:tcPr>
            <w:tcW w:w="3100" w:type="dxa"/>
            <w:vAlign w:val="center"/>
          </w:tcPr>
          <w:p>
            <w:pPr>
              <w:pStyle w:val="TableText"/>
            </w:pPr>
            <w:r>
              <w:t>Lifecycle state</w:t>
            </w:r>
          </w:p>
        </w:tc>
        <w:tc>
          <w:tcPr>
            <w:tcW w:w="6260" w:type="dxa"/>
            <w:vAlign w:val="center"/>
          </w:tcPr>
          <w:p>
            <w:pPr>
              <w:pStyle w:val="TableText"/>
            </w:pPr>
            <w:r>
              <w:t>Training exit code 1; training_completed=true; validation exit code 0; no timeout; validation completed</w:t>
            </w:r>
          </w:p>
        </w:tc>
      </w:tr>
      <w:tr>
        <w:trPr>
          <w:cantSplit/>
        </w:trPr>
        <w:tc>
          <w:tcPr>
            <w:tcW w:w="3100" w:type="dxa"/>
            <w:vAlign w:val="center"/>
          </w:tcPr>
          <w:p>
            <w:pPr>
              <w:pStyle w:val="TableText"/>
            </w:pPr>
            <w:r>
              <w:t>Epoch and global step</w:t>
            </w:r>
          </w:p>
        </w:tc>
        <w:tc>
          <w:tcPr>
            <w:tcW w:w="6260" w:type="dxa"/>
            <w:vAlign w:val="center"/>
          </w:tcPr>
          <w:p>
            <w:pPr>
              <w:pStyle w:val="TableText"/>
            </w:pPr>
            <w:r>
              <w:t>1 full epoch; stopped at step 98,489</w:t>
            </w:r>
          </w:p>
        </w:tc>
      </w:tr>
      <w:tr>
        <w:trPr>
          <w:cantSplit/>
        </w:trPr>
        <w:tc>
          <w:tcPr>
            <w:tcW w:w="3100" w:type="dxa"/>
            <w:vAlign w:val="center"/>
          </w:tcPr>
          <w:p>
            <w:pPr>
              <w:pStyle w:val="TableText"/>
            </w:pPr>
            <w:r>
              <w:t>Processed training rows</w:t>
            </w:r>
          </w:p>
        </w:tc>
        <w:tc>
          <w:tcPr>
            <w:tcW w:w="6260" w:type="dxa"/>
            <w:vAlign w:val="center"/>
          </w:tcPr>
          <w:p>
            <w:pPr>
              <w:pStyle w:val="TableText"/>
            </w:pPr>
            <w:r>
              <w:t>25,213,120 of 70,036,140 (36.00%; about 1.80 raw split epochs)</w:t>
            </w:r>
          </w:p>
        </w:tc>
      </w:tr>
      <w:tr>
        <w:trPr>
          <w:cantSplit/>
        </w:trPr>
        <w:tc>
          <w:tcPr>
            <w:tcW w:w="3100" w:type="dxa"/>
            <w:vAlign w:val="center"/>
          </w:tcPr>
          <w:p>
            <w:pPr>
              <w:pStyle w:val="TableText"/>
            </w:pPr>
            <w:r>
              <w:t>Validation evaluations</w:t>
            </w:r>
          </w:p>
        </w:tc>
        <w:tc>
          <w:tcPr>
            <w:tcW w:w="6260" w:type="dxa"/>
            <w:vAlign w:val="center"/>
          </w:tcPr>
          <w:p>
            <w:pPr>
              <w:pStyle w:val="TableText"/>
            </w:pPr>
            <w:r>
              <w:t>9</w:t>
            </w:r>
          </w:p>
        </w:tc>
      </w:tr>
      <w:tr>
        <w:trPr>
          <w:cantSplit/>
        </w:trPr>
        <w:tc>
          <w:tcPr>
            <w:tcW w:w="3100" w:type="dxa"/>
            <w:vAlign w:val="center"/>
          </w:tcPr>
          <w:p>
            <w:pPr>
              <w:pStyle w:val="TableText"/>
            </w:pPr>
            <w:r>
              <w:t>Stop reason</w:t>
            </w:r>
          </w:p>
        </w:tc>
        <w:tc>
          <w:tcPr>
            <w:tcW w:w="6260" w:type="dxa"/>
            <w:vAlign w:val="center"/>
          </w:tcPr>
          <w:p>
            <w:pPr>
              <w:pStyle w:val="TableText"/>
            </w:pPr>
            <w:r>
              <w:t>early_stopping; 5 stale evaluations</w:t>
            </w:r>
          </w:p>
        </w:tc>
      </w:tr>
      <w:tr>
        <w:trPr>
          <w:cantSplit/>
        </w:trPr>
        <w:tc>
          <w:tcPr>
            <w:tcW w:w="3100" w:type="dxa"/>
            <w:vAlign w:val="center"/>
          </w:tcPr>
          <w:p>
            <w:pPr>
              <w:pStyle w:val="TableText"/>
            </w:pPr>
            <w:r>
              <w:t>Best and last validation monitor</w:t>
            </w:r>
          </w:p>
        </w:tc>
        <w:tc>
          <w:tcPr>
            <w:tcW w:w="6260" w:type="dxa"/>
            <w:vAlign w:val="center"/>
          </w:tcPr>
          <w:p>
            <w:pPr>
              <w:pStyle w:val="TableText"/>
            </w:pPr>
            <w:r>
              <w:t>0.276788 / 0.281002</w:t>
            </w:r>
          </w:p>
        </w:tc>
      </w:tr>
      <w:tr>
        <w:trPr>
          <w:cantSplit/>
        </w:trPr>
        <w:tc>
          <w:tcPr>
            <w:tcW w:w="3100" w:type="dxa"/>
            <w:vAlign w:val="center"/>
          </w:tcPr>
          <w:p>
            <w:pPr>
              <w:pStyle w:val="TableText"/>
            </w:pPr>
            <w:r>
              <w:t>Model</w:t>
            </w:r>
          </w:p>
        </w:tc>
        <w:tc>
          <w:tcPr>
            <w:tcW w:w="6260" w:type="dxa"/>
            <w:vAlign w:val="center"/>
          </w:tcPr>
          <w:p>
            <w:pPr>
              <w:pStyle w:val="TableText"/>
            </w:pPr>
            <w:r>
              <w:t>Kronos-base + LoRA; shared causal resampler; benchmark conditioner; alpha head</w:t>
            </w:r>
          </w:p>
        </w:tc>
      </w:tr>
      <w:tr>
        <w:trPr>
          <w:cantSplit/>
        </w:trPr>
        <w:tc>
          <w:tcPr>
            <w:tcW w:w="3100" w:type="dxa"/>
            <w:vAlign w:val="center"/>
          </w:tcPr>
          <w:p>
            <w:pPr>
              <w:pStyle w:val="TableText"/>
            </w:pPr>
            <w:r>
              <w:t>Training hardware and precision</w:t>
            </w:r>
          </w:p>
        </w:tc>
        <w:tc>
          <w:tcPr>
            <w:tcW w:w="6260" w:type="dxa"/>
            <w:vAlign w:val="center"/>
          </w:tcPr>
          <w:p>
            <w:pPr>
              <w:pStyle w:val="TableText"/>
            </w:pPr>
            <w:r>
              <w:t>NVIDIA RTX PRO 6000 Blackwell Workstation Edition; bfloat16</w:t>
            </w:r>
          </w:p>
        </w:tc>
      </w:tr>
      <w:tr>
        <w:trPr>
          <w:cantSplit/>
        </w:trPr>
        <w:tc>
          <w:tcPr>
            <w:tcW w:w="3100" w:type="dxa"/>
            <w:vAlign w:val="center"/>
          </w:tcPr>
          <w:p>
            <w:pPr>
              <w:pStyle w:val="TableText"/>
            </w:pPr>
            <w:r>
              <w:t>Validation hardware</w:t>
            </w:r>
          </w:p>
        </w:tc>
        <w:tc>
          <w:tcPr>
            <w:tcW w:w="6260" w:type="dxa"/>
            <w:vAlign w:val="center"/>
          </w:tcPr>
          <w:p>
            <w:pPr>
              <w:pStyle w:val="TableText"/>
            </w:pPr>
            <w:r>
              <w:t>NVIDIA RTX PRO 4000 Blackwell</w:t>
            </w:r>
          </w:p>
        </w:tc>
      </w:tr>
    </w:tbl>
    <w:p>
      <w:pPr>
        <w:pStyle w:val="21"/>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checkpoint-043773</w:t>
            </w:r>
          </w:p>
        </w:tc>
        <w:tc>
          <w:tcPr>
            <w:tcW w:w="1800" w:type="dxa"/>
            <w:shd w:val="clear" w:fill="EDF5FC"/>
            <w:vAlign w:val="center"/>
          </w:tcPr>
          <w:p>
            <w:pPr>
              <w:pStyle w:val="TableNumber"/>
            </w:pPr>
            <w:r>
              <w:t>43,773</w:t>
            </w:r>
          </w:p>
        </w:tc>
        <w:tc>
          <w:tcPr>
            <w:tcW w:w="3560" w:type="dxa"/>
            <w:shd w:val="clear" w:fill="EDF5FC"/>
            <w:vAlign w:val="center"/>
          </w:tcPr>
          <w:p>
            <w:pPr>
              <w:pStyle w:val="TableNumber"/>
            </w:pPr>
            <w:r>
              <w:t>0.276788</w:t>
            </w:r>
          </w:p>
        </w:tc>
      </w:tr>
      <w:tr>
        <w:trPr>
          <w:cantSplit/>
        </w:trPr>
        <w:tc>
          <w:tcPr>
            <w:tcW w:w="900" w:type="dxa"/>
            <w:vAlign w:val="center"/>
          </w:tcPr>
          <w:p>
            <w:pPr>
              <w:pStyle w:val="TableNumber"/>
            </w:pPr>
            <w:r>
              <w:t>2</w:t>
            </w:r>
          </w:p>
        </w:tc>
        <w:tc>
          <w:tcPr>
            <w:tcW w:w="3100" w:type="dxa"/>
            <w:vAlign w:val="center"/>
          </w:tcPr>
          <w:p>
            <w:pPr>
              <w:pStyle w:val="TableText"/>
            </w:pPr>
            <w:r>
              <w:t>checkpoint-054716</w:t>
            </w:r>
          </w:p>
        </w:tc>
        <w:tc>
          <w:tcPr>
            <w:tcW w:w="1800" w:type="dxa"/>
            <w:vAlign w:val="center"/>
          </w:tcPr>
          <w:p>
            <w:pPr>
              <w:pStyle w:val="TableNumber"/>
            </w:pPr>
            <w:r>
              <w:t>54,716</w:t>
            </w:r>
          </w:p>
        </w:tc>
        <w:tc>
          <w:tcPr>
            <w:tcW w:w="3560" w:type="dxa"/>
            <w:vAlign w:val="center"/>
          </w:tcPr>
          <w:p>
            <w:pPr>
              <w:pStyle w:val="TableNumber"/>
            </w:pPr>
            <w:r>
              <w:t>0.278506</w:t>
            </w:r>
          </w:p>
        </w:tc>
      </w:tr>
      <w:tr>
        <w:trPr>
          <w:cantSplit/>
        </w:trPr>
        <w:tc>
          <w:tcPr>
            <w:tcW w:w="900" w:type="dxa"/>
            <w:vAlign w:val="center"/>
          </w:tcPr>
          <w:p>
            <w:pPr>
              <w:pStyle w:val="TableNumber"/>
            </w:pPr>
            <w:r>
              <w:t>3</w:t>
            </w:r>
          </w:p>
        </w:tc>
        <w:tc>
          <w:tcPr>
            <w:tcW w:w="3100" w:type="dxa"/>
            <w:vAlign w:val="center"/>
          </w:tcPr>
          <w:p>
            <w:pPr>
              <w:pStyle w:val="TableText"/>
            </w:pPr>
            <w:r>
              <w:t>checkpoint-032830</w:t>
            </w:r>
          </w:p>
        </w:tc>
        <w:tc>
          <w:tcPr>
            <w:tcW w:w="1800" w:type="dxa"/>
            <w:vAlign w:val="center"/>
          </w:tcPr>
          <w:p>
            <w:pPr>
              <w:pStyle w:val="TableNumber"/>
            </w:pPr>
            <w:r>
              <w:t>32,830</w:t>
            </w:r>
          </w:p>
        </w:tc>
        <w:tc>
          <w:tcPr>
            <w:tcW w:w="3560" w:type="dxa"/>
            <w:vAlign w:val="center"/>
          </w:tcPr>
          <w:p>
            <w:pPr>
              <w:pStyle w:val="TableNumber"/>
            </w:pPr>
            <w:r>
              <w:t>0.279950</w:t>
            </w:r>
          </w:p>
        </w:tc>
      </w:tr>
      <w:tr>
        <w:trPr>
          <w:cantSplit/>
        </w:trPr>
        <w:tc>
          <w:tcPr>
            <w:tcW w:w="900" w:type="dxa"/>
            <w:vAlign w:val="center"/>
          </w:tcPr>
          <w:p>
            <w:pPr>
              <w:pStyle w:val="TableNumber"/>
            </w:pPr>
            <w:r>
              <w:t>4</w:t>
            </w:r>
          </w:p>
        </w:tc>
        <w:tc>
          <w:tcPr>
            <w:tcW w:w="3100" w:type="dxa"/>
            <w:vAlign w:val="center"/>
          </w:tcPr>
          <w:p>
            <w:pPr>
              <w:pStyle w:val="TableText"/>
            </w:pPr>
            <w:r>
              <w:t>checkpoint-065660</w:t>
            </w:r>
          </w:p>
        </w:tc>
        <w:tc>
          <w:tcPr>
            <w:tcW w:w="1800" w:type="dxa"/>
            <w:vAlign w:val="center"/>
          </w:tcPr>
          <w:p>
            <w:pPr>
              <w:pStyle w:val="TableNumber"/>
            </w:pPr>
            <w:r>
              <w:t>65,660</w:t>
            </w:r>
          </w:p>
        </w:tc>
        <w:tc>
          <w:tcPr>
            <w:tcW w:w="3560" w:type="dxa"/>
            <w:vAlign w:val="center"/>
          </w:tcPr>
          <w:p>
            <w:pPr>
              <w:pStyle w:val="TableNumber"/>
            </w:pPr>
            <w:r>
              <w:t>0.280391</w:t>
            </w:r>
          </w:p>
        </w:tc>
      </w:tr>
      <w:tr>
        <w:trPr>
          <w:cantSplit/>
        </w:trPr>
        <w:tc>
          <w:tcPr>
            <w:tcW w:w="900" w:type="dxa"/>
            <w:vAlign w:val="center"/>
          </w:tcPr>
          <w:p>
            <w:pPr>
              <w:pStyle w:val="TableNumber"/>
            </w:pPr>
            <w:r>
              <w:t>5</w:t>
            </w:r>
          </w:p>
        </w:tc>
        <w:tc>
          <w:tcPr>
            <w:tcW w:w="3100" w:type="dxa"/>
            <w:vAlign w:val="center"/>
          </w:tcPr>
          <w:p>
            <w:pPr>
              <w:pStyle w:val="TableText"/>
            </w:pPr>
            <w:r>
              <w:t>checkpoint-098489</w:t>
            </w:r>
          </w:p>
        </w:tc>
        <w:tc>
          <w:tcPr>
            <w:tcW w:w="1800" w:type="dxa"/>
            <w:vAlign w:val="center"/>
          </w:tcPr>
          <w:p>
            <w:pPr>
              <w:pStyle w:val="TableNumber"/>
            </w:pPr>
            <w:r>
              <w:t>98,489</w:t>
            </w:r>
          </w:p>
        </w:tc>
        <w:tc>
          <w:tcPr>
            <w:tcW w:w="3560" w:type="dxa"/>
            <w:vAlign w:val="center"/>
          </w:tcPr>
          <w:p>
            <w:pPr>
              <w:pStyle w:val="TableNumber"/>
            </w:pPr>
            <w:r>
              <w:t>0.281002</w:t>
            </w:r>
          </w:p>
        </w:tc>
      </w:tr>
    </w:tbl>
    <w:p>
      <w:pPr>
        <w:pStyle w:val="a"/>
      </w:pPr>
      <w:r>
        <w:t>Checkpoint checkpoint-043773 has a validation monitor value of 0.276788 and a test score of 0.306784. The final training monitor is 0.281002, 1.52% above the best value; early stopping followed 9 validation evaluations. Production inference must use the best-checkpoint.json target rather than the final completion-result adapter.</w:t>
      </w:r>
    </w:p>
    <w:p>
      <w:pPr>
        <w:pStyle w:val="11"/>
      </w:pPr>
      <w:r>
        <w:t>5. All-horizon comparison of thirteen models</w:t>
      </w:r>
    </w:p>
    <w:p>
      <w:pPr>
        <w:pStyle w:val="Decision"/>
        <w:keepNext/>
        <w:spacing w:after="80"/>
      </w:pPr>
      <w:r>
        <w:t>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 1-14 score</w:t>
            </w:r>
          </w:p>
        </w:tc>
        <w:tc>
          <w:tcPr>
            <w:tcW w:w="1330" w:type="dxa"/>
            <w:shd w:val="clear" w:fill="DCE6F1"/>
            <w:vAlign w:val="center"/>
          </w:tcPr>
          <w:p>
            <w:pPr>
              <w:pStyle w:val="TableHeader"/>
            </w:pPr>
            <w:r>
              <w:t>Day 1</w:t>
            </w:r>
          </w:p>
        </w:tc>
        <w:tc>
          <w:tcPr>
            <w:tcW w:w="1330" w:type="dxa"/>
            <w:shd w:val="clear" w:fill="DCE6F1"/>
            <w:vAlign w:val="center"/>
          </w:tcPr>
          <w:p>
            <w:pPr>
              <w:pStyle w:val="TableHeader"/>
            </w:pPr>
            <w:r>
              <w:t>Day 7</w:t>
            </w:r>
          </w:p>
        </w:tc>
        <w:tc>
          <w:tcPr>
            <w:tcW w:w="1350" w:type="dxa"/>
            <w:shd w:val="clear" w:fill="DCE6F1"/>
            <w:vAlign w:val="center"/>
          </w:tcPr>
          <w:p>
            <w:pPr>
              <w:pStyle w:val="TableHeader"/>
            </w:pPr>
            <w:r>
              <w:t>Day 14</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0.306784</w:t>
            </w:r>
          </w:p>
        </w:tc>
        <w:tc>
          <w:tcPr>
            <w:tcW w:w="1330" w:type="dxa"/>
            <w:shd w:val="clear" w:fill="EDF5FC"/>
            <w:vAlign w:val="center"/>
          </w:tcPr>
          <w:p>
            <w:pPr>
              <w:pStyle w:val="TableNumber"/>
            </w:pPr>
            <w:r>
              <w:t>0.3799</w:t>
            </w:r>
          </w:p>
        </w:tc>
        <w:tc>
          <w:tcPr>
            <w:tcW w:w="1330" w:type="dxa"/>
            <w:shd w:val="clear" w:fill="EDF5FC"/>
            <w:vAlign w:val="center"/>
          </w:tcPr>
          <w:p>
            <w:pPr>
              <w:pStyle w:val="TableNumber"/>
            </w:pPr>
            <w:r>
              <w:t>0.2987</w:t>
            </w:r>
          </w:p>
        </w:tc>
        <w:tc>
          <w:tcPr>
            <w:tcW w:w="1350" w:type="dxa"/>
            <w:shd w:val="clear" w:fill="EDF5FC"/>
            <w:vAlign w:val="center"/>
          </w:tcPr>
          <w:p>
            <w:pPr>
              <w:pStyle w:val="TableNumber"/>
            </w:pPr>
            <w:r>
              <w:t>0.2924</w:t>
            </w:r>
          </w:p>
        </w:tc>
      </w:tr>
      <w:tr>
        <w:trPr>
          <w:cantSplit/>
        </w:trPr>
        <w:tc>
          <w:tcPr>
            <w:tcW w:w="650" w:type="dxa"/>
            <w:vAlign w:val="center"/>
          </w:tcPr>
          <w:p>
            <w:pPr>
              <w:pStyle w:val="TableNumber"/>
            </w:pPr>
            <w:r>
              <w:t>2</w:t>
            </w:r>
          </w:p>
        </w:tc>
        <w:tc>
          <w:tcPr>
            <w:tcW w:w="2800" w:type="dxa"/>
            <w:vAlign w:val="center"/>
          </w:tcPr>
          <w:p>
            <w:pPr>
              <w:pStyle w:val="TableText"/>
            </w:pPr>
            <w:r>
              <w:t>Paired GRU</w:t>
            </w:r>
          </w:p>
        </w:tc>
        <w:tc>
          <w:tcPr>
            <w:tcW w:w="1900" w:type="dxa"/>
            <w:vAlign w:val="center"/>
          </w:tcPr>
          <w:p>
            <w:pPr>
              <w:pStyle w:val="TableNumber"/>
            </w:pPr>
            <w:r>
              <w:t>0.310659</w:t>
            </w:r>
          </w:p>
        </w:tc>
        <w:tc>
          <w:tcPr>
            <w:tcW w:w="1330" w:type="dxa"/>
            <w:vAlign w:val="center"/>
          </w:tcPr>
          <w:p>
            <w:pPr>
              <w:pStyle w:val="TableNumber"/>
            </w:pPr>
            <w:r>
              <w:t>0.3824</w:t>
            </w:r>
          </w:p>
        </w:tc>
        <w:tc>
          <w:tcPr>
            <w:tcW w:w="1330" w:type="dxa"/>
            <w:vAlign w:val="center"/>
          </w:tcPr>
          <w:p>
            <w:pPr>
              <w:pStyle w:val="TableNumber"/>
            </w:pPr>
            <w:r>
              <w:t>0.3059</w:t>
            </w:r>
          </w:p>
        </w:tc>
        <w:tc>
          <w:tcPr>
            <w:tcW w:w="1350" w:type="dxa"/>
            <w:vAlign w:val="center"/>
          </w:tcPr>
          <w:p>
            <w:pPr>
              <w:pStyle w:val="TableNumber"/>
            </w:pPr>
            <w:r>
              <w:t>0.2986</w:t>
            </w:r>
          </w:p>
        </w:tc>
      </w:tr>
      <w:tr>
        <w:trPr>
          <w:cantSplit/>
        </w:trPr>
        <w:tc>
          <w:tcPr>
            <w:tcW w:w="650" w:type="dxa"/>
            <w:vAlign w:val="center"/>
          </w:tcPr>
          <w:p>
            <w:pPr>
              <w:pStyle w:val="TableNumber"/>
            </w:pPr>
            <w:r>
              <w:t>3</w:t>
            </w:r>
          </w:p>
        </w:tc>
        <w:tc>
          <w:tcPr>
            <w:tcW w:w="2800" w:type="dxa"/>
            <w:vAlign w:val="center"/>
          </w:tcPr>
          <w:p>
            <w:pPr>
              <w:pStyle w:val="TableText"/>
            </w:pPr>
            <w:r>
              <w:t>Quantile GBDT</w:t>
            </w:r>
          </w:p>
        </w:tc>
        <w:tc>
          <w:tcPr>
            <w:tcW w:w="1900" w:type="dxa"/>
            <w:vAlign w:val="center"/>
          </w:tcPr>
          <w:p>
            <w:pPr>
              <w:pStyle w:val="TableNumber"/>
            </w:pPr>
            <w:r>
              <w:t>0.316089</w:t>
            </w:r>
          </w:p>
        </w:tc>
        <w:tc>
          <w:tcPr>
            <w:tcW w:w="1330" w:type="dxa"/>
            <w:vAlign w:val="center"/>
          </w:tcPr>
          <w:p>
            <w:pPr>
              <w:pStyle w:val="TableNumber"/>
            </w:pPr>
            <w:r>
              <w:t>0.3846</w:t>
            </w:r>
          </w:p>
        </w:tc>
        <w:tc>
          <w:tcPr>
            <w:tcW w:w="1330" w:type="dxa"/>
            <w:vAlign w:val="center"/>
          </w:tcPr>
          <w:p>
            <w:pPr>
              <w:pStyle w:val="TableNumber"/>
            </w:pPr>
            <w:r>
              <w:t>0.3097</w:t>
            </w:r>
          </w:p>
        </w:tc>
        <w:tc>
          <w:tcPr>
            <w:tcW w:w="1350" w:type="dxa"/>
            <w:vAlign w:val="center"/>
          </w:tcPr>
          <w:p>
            <w:pPr>
              <w:pStyle w:val="TableNumber"/>
            </w:pPr>
            <w:r>
              <w:t>0.3055</w:t>
            </w:r>
          </w:p>
        </w:tc>
      </w:tr>
      <w:tr>
        <w:trPr>
          <w:cantSplit/>
        </w:trPr>
        <w:tc>
          <w:tcPr>
            <w:tcW w:w="650" w:type="dxa"/>
            <w:vAlign w:val="center"/>
          </w:tcPr>
          <w:p>
            <w:pPr>
              <w:pStyle w:val="TableNumber"/>
            </w:pPr>
            <w:r>
              <w:t>4</w:t>
            </w:r>
          </w:p>
        </w:tc>
        <w:tc>
          <w:tcPr>
            <w:tcW w:w="2800" w:type="dxa"/>
            <w:vAlign w:val="center"/>
          </w:tcPr>
          <w:p>
            <w:pPr>
              <w:pStyle w:val="TableText"/>
            </w:pPr>
            <w:r>
              <w:t>Compact PatchTST</w:t>
            </w:r>
          </w:p>
        </w:tc>
        <w:tc>
          <w:tcPr>
            <w:tcW w:w="1900" w:type="dxa"/>
            <w:vAlign w:val="center"/>
          </w:tcPr>
          <w:p>
            <w:pPr>
              <w:pStyle w:val="TableNumber"/>
            </w:pPr>
            <w:r>
              <w:t>0.321045</w:t>
            </w:r>
          </w:p>
        </w:tc>
        <w:tc>
          <w:tcPr>
            <w:tcW w:w="1330" w:type="dxa"/>
            <w:vAlign w:val="center"/>
          </w:tcPr>
          <w:p>
            <w:pPr>
              <w:pStyle w:val="TableNumber"/>
            </w:pPr>
            <w:r>
              <w:t>0.4014</w:t>
            </w:r>
          </w:p>
        </w:tc>
        <w:tc>
          <w:tcPr>
            <w:tcW w:w="1330" w:type="dxa"/>
            <w:vAlign w:val="center"/>
          </w:tcPr>
          <w:p>
            <w:pPr>
              <w:pStyle w:val="TableNumber"/>
            </w:pPr>
            <w:r>
              <w:t>0.3142</w:t>
            </w:r>
          </w:p>
        </w:tc>
        <w:tc>
          <w:tcPr>
            <w:tcW w:w="1350" w:type="dxa"/>
            <w:vAlign w:val="center"/>
          </w:tcPr>
          <w:p>
            <w:pPr>
              <w:pStyle w:val="TableNumber"/>
            </w:pPr>
            <w:r>
              <w:t>0.3044</w:t>
            </w:r>
          </w:p>
        </w:tc>
      </w:tr>
      <w:tr>
        <w:trPr>
          <w:cantSplit/>
        </w:trPr>
        <w:tc>
          <w:tcPr>
            <w:tcW w:w="650" w:type="dxa"/>
            <w:vAlign w:val="center"/>
          </w:tcPr>
          <w:p>
            <w:pPr>
              <w:pStyle w:val="TableNumber"/>
            </w:pPr>
            <w:r>
              <w:t>5</w:t>
            </w:r>
          </w:p>
        </w:tc>
        <w:tc>
          <w:tcPr>
            <w:tcW w:w="2800" w:type="dxa"/>
            <w:vAlign w:val="center"/>
          </w:tcPr>
          <w:p>
            <w:pPr>
              <w:pStyle w:val="TableText"/>
            </w:pPr>
            <w:r>
              <w:t>Always-buy distribution</w:t>
            </w:r>
          </w:p>
        </w:tc>
        <w:tc>
          <w:tcPr>
            <w:tcW w:w="1900" w:type="dxa"/>
            <w:vAlign w:val="center"/>
          </w:tcPr>
          <w:p>
            <w:pPr>
              <w:pStyle w:val="TableNumber"/>
            </w:pPr>
            <w:r>
              <w:t>0.336065</w:t>
            </w:r>
          </w:p>
        </w:tc>
        <w:tc>
          <w:tcPr>
            <w:tcW w:w="1330" w:type="dxa"/>
            <w:vAlign w:val="center"/>
          </w:tcPr>
          <w:p>
            <w:pPr>
              <w:pStyle w:val="TableNumber"/>
            </w:pPr>
            <w:r>
              <w:t>0.4262</w:t>
            </w:r>
          </w:p>
        </w:tc>
        <w:tc>
          <w:tcPr>
            <w:tcW w:w="1330" w:type="dxa"/>
            <w:vAlign w:val="center"/>
          </w:tcPr>
          <w:p>
            <w:pPr>
              <w:pStyle w:val="TableNumber"/>
            </w:pPr>
            <w:r>
              <w:t>0.3262</w:t>
            </w:r>
          </w:p>
        </w:tc>
        <w:tc>
          <w:tcPr>
            <w:tcW w:w="1350" w:type="dxa"/>
            <w:vAlign w:val="center"/>
          </w:tcPr>
          <w:p>
            <w:pPr>
              <w:pStyle w:val="TableNumber"/>
            </w:pPr>
            <w:r>
              <w:t>0.3179</w:t>
            </w:r>
          </w:p>
        </w:tc>
      </w:tr>
      <w:tr>
        <w:trPr>
          <w:cantSplit/>
        </w:trPr>
        <w:tc>
          <w:tcPr>
            <w:tcW w:w="650" w:type="dxa"/>
            <w:vAlign w:val="center"/>
          </w:tcPr>
          <w:p>
            <w:pPr>
              <w:pStyle w:val="TableNumber"/>
            </w:pPr>
            <w:r>
              <w:t>6</w:t>
            </w:r>
          </w:p>
        </w:tc>
        <w:tc>
          <w:tcPr>
            <w:tcW w:w="2800" w:type="dxa"/>
            <w:vAlign w:val="center"/>
          </w:tcPr>
          <w:p>
            <w:pPr>
              <w:pStyle w:val="TableText"/>
            </w:pPr>
            <w:r>
              <w:t>Zero-return distribution</w:t>
            </w:r>
          </w:p>
        </w:tc>
        <w:tc>
          <w:tcPr>
            <w:tcW w:w="1900" w:type="dxa"/>
            <w:vAlign w:val="center"/>
          </w:tcPr>
          <w:p>
            <w:pPr>
              <w:pStyle w:val="TableNumber"/>
            </w:pPr>
            <w:r>
              <w:t>0.336065</w:t>
            </w:r>
          </w:p>
        </w:tc>
        <w:tc>
          <w:tcPr>
            <w:tcW w:w="1330" w:type="dxa"/>
            <w:vAlign w:val="center"/>
          </w:tcPr>
          <w:p>
            <w:pPr>
              <w:pStyle w:val="TableNumber"/>
            </w:pPr>
            <w:r>
              <w:t>0.4262</w:t>
            </w:r>
          </w:p>
        </w:tc>
        <w:tc>
          <w:tcPr>
            <w:tcW w:w="1330" w:type="dxa"/>
            <w:vAlign w:val="center"/>
          </w:tcPr>
          <w:p>
            <w:pPr>
              <w:pStyle w:val="TableNumber"/>
            </w:pPr>
            <w:r>
              <w:t>0.3262</w:t>
            </w:r>
          </w:p>
        </w:tc>
        <w:tc>
          <w:tcPr>
            <w:tcW w:w="1350" w:type="dxa"/>
            <w:vAlign w:val="center"/>
          </w:tcPr>
          <w:p>
            <w:pPr>
              <w:pStyle w:val="TableNumber"/>
            </w:pPr>
            <w:r>
              <w:t>0.3179</w:t>
            </w:r>
          </w:p>
        </w:tc>
      </w:tr>
    </w:tbl>
    <w:p>
      <w:pPr>
        <w:pStyle w:val="a"/>
      </w:pPr>
      <w:r>
        <w:t>Kronos ranks 1 of 13 on the test all-horizon score, and its normalized pinball ranks first at all 14 horizons. Distribution-error and economic diagnostics are aligned in this test result, but the split differs from the previous validation result, so the difference cannot establish unconditional temporal extrapolation.</w:t>
      </w:r>
    </w:p>
    <w:p>
      <w:pPr>
        <w:pStyle w:val="11"/>
      </w:pPr>
      <w:r>
        <w:t>6. Complete results for days one through fourteen</w:t>
      </w:r>
    </w:p>
    <w:p>
      <w:pPr>
        <w:pStyle w:val="21"/>
      </w:pPr>
      <w:r>
        <w:t>6.1 Error and comparability across horizons</w:t>
      </w:r>
    </w:p>
    <w:p>
      <w:pPr>
        <w:pStyle w:val="Decision"/>
        <w:keepNext/>
        <w:spacing w:after="80"/>
      </w:pPr>
      <w:r>
        <w:t>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0.01906</w:t>
            </w:r>
          </w:p>
        </w:tc>
        <w:tc>
          <w:tcPr>
            <w:tcW w:w="1550" w:type="dxa"/>
            <w:vAlign w:val="center"/>
          </w:tcPr>
          <w:p>
            <w:pPr>
              <w:pStyle w:val="TableNumber"/>
            </w:pPr>
            <w:r>
              <w:t>0.00724</w:t>
            </w:r>
          </w:p>
        </w:tc>
        <w:tc>
          <w:tcPr>
            <w:tcW w:w="1550" w:type="dxa"/>
            <w:vAlign w:val="center"/>
          </w:tcPr>
          <w:p>
            <w:pPr>
              <w:pStyle w:val="TableNumber"/>
            </w:pPr>
            <w:r>
              <w:t>0.3799</w:t>
            </w:r>
          </w:p>
        </w:tc>
        <w:tc>
          <w:tcPr>
            <w:tcW w:w="1050" w:type="dxa"/>
            <w:vAlign w:val="center"/>
          </w:tcPr>
          <w:p>
            <w:pPr>
              <w:pStyle w:val="TableNumber"/>
            </w:pPr>
            <w:r>
              <w:t>1/13</w:t>
            </w:r>
          </w:p>
        </w:tc>
        <w:tc>
          <w:tcPr>
            <w:tcW w:w="1550" w:type="dxa"/>
            <w:vAlign w:val="center"/>
          </w:tcPr>
          <w:p>
            <w:pPr>
              <w:pStyle w:val="TableNumber"/>
            </w:pPr>
            <w:r>
              <w:t>0.02124</w:t>
            </w:r>
          </w:p>
        </w:tc>
        <w:tc>
          <w:tcPr>
            <w:tcW w:w="1610" w:type="dxa"/>
            <w:vAlign w:val="center"/>
          </w:tcPr>
          <w:p>
            <w:pPr>
              <w:pStyle w:val="TableNumber"/>
            </w:pPr>
            <w:r>
              <w:t>1.1143</w:t>
            </w:r>
          </w:p>
        </w:tc>
      </w:tr>
      <w:tr>
        <w:trPr>
          <w:cantSplit/>
        </w:trPr>
        <w:tc>
          <w:tcPr>
            <w:tcW w:w="650" w:type="dxa"/>
            <w:vAlign w:val="center"/>
          </w:tcPr>
          <w:p>
            <w:pPr>
              <w:pStyle w:val="TableText"/>
            </w:pPr>
            <w:r>
              <w:t>2d</w:t>
            </w:r>
          </w:p>
        </w:tc>
        <w:tc>
          <w:tcPr>
            <w:tcW w:w="1400" w:type="dxa"/>
            <w:vAlign w:val="center"/>
          </w:tcPr>
          <w:p>
            <w:pPr>
              <w:pStyle w:val="TableNumber"/>
            </w:pPr>
            <w:r>
              <w:t>0.03141</w:t>
            </w:r>
          </w:p>
        </w:tc>
        <w:tc>
          <w:tcPr>
            <w:tcW w:w="1550" w:type="dxa"/>
            <w:vAlign w:val="center"/>
          </w:tcPr>
          <w:p>
            <w:pPr>
              <w:pStyle w:val="TableNumber"/>
            </w:pPr>
            <w:r>
              <w:t>0.01032</w:t>
            </w:r>
          </w:p>
        </w:tc>
        <w:tc>
          <w:tcPr>
            <w:tcW w:w="1550" w:type="dxa"/>
            <w:vAlign w:val="center"/>
          </w:tcPr>
          <w:p>
            <w:pPr>
              <w:pStyle w:val="TableNumber"/>
            </w:pPr>
            <w:r>
              <w:t>0.3288</w:t>
            </w:r>
          </w:p>
        </w:tc>
        <w:tc>
          <w:tcPr>
            <w:tcW w:w="1050" w:type="dxa"/>
            <w:vAlign w:val="center"/>
          </w:tcPr>
          <w:p>
            <w:pPr>
              <w:pStyle w:val="TableNumber"/>
            </w:pPr>
            <w:r>
              <w:t>1/13</w:t>
            </w:r>
          </w:p>
        </w:tc>
        <w:tc>
          <w:tcPr>
            <w:tcW w:w="1550" w:type="dxa"/>
            <w:vAlign w:val="center"/>
          </w:tcPr>
          <w:p>
            <w:pPr>
              <w:pStyle w:val="TableNumber"/>
            </w:pPr>
            <w:r>
              <w:t>0.03096</w:t>
            </w:r>
          </w:p>
        </w:tc>
        <w:tc>
          <w:tcPr>
            <w:tcW w:w="1610" w:type="dxa"/>
            <w:vAlign w:val="center"/>
          </w:tcPr>
          <w:p>
            <w:pPr>
              <w:pStyle w:val="TableNumber"/>
            </w:pPr>
            <w:r>
              <w:t>0.9859</w:t>
            </w:r>
          </w:p>
        </w:tc>
      </w:tr>
      <w:tr>
        <w:trPr>
          <w:cantSplit/>
        </w:trPr>
        <w:tc>
          <w:tcPr>
            <w:tcW w:w="650" w:type="dxa"/>
            <w:vAlign w:val="center"/>
          </w:tcPr>
          <w:p>
            <w:pPr>
              <w:pStyle w:val="TableText"/>
            </w:pPr>
            <w:r>
              <w:t>3d</w:t>
            </w:r>
          </w:p>
        </w:tc>
        <w:tc>
          <w:tcPr>
            <w:tcW w:w="1400" w:type="dxa"/>
            <w:vAlign w:val="center"/>
          </w:tcPr>
          <w:p>
            <w:pPr>
              <w:pStyle w:val="TableNumber"/>
            </w:pPr>
            <w:r>
              <w:t>0.03978</w:t>
            </w:r>
          </w:p>
        </w:tc>
        <w:tc>
          <w:tcPr>
            <w:tcW w:w="1550" w:type="dxa"/>
            <w:vAlign w:val="center"/>
          </w:tcPr>
          <w:p>
            <w:pPr>
              <w:pStyle w:val="TableNumber"/>
            </w:pPr>
            <w:r>
              <w:t>0.01263</w:t>
            </w:r>
          </w:p>
        </w:tc>
        <w:tc>
          <w:tcPr>
            <w:tcW w:w="1550" w:type="dxa"/>
            <w:vAlign w:val="center"/>
          </w:tcPr>
          <w:p>
            <w:pPr>
              <w:pStyle w:val="TableNumber"/>
            </w:pPr>
            <w:r>
              <w:t>0.3174</w:t>
            </w:r>
          </w:p>
        </w:tc>
        <w:tc>
          <w:tcPr>
            <w:tcW w:w="1050" w:type="dxa"/>
            <w:vAlign w:val="center"/>
          </w:tcPr>
          <w:p>
            <w:pPr>
              <w:pStyle w:val="TableNumber"/>
            </w:pPr>
            <w:r>
              <w:t>1/13</w:t>
            </w:r>
          </w:p>
        </w:tc>
        <w:tc>
          <w:tcPr>
            <w:tcW w:w="1550" w:type="dxa"/>
            <w:vAlign w:val="center"/>
          </w:tcPr>
          <w:p>
            <w:pPr>
              <w:pStyle w:val="TableNumber"/>
            </w:pPr>
            <w:r>
              <w:t>0.03794</w:t>
            </w:r>
          </w:p>
        </w:tc>
        <w:tc>
          <w:tcPr>
            <w:tcW w:w="1610" w:type="dxa"/>
            <w:vAlign w:val="center"/>
          </w:tcPr>
          <w:p>
            <w:pPr>
              <w:pStyle w:val="TableNumber"/>
            </w:pPr>
            <w:r>
              <w:t>0.9536</w:t>
            </w:r>
          </w:p>
        </w:tc>
      </w:tr>
      <w:tr>
        <w:trPr>
          <w:cantSplit/>
        </w:trPr>
        <w:tc>
          <w:tcPr>
            <w:tcW w:w="650" w:type="dxa"/>
            <w:vAlign w:val="center"/>
          </w:tcPr>
          <w:p>
            <w:pPr>
              <w:pStyle w:val="TableText"/>
            </w:pPr>
            <w:r>
              <w:t>4d</w:t>
            </w:r>
          </w:p>
        </w:tc>
        <w:tc>
          <w:tcPr>
            <w:tcW w:w="1400" w:type="dxa"/>
            <w:vAlign w:val="center"/>
          </w:tcPr>
          <w:p>
            <w:pPr>
              <w:pStyle w:val="TableNumber"/>
            </w:pPr>
            <w:r>
              <w:t>0.04742</w:t>
            </w:r>
          </w:p>
        </w:tc>
        <w:tc>
          <w:tcPr>
            <w:tcW w:w="1550" w:type="dxa"/>
            <w:vAlign w:val="center"/>
          </w:tcPr>
          <w:p>
            <w:pPr>
              <w:pStyle w:val="TableNumber"/>
            </w:pPr>
            <w:r>
              <w:t>0.01452</w:t>
            </w:r>
          </w:p>
        </w:tc>
        <w:tc>
          <w:tcPr>
            <w:tcW w:w="1550" w:type="dxa"/>
            <w:vAlign w:val="center"/>
          </w:tcPr>
          <w:p>
            <w:pPr>
              <w:pStyle w:val="TableNumber"/>
            </w:pPr>
            <w:r>
              <w:t>0.3063</w:t>
            </w:r>
          </w:p>
        </w:tc>
        <w:tc>
          <w:tcPr>
            <w:tcW w:w="1050" w:type="dxa"/>
            <w:vAlign w:val="center"/>
          </w:tcPr>
          <w:p>
            <w:pPr>
              <w:pStyle w:val="TableNumber"/>
            </w:pPr>
            <w:r>
              <w:t>1/13</w:t>
            </w:r>
          </w:p>
        </w:tc>
        <w:tc>
          <w:tcPr>
            <w:tcW w:w="1550" w:type="dxa"/>
            <w:vAlign w:val="center"/>
          </w:tcPr>
          <w:p>
            <w:pPr>
              <w:pStyle w:val="TableNumber"/>
            </w:pPr>
            <w:r>
              <w:t>0.04380</w:t>
            </w:r>
          </w:p>
        </w:tc>
        <w:tc>
          <w:tcPr>
            <w:tcW w:w="1610" w:type="dxa"/>
            <w:vAlign w:val="center"/>
          </w:tcPr>
          <w:p>
            <w:pPr>
              <w:pStyle w:val="TableNumber"/>
            </w:pPr>
            <w:r>
              <w:t>0.9237</w:t>
            </w:r>
          </w:p>
        </w:tc>
      </w:tr>
      <w:tr>
        <w:trPr>
          <w:cantSplit/>
        </w:trPr>
        <w:tc>
          <w:tcPr>
            <w:tcW w:w="650" w:type="dxa"/>
            <w:vAlign w:val="center"/>
          </w:tcPr>
          <w:p>
            <w:pPr>
              <w:pStyle w:val="TableText"/>
            </w:pPr>
            <w:r>
              <w:t>5d</w:t>
            </w:r>
          </w:p>
        </w:tc>
        <w:tc>
          <w:tcPr>
            <w:tcW w:w="1400" w:type="dxa"/>
            <w:vAlign w:val="center"/>
          </w:tcPr>
          <w:p>
            <w:pPr>
              <w:pStyle w:val="TableNumber"/>
            </w:pPr>
            <w:r>
              <w:t>0.05335</w:t>
            </w:r>
          </w:p>
        </w:tc>
        <w:tc>
          <w:tcPr>
            <w:tcW w:w="1550" w:type="dxa"/>
            <w:vAlign w:val="center"/>
          </w:tcPr>
          <w:p>
            <w:pPr>
              <w:pStyle w:val="TableNumber"/>
            </w:pPr>
            <w:r>
              <w:t>0.01628</w:t>
            </w:r>
          </w:p>
        </w:tc>
        <w:tc>
          <w:tcPr>
            <w:tcW w:w="1550" w:type="dxa"/>
            <w:vAlign w:val="center"/>
          </w:tcPr>
          <w:p>
            <w:pPr>
              <w:pStyle w:val="TableNumber"/>
            </w:pPr>
            <w:r>
              <w:t>0.3052</w:t>
            </w:r>
          </w:p>
        </w:tc>
        <w:tc>
          <w:tcPr>
            <w:tcW w:w="1050" w:type="dxa"/>
            <w:vAlign w:val="center"/>
          </w:tcPr>
          <w:p>
            <w:pPr>
              <w:pStyle w:val="TableNumber"/>
            </w:pPr>
            <w:r>
              <w:t>1/13</w:t>
            </w:r>
          </w:p>
        </w:tc>
        <w:tc>
          <w:tcPr>
            <w:tcW w:w="1550" w:type="dxa"/>
            <w:vAlign w:val="center"/>
          </w:tcPr>
          <w:p>
            <w:pPr>
              <w:pStyle w:val="TableNumber"/>
            </w:pPr>
            <w:r>
              <w:t>0.04910</w:t>
            </w:r>
          </w:p>
        </w:tc>
        <w:tc>
          <w:tcPr>
            <w:tcW w:w="1610" w:type="dxa"/>
            <w:vAlign w:val="center"/>
          </w:tcPr>
          <w:p>
            <w:pPr>
              <w:pStyle w:val="TableNumber"/>
            </w:pPr>
            <w:r>
              <w:t>0.9205</w:t>
            </w:r>
          </w:p>
        </w:tc>
      </w:tr>
      <w:tr>
        <w:trPr>
          <w:cantSplit/>
        </w:trPr>
        <w:tc>
          <w:tcPr>
            <w:tcW w:w="650" w:type="dxa"/>
            <w:vAlign w:val="center"/>
          </w:tcPr>
          <w:p>
            <w:pPr>
              <w:pStyle w:val="TableText"/>
            </w:pPr>
            <w:r>
              <w:t>6d</w:t>
            </w:r>
          </w:p>
        </w:tc>
        <w:tc>
          <w:tcPr>
            <w:tcW w:w="1400" w:type="dxa"/>
            <w:vAlign w:val="center"/>
          </w:tcPr>
          <w:p>
            <w:pPr>
              <w:pStyle w:val="TableNumber"/>
            </w:pPr>
            <w:r>
              <w:t>0.05913</w:t>
            </w:r>
          </w:p>
        </w:tc>
        <w:tc>
          <w:tcPr>
            <w:tcW w:w="1550" w:type="dxa"/>
            <w:vAlign w:val="center"/>
          </w:tcPr>
          <w:p>
            <w:pPr>
              <w:pStyle w:val="TableNumber"/>
            </w:pPr>
            <w:r>
              <w:t>0.01775</w:t>
            </w:r>
          </w:p>
        </w:tc>
        <w:tc>
          <w:tcPr>
            <w:tcW w:w="1550" w:type="dxa"/>
            <w:vAlign w:val="center"/>
          </w:tcPr>
          <w:p>
            <w:pPr>
              <w:pStyle w:val="TableNumber"/>
            </w:pPr>
            <w:r>
              <w:t>0.3003</w:t>
            </w:r>
          </w:p>
        </w:tc>
        <w:tc>
          <w:tcPr>
            <w:tcW w:w="1050" w:type="dxa"/>
            <w:vAlign w:val="center"/>
          </w:tcPr>
          <w:p>
            <w:pPr>
              <w:pStyle w:val="TableNumber"/>
            </w:pPr>
            <w:r>
              <w:t>1/13</w:t>
            </w:r>
          </w:p>
        </w:tc>
        <w:tc>
          <w:tcPr>
            <w:tcW w:w="1550" w:type="dxa"/>
            <w:vAlign w:val="center"/>
          </w:tcPr>
          <w:p>
            <w:pPr>
              <w:pStyle w:val="TableNumber"/>
            </w:pPr>
            <w:r>
              <w:t>0.05353</w:t>
            </w:r>
          </w:p>
        </w:tc>
        <w:tc>
          <w:tcPr>
            <w:tcW w:w="1610" w:type="dxa"/>
            <w:vAlign w:val="center"/>
          </w:tcPr>
          <w:p>
            <w:pPr>
              <w:pStyle w:val="TableNumber"/>
            </w:pPr>
            <w:r>
              <w:t>0.9054</w:t>
            </w:r>
          </w:p>
        </w:tc>
      </w:tr>
      <w:tr>
        <w:trPr>
          <w:cantSplit/>
        </w:trPr>
        <w:tc>
          <w:tcPr>
            <w:tcW w:w="650" w:type="dxa"/>
            <w:vAlign w:val="center"/>
          </w:tcPr>
          <w:p>
            <w:pPr>
              <w:pStyle w:val="TableText"/>
            </w:pPr>
            <w:r>
              <w:t>7d</w:t>
            </w:r>
          </w:p>
        </w:tc>
        <w:tc>
          <w:tcPr>
            <w:tcW w:w="1400" w:type="dxa"/>
            <w:vAlign w:val="center"/>
          </w:tcPr>
          <w:p>
            <w:pPr>
              <w:pStyle w:val="TableNumber"/>
            </w:pPr>
            <w:r>
              <w:t>0.06442</w:t>
            </w:r>
          </w:p>
        </w:tc>
        <w:tc>
          <w:tcPr>
            <w:tcW w:w="1550" w:type="dxa"/>
            <w:vAlign w:val="center"/>
          </w:tcPr>
          <w:p>
            <w:pPr>
              <w:pStyle w:val="TableNumber"/>
            </w:pPr>
            <w:r>
              <w:t>0.01924</w:t>
            </w:r>
          </w:p>
        </w:tc>
        <w:tc>
          <w:tcPr>
            <w:tcW w:w="1550" w:type="dxa"/>
            <w:vAlign w:val="center"/>
          </w:tcPr>
          <w:p>
            <w:pPr>
              <w:pStyle w:val="TableNumber"/>
            </w:pPr>
            <w:r>
              <w:t>0.2987</w:t>
            </w:r>
          </w:p>
        </w:tc>
        <w:tc>
          <w:tcPr>
            <w:tcW w:w="1050" w:type="dxa"/>
            <w:vAlign w:val="center"/>
          </w:tcPr>
          <w:p>
            <w:pPr>
              <w:pStyle w:val="TableNumber"/>
            </w:pPr>
            <w:r>
              <w:t>1/13</w:t>
            </w:r>
          </w:p>
        </w:tc>
        <w:tc>
          <w:tcPr>
            <w:tcW w:w="1550" w:type="dxa"/>
            <w:vAlign w:val="center"/>
          </w:tcPr>
          <w:p>
            <w:pPr>
              <w:pStyle w:val="TableNumber"/>
            </w:pPr>
            <w:r>
              <w:t>0.05823</w:t>
            </w:r>
          </w:p>
        </w:tc>
        <w:tc>
          <w:tcPr>
            <w:tcW w:w="1610" w:type="dxa"/>
            <w:vAlign w:val="center"/>
          </w:tcPr>
          <w:p>
            <w:pPr>
              <w:pStyle w:val="TableNumber"/>
            </w:pPr>
            <w:r>
              <w:t>0.9039</w:t>
            </w:r>
          </w:p>
        </w:tc>
      </w:tr>
      <w:tr>
        <w:trPr>
          <w:cantSplit/>
        </w:trPr>
        <w:tc>
          <w:tcPr>
            <w:tcW w:w="650" w:type="dxa"/>
            <w:vAlign w:val="center"/>
          </w:tcPr>
          <w:p>
            <w:pPr>
              <w:pStyle w:val="TableText"/>
            </w:pPr>
            <w:r>
              <w:t>8d</w:t>
            </w:r>
          </w:p>
        </w:tc>
        <w:tc>
          <w:tcPr>
            <w:tcW w:w="1400" w:type="dxa"/>
            <w:vAlign w:val="center"/>
          </w:tcPr>
          <w:p>
            <w:pPr>
              <w:pStyle w:val="TableNumber"/>
            </w:pPr>
            <w:r>
              <w:t>0.06940</w:t>
            </w:r>
          </w:p>
        </w:tc>
        <w:tc>
          <w:tcPr>
            <w:tcW w:w="1550" w:type="dxa"/>
            <w:vAlign w:val="center"/>
          </w:tcPr>
          <w:p>
            <w:pPr>
              <w:pStyle w:val="TableNumber"/>
            </w:pPr>
            <w:r>
              <w:t>0.02054</w:t>
            </w:r>
          </w:p>
        </w:tc>
        <w:tc>
          <w:tcPr>
            <w:tcW w:w="1550" w:type="dxa"/>
            <w:vAlign w:val="center"/>
          </w:tcPr>
          <w:p>
            <w:pPr>
              <w:pStyle w:val="TableNumber"/>
            </w:pPr>
            <w:r>
              <w:t>0.2959</w:t>
            </w:r>
          </w:p>
        </w:tc>
        <w:tc>
          <w:tcPr>
            <w:tcW w:w="1050" w:type="dxa"/>
            <w:vAlign w:val="center"/>
          </w:tcPr>
          <w:p>
            <w:pPr>
              <w:pStyle w:val="TableNumber"/>
            </w:pPr>
            <w:r>
              <w:t>1/13</w:t>
            </w:r>
          </w:p>
        </w:tc>
        <w:tc>
          <w:tcPr>
            <w:tcW w:w="1550" w:type="dxa"/>
            <w:vAlign w:val="center"/>
          </w:tcPr>
          <w:p>
            <w:pPr>
              <w:pStyle w:val="TableNumber"/>
            </w:pPr>
            <w:r>
              <w:t>0.06201</w:t>
            </w:r>
          </w:p>
        </w:tc>
        <w:tc>
          <w:tcPr>
            <w:tcW w:w="1610" w:type="dxa"/>
            <w:vAlign w:val="center"/>
          </w:tcPr>
          <w:p>
            <w:pPr>
              <w:pStyle w:val="TableNumber"/>
            </w:pPr>
            <w:r>
              <w:t>0.8936</w:t>
            </w:r>
          </w:p>
        </w:tc>
      </w:tr>
      <w:tr>
        <w:trPr>
          <w:cantSplit/>
        </w:trPr>
        <w:tc>
          <w:tcPr>
            <w:tcW w:w="650" w:type="dxa"/>
            <w:vAlign w:val="center"/>
          </w:tcPr>
          <w:p>
            <w:pPr>
              <w:pStyle w:val="TableText"/>
            </w:pPr>
            <w:r>
              <w:t>9d</w:t>
            </w:r>
          </w:p>
        </w:tc>
        <w:tc>
          <w:tcPr>
            <w:tcW w:w="1400" w:type="dxa"/>
            <w:vAlign w:val="center"/>
          </w:tcPr>
          <w:p>
            <w:pPr>
              <w:pStyle w:val="TableNumber"/>
            </w:pPr>
            <w:r>
              <w:t>0.07374</w:t>
            </w:r>
          </w:p>
        </w:tc>
        <w:tc>
          <w:tcPr>
            <w:tcW w:w="1550" w:type="dxa"/>
            <w:vAlign w:val="center"/>
          </w:tcPr>
          <w:p>
            <w:pPr>
              <w:pStyle w:val="TableNumber"/>
            </w:pPr>
            <w:r>
              <w:t>0.02181</w:t>
            </w:r>
          </w:p>
        </w:tc>
        <w:tc>
          <w:tcPr>
            <w:tcW w:w="1550" w:type="dxa"/>
            <w:vAlign w:val="center"/>
          </w:tcPr>
          <w:p>
            <w:pPr>
              <w:pStyle w:val="TableNumber"/>
            </w:pPr>
            <w:r>
              <w:t>0.2958</w:t>
            </w:r>
          </w:p>
        </w:tc>
        <w:tc>
          <w:tcPr>
            <w:tcW w:w="1050" w:type="dxa"/>
            <w:vAlign w:val="center"/>
          </w:tcPr>
          <w:p>
            <w:pPr>
              <w:pStyle w:val="TableNumber"/>
            </w:pPr>
            <w:r>
              <w:t>1/13</w:t>
            </w:r>
          </w:p>
        </w:tc>
        <w:tc>
          <w:tcPr>
            <w:tcW w:w="1550" w:type="dxa"/>
            <w:vAlign w:val="center"/>
          </w:tcPr>
          <w:p>
            <w:pPr>
              <w:pStyle w:val="TableNumber"/>
            </w:pPr>
            <w:r>
              <w:t>0.06590</w:t>
            </w:r>
          </w:p>
        </w:tc>
        <w:tc>
          <w:tcPr>
            <w:tcW w:w="1610" w:type="dxa"/>
            <w:vAlign w:val="center"/>
          </w:tcPr>
          <w:p>
            <w:pPr>
              <w:pStyle w:val="TableNumber"/>
            </w:pPr>
            <w:r>
              <w:t>0.8937</w:t>
            </w:r>
          </w:p>
        </w:tc>
      </w:tr>
      <w:tr>
        <w:trPr>
          <w:cantSplit/>
        </w:trPr>
        <w:tc>
          <w:tcPr>
            <w:tcW w:w="650" w:type="dxa"/>
            <w:vAlign w:val="center"/>
          </w:tcPr>
          <w:p>
            <w:pPr>
              <w:pStyle w:val="TableText"/>
            </w:pPr>
            <w:r>
              <w:t>10d</w:t>
            </w:r>
          </w:p>
        </w:tc>
        <w:tc>
          <w:tcPr>
            <w:tcW w:w="1400" w:type="dxa"/>
            <w:vAlign w:val="center"/>
          </w:tcPr>
          <w:p>
            <w:pPr>
              <w:pStyle w:val="TableNumber"/>
            </w:pPr>
            <w:r>
              <w:t>0.07774</w:t>
            </w:r>
          </w:p>
        </w:tc>
        <w:tc>
          <w:tcPr>
            <w:tcW w:w="1550" w:type="dxa"/>
            <w:vAlign w:val="center"/>
          </w:tcPr>
          <w:p>
            <w:pPr>
              <w:pStyle w:val="TableNumber"/>
            </w:pPr>
            <w:r>
              <w:t>0.02296</w:t>
            </w:r>
          </w:p>
        </w:tc>
        <w:tc>
          <w:tcPr>
            <w:tcW w:w="1550" w:type="dxa"/>
            <w:vAlign w:val="center"/>
          </w:tcPr>
          <w:p>
            <w:pPr>
              <w:pStyle w:val="TableNumber"/>
            </w:pPr>
            <w:r>
              <w:t>0.2953</w:t>
            </w:r>
          </w:p>
        </w:tc>
        <w:tc>
          <w:tcPr>
            <w:tcW w:w="1050" w:type="dxa"/>
            <w:vAlign w:val="center"/>
          </w:tcPr>
          <w:p>
            <w:pPr>
              <w:pStyle w:val="TableNumber"/>
            </w:pPr>
            <w:r>
              <w:t>1/13</w:t>
            </w:r>
          </w:p>
        </w:tc>
        <w:tc>
          <w:tcPr>
            <w:tcW w:w="1550" w:type="dxa"/>
            <w:vAlign w:val="center"/>
          </w:tcPr>
          <w:p>
            <w:pPr>
              <w:pStyle w:val="TableNumber"/>
            </w:pPr>
            <w:r>
              <w:t>0.06934</w:t>
            </w:r>
          </w:p>
        </w:tc>
        <w:tc>
          <w:tcPr>
            <w:tcW w:w="1610" w:type="dxa"/>
            <w:vAlign w:val="center"/>
          </w:tcPr>
          <w:p>
            <w:pPr>
              <w:pStyle w:val="TableNumber"/>
            </w:pPr>
            <w:r>
              <w:t>0.8919</w:t>
            </w:r>
          </w:p>
        </w:tc>
      </w:tr>
      <w:tr>
        <w:trPr>
          <w:cantSplit/>
        </w:trPr>
        <w:tc>
          <w:tcPr>
            <w:tcW w:w="650" w:type="dxa"/>
            <w:vAlign w:val="center"/>
          </w:tcPr>
          <w:p>
            <w:pPr>
              <w:pStyle w:val="TableText"/>
            </w:pPr>
            <w:r>
              <w:t>11d</w:t>
            </w:r>
          </w:p>
        </w:tc>
        <w:tc>
          <w:tcPr>
            <w:tcW w:w="1400" w:type="dxa"/>
            <w:vAlign w:val="center"/>
          </w:tcPr>
          <w:p>
            <w:pPr>
              <w:pStyle w:val="TableNumber"/>
            </w:pPr>
            <w:r>
              <w:t>0.08205</w:t>
            </w:r>
          </w:p>
        </w:tc>
        <w:tc>
          <w:tcPr>
            <w:tcW w:w="1550" w:type="dxa"/>
            <w:vAlign w:val="center"/>
          </w:tcPr>
          <w:p>
            <w:pPr>
              <w:pStyle w:val="TableNumber"/>
            </w:pPr>
            <w:r>
              <w:t>0.02414</w:t>
            </w:r>
          </w:p>
        </w:tc>
        <w:tc>
          <w:tcPr>
            <w:tcW w:w="1550" w:type="dxa"/>
            <w:vAlign w:val="center"/>
          </w:tcPr>
          <w:p>
            <w:pPr>
              <w:pStyle w:val="TableNumber"/>
            </w:pPr>
            <w:r>
              <w:t>0.2942</w:t>
            </w:r>
          </w:p>
        </w:tc>
        <w:tc>
          <w:tcPr>
            <w:tcW w:w="1050" w:type="dxa"/>
            <w:vAlign w:val="center"/>
          </w:tcPr>
          <w:p>
            <w:pPr>
              <w:pStyle w:val="TableNumber"/>
            </w:pPr>
            <w:r>
              <w:t>1/13</w:t>
            </w:r>
          </w:p>
        </w:tc>
        <w:tc>
          <w:tcPr>
            <w:tcW w:w="1550" w:type="dxa"/>
            <w:vAlign w:val="center"/>
          </w:tcPr>
          <w:p>
            <w:pPr>
              <w:pStyle w:val="TableNumber"/>
            </w:pPr>
            <w:r>
              <w:t>0.07306</w:t>
            </w:r>
          </w:p>
        </w:tc>
        <w:tc>
          <w:tcPr>
            <w:tcW w:w="1610" w:type="dxa"/>
            <w:vAlign w:val="center"/>
          </w:tcPr>
          <w:p>
            <w:pPr>
              <w:pStyle w:val="TableNumber"/>
            </w:pPr>
            <w:r>
              <w:t>0.8904</w:t>
            </w:r>
          </w:p>
        </w:tc>
      </w:tr>
      <w:tr>
        <w:trPr>
          <w:cantSplit/>
        </w:trPr>
        <w:tc>
          <w:tcPr>
            <w:tcW w:w="650" w:type="dxa"/>
            <w:vAlign w:val="center"/>
          </w:tcPr>
          <w:p>
            <w:pPr>
              <w:pStyle w:val="TableText"/>
            </w:pPr>
            <w:r>
              <w:t>12d</w:t>
            </w:r>
          </w:p>
        </w:tc>
        <w:tc>
          <w:tcPr>
            <w:tcW w:w="1400" w:type="dxa"/>
            <w:vAlign w:val="center"/>
          </w:tcPr>
          <w:p>
            <w:pPr>
              <w:pStyle w:val="TableNumber"/>
            </w:pPr>
            <w:r>
              <w:t>0.08625</w:t>
            </w:r>
          </w:p>
        </w:tc>
        <w:tc>
          <w:tcPr>
            <w:tcW w:w="1550" w:type="dxa"/>
            <w:vAlign w:val="center"/>
          </w:tcPr>
          <w:p>
            <w:pPr>
              <w:pStyle w:val="TableNumber"/>
            </w:pPr>
            <w:r>
              <w:t>0.02529</w:t>
            </w:r>
          </w:p>
        </w:tc>
        <w:tc>
          <w:tcPr>
            <w:tcW w:w="1550" w:type="dxa"/>
            <w:vAlign w:val="center"/>
          </w:tcPr>
          <w:p>
            <w:pPr>
              <w:pStyle w:val="TableNumber"/>
            </w:pPr>
            <w:r>
              <w:t>0.2932</w:t>
            </w:r>
          </w:p>
        </w:tc>
        <w:tc>
          <w:tcPr>
            <w:tcW w:w="1050" w:type="dxa"/>
            <w:vAlign w:val="center"/>
          </w:tcPr>
          <w:p>
            <w:pPr>
              <w:pStyle w:val="TableNumber"/>
            </w:pPr>
            <w:r>
              <w:t>1/13</w:t>
            </w:r>
          </w:p>
        </w:tc>
        <w:tc>
          <w:tcPr>
            <w:tcW w:w="1550" w:type="dxa"/>
            <w:vAlign w:val="center"/>
          </w:tcPr>
          <w:p>
            <w:pPr>
              <w:pStyle w:val="TableNumber"/>
            </w:pPr>
            <w:r>
              <w:t>0.07655</w:t>
            </w:r>
          </w:p>
        </w:tc>
        <w:tc>
          <w:tcPr>
            <w:tcW w:w="1610" w:type="dxa"/>
            <w:vAlign w:val="center"/>
          </w:tcPr>
          <w:p>
            <w:pPr>
              <w:pStyle w:val="TableNumber"/>
            </w:pPr>
            <w:r>
              <w:t>0.8876</w:t>
            </w:r>
          </w:p>
        </w:tc>
      </w:tr>
      <w:tr>
        <w:trPr>
          <w:cantSplit/>
        </w:trPr>
        <w:tc>
          <w:tcPr>
            <w:tcW w:w="650" w:type="dxa"/>
            <w:vAlign w:val="center"/>
          </w:tcPr>
          <w:p>
            <w:pPr>
              <w:pStyle w:val="TableText"/>
            </w:pPr>
            <w:r>
              <w:t>13d</w:t>
            </w:r>
          </w:p>
        </w:tc>
        <w:tc>
          <w:tcPr>
            <w:tcW w:w="1400" w:type="dxa"/>
            <w:vAlign w:val="center"/>
          </w:tcPr>
          <w:p>
            <w:pPr>
              <w:pStyle w:val="TableNumber"/>
            </w:pPr>
            <w:r>
              <w:t>0.09066</w:t>
            </w:r>
          </w:p>
        </w:tc>
        <w:tc>
          <w:tcPr>
            <w:tcW w:w="1550" w:type="dxa"/>
            <w:vAlign w:val="center"/>
          </w:tcPr>
          <w:p>
            <w:pPr>
              <w:pStyle w:val="TableNumber"/>
            </w:pPr>
            <w:r>
              <w:t>0.02644</w:t>
            </w:r>
          </w:p>
        </w:tc>
        <w:tc>
          <w:tcPr>
            <w:tcW w:w="1550" w:type="dxa"/>
            <w:vAlign w:val="center"/>
          </w:tcPr>
          <w:p>
            <w:pPr>
              <w:pStyle w:val="TableNumber"/>
            </w:pPr>
            <w:r>
              <w:t>0.2917</w:t>
            </w:r>
          </w:p>
        </w:tc>
        <w:tc>
          <w:tcPr>
            <w:tcW w:w="1050" w:type="dxa"/>
            <w:vAlign w:val="center"/>
          </w:tcPr>
          <w:p>
            <w:pPr>
              <w:pStyle w:val="TableNumber"/>
            </w:pPr>
            <w:r>
              <w:t>1/13</w:t>
            </w:r>
          </w:p>
        </w:tc>
        <w:tc>
          <w:tcPr>
            <w:tcW w:w="1550" w:type="dxa"/>
            <w:vAlign w:val="center"/>
          </w:tcPr>
          <w:p>
            <w:pPr>
              <w:pStyle w:val="TableNumber"/>
            </w:pPr>
            <w:r>
              <w:t>0.08015</w:t>
            </w:r>
          </w:p>
        </w:tc>
        <w:tc>
          <w:tcPr>
            <w:tcW w:w="1610" w:type="dxa"/>
            <w:vAlign w:val="center"/>
          </w:tcPr>
          <w:p>
            <w:pPr>
              <w:pStyle w:val="TableNumber"/>
            </w:pPr>
            <w:r>
              <w:t>0.8841</w:t>
            </w:r>
          </w:p>
        </w:tc>
      </w:tr>
      <w:tr>
        <w:trPr>
          <w:cantSplit/>
        </w:trPr>
        <w:tc>
          <w:tcPr>
            <w:tcW w:w="650" w:type="dxa"/>
            <w:vAlign w:val="center"/>
          </w:tcPr>
          <w:p>
            <w:pPr>
              <w:pStyle w:val="TableText"/>
            </w:pPr>
            <w:r>
              <w:t>14d</w:t>
            </w:r>
          </w:p>
        </w:tc>
        <w:tc>
          <w:tcPr>
            <w:tcW w:w="1400" w:type="dxa"/>
            <w:vAlign w:val="center"/>
          </w:tcPr>
          <w:p>
            <w:pPr>
              <w:pStyle w:val="TableNumber"/>
            </w:pPr>
            <w:r>
              <w:t>0.09421</w:t>
            </w:r>
          </w:p>
        </w:tc>
        <w:tc>
          <w:tcPr>
            <w:tcW w:w="1550" w:type="dxa"/>
            <w:vAlign w:val="center"/>
          </w:tcPr>
          <w:p>
            <w:pPr>
              <w:pStyle w:val="TableNumber"/>
            </w:pPr>
            <w:r>
              <w:t>0.02754</w:t>
            </w:r>
          </w:p>
        </w:tc>
        <w:tc>
          <w:tcPr>
            <w:tcW w:w="1550" w:type="dxa"/>
            <w:vAlign w:val="center"/>
          </w:tcPr>
          <w:p>
            <w:pPr>
              <w:pStyle w:val="TableNumber"/>
            </w:pPr>
            <w:r>
              <w:t>0.2924</w:t>
            </w:r>
          </w:p>
        </w:tc>
        <w:tc>
          <w:tcPr>
            <w:tcW w:w="1050" w:type="dxa"/>
            <w:vAlign w:val="center"/>
          </w:tcPr>
          <w:p>
            <w:pPr>
              <w:pStyle w:val="TableNumber"/>
            </w:pPr>
            <w:r>
              <w:t>1/13</w:t>
            </w:r>
          </w:p>
        </w:tc>
        <w:tc>
          <w:tcPr>
            <w:tcW w:w="1550" w:type="dxa"/>
            <w:vAlign w:val="center"/>
          </w:tcPr>
          <w:p>
            <w:pPr>
              <w:pStyle w:val="TableNumber"/>
            </w:pPr>
            <w:r>
              <w:t>0.08355</w:t>
            </w:r>
          </w:p>
        </w:tc>
        <w:tc>
          <w:tcPr>
            <w:tcW w:w="1610" w:type="dxa"/>
            <w:vAlign w:val="center"/>
          </w:tcPr>
          <w:p>
            <w:pPr>
              <w:pStyle w:val="TableNumber"/>
            </w:pPr>
            <w:r>
              <w:t>0.8868</w:t>
            </w:r>
          </w:p>
        </w:tc>
      </w:tr>
    </w:tbl>
    <w:p>
      <w:pPr>
        <w:pStyle w:val="a"/>
      </w:pPr>
      <w:r>
        <w:t>Raw pinball and MAE rise with horizon because longer-horizon targets vary more. After division by the train-only robust scale, normalized pinball falls from 0.3799 at day 1 to 0.2924 at day 14. This means lower distribution error relative to each horizon's scale, not lower raw return error at day 14.</w:t>
      </w:r>
    </w:p>
    <w:p>
      <w:pPr>
        <w:pStyle w:val="21"/>
      </w:pPr>
      <w:r>
        <w:t>6.2 q50 and interval calibration</w:t>
      </w:r>
    </w:p>
    <w:p>
      <w:pPr>
        <w:pStyle w:val="Decision"/>
        <w:keepNext/>
        <w:spacing w:after="80"/>
      </w:pPr>
      <w:r>
        <w:t>Table 8 | Point forecast and interval at every horizon</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Gap to 80%</w:t>
            </w:r>
          </w:p>
        </w:tc>
        <w:tc>
          <w:tcPr>
            <w:tcW w:w="1960" w:type="dxa"/>
            <w:shd w:val="clear" w:fill="DCE6F1"/>
            <w:vAlign w:val="center"/>
          </w:tcPr>
          <w:p>
            <w:pPr>
              <w:pStyle w:val="TableHeader"/>
            </w:pPr>
            <w:r>
              <w:t>Width</w:t>
            </w:r>
          </w:p>
        </w:tc>
      </w:tr>
      <w:tr>
        <w:trPr>
          <w:cantSplit/>
        </w:trPr>
        <w:tc>
          <w:tcPr>
            <w:tcW w:w="700" w:type="dxa"/>
            <w:vAlign w:val="center"/>
          </w:tcPr>
          <w:p>
            <w:pPr>
              <w:pStyle w:val="TableText"/>
            </w:pPr>
            <w:r>
              <w:t>1d</w:t>
            </w:r>
          </w:p>
        </w:tc>
        <w:tc>
          <w:tcPr>
            <w:tcW w:w="1600" w:type="dxa"/>
            <w:vAlign w:val="center"/>
          </w:tcPr>
          <w:p>
            <w:pPr>
              <w:pStyle w:val="TableNumber"/>
            </w:pPr>
            <w:r>
              <w:t>0.0298</w:t>
            </w:r>
          </w:p>
        </w:tc>
        <w:tc>
          <w:tcPr>
            <w:tcW w:w="1650" w:type="dxa"/>
            <w:vAlign w:val="center"/>
          </w:tcPr>
          <w:p>
            <w:pPr>
              <w:pStyle w:val="TableNumber"/>
            </w:pPr>
            <w:r>
              <w:t>51.41%</w:t>
            </w:r>
          </w:p>
        </w:tc>
        <w:tc>
          <w:tcPr>
            <w:tcW w:w="1650" w:type="dxa"/>
            <w:vAlign w:val="center"/>
          </w:tcPr>
          <w:p>
            <w:pPr>
              <w:pStyle w:val="TableNumber"/>
            </w:pPr>
            <w:r>
              <w:t>82.06%</w:t>
            </w:r>
          </w:p>
        </w:tc>
        <w:tc>
          <w:tcPr>
            <w:tcW w:w="1800" w:type="dxa"/>
            <w:vAlign w:val="center"/>
          </w:tcPr>
          <w:p>
            <w:pPr>
              <w:pStyle w:val="TableNumber"/>
            </w:pPr>
            <w:r>
              <w:t>2.06 pp</w:t>
            </w:r>
          </w:p>
        </w:tc>
        <w:tc>
          <w:tcPr>
            <w:tcW w:w="1960" w:type="dxa"/>
            <w:vAlign w:val="center"/>
          </w:tcPr>
          <w:p>
            <w:pPr>
              <w:pStyle w:val="TableNumber"/>
            </w:pPr>
            <w:r>
              <w:t>0.0732</w:t>
            </w:r>
          </w:p>
        </w:tc>
      </w:tr>
      <w:tr>
        <w:trPr>
          <w:cantSplit/>
        </w:trPr>
        <w:tc>
          <w:tcPr>
            <w:tcW w:w="700" w:type="dxa"/>
            <w:vAlign w:val="center"/>
          </w:tcPr>
          <w:p>
            <w:pPr>
              <w:pStyle w:val="TableText"/>
            </w:pPr>
            <w:r>
              <w:t>2d</w:t>
            </w:r>
          </w:p>
        </w:tc>
        <w:tc>
          <w:tcPr>
            <w:tcW w:w="1600" w:type="dxa"/>
            <w:vAlign w:val="center"/>
          </w:tcPr>
          <w:p>
            <w:pPr>
              <w:pStyle w:val="TableNumber"/>
            </w:pPr>
            <w:r>
              <w:t>0.0328</w:t>
            </w:r>
          </w:p>
        </w:tc>
        <w:tc>
          <w:tcPr>
            <w:tcW w:w="1650" w:type="dxa"/>
            <w:vAlign w:val="center"/>
          </w:tcPr>
          <w:p>
            <w:pPr>
              <w:pStyle w:val="TableNumber"/>
            </w:pPr>
            <w:r>
              <w:t>52.60%</w:t>
            </w:r>
          </w:p>
        </w:tc>
        <w:tc>
          <w:tcPr>
            <w:tcW w:w="1650" w:type="dxa"/>
            <w:vAlign w:val="center"/>
          </w:tcPr>
          <w:p>
            <w:pPr>
              <w:pStyle w:val="TableNumber"/>
            </w:pPr>
            <w:r>
              <w:t>79.82%</w:t>
            </w:r>
          </w:p>
        </w:tc>
        <w:tc>
          <w:tcPr>
            <w:tcW w:w="1800" w:type="dxa"/>
            <w:vAlign w:val="center"/>
          </w:tcPr>
          <w:p>
            <w:pPr>
              <w:pStyle w:val="TableNumber"/>
            </w:pPr>
            <w:r>
              <w:t>0.18 pp</w:t>
            </w:r>
          </w:p>
        </w:tc>
        <w:tc>
          <w:tcPr>
            <w:tcW w:w="1960" w:type="dxa"/>
            <w:vAlign w:val="center"/>
          </w:tcPr>
          <w:p>
            <w:pPr>
              <w:pStyle w:val="TableNumber"/>
            </w:pPr>
            <w:r>
              <w:t>0.1004</w:t>
            </w:r>
          </w:p>
        </w:tc>
      </w:tr>
      <w:tr>
        <w:trPr>
          <w:cantSplit/>
        </w:trPr>
        <w:tc>
          <w:tcPr>
            <w:tcW w:w="700" w:type="dxa"/>
            <w:vAlign w:val="center"/>
          </w:tcPr>
          <w:p>
            <w:pPr>
              <w:pStyle w:val="TableText"/>
            </w:pPr>
            <w:r>
              <w:t>3d</w:t>
            </w:r>
          </w:p>
        </w:tc>
        <w:tc>
          <w:tcPr>
            <w:tcW w:w="1600" w:type="dxa"/>
            <w:vAlign w:val="center"/>
          </w:tcPr>
          <w:p>
            <w:pPr>
              <w:pStyle w:val="TableNumber"/>
            </w:pPr>
            <w:r>
              <w:t>0.0417</w:t>
            </w:r>
          </w:p>
        </w:tc>
        <w:tc>
          <w:tcPr>
            <w:tcW w:w="1650" w:type="dxa"/>
            <w:vAlign w:val="center"/>
          </w:tcPr>
          <w:p>
            <w:pPr>
              <w:pStyle w:val="TableNumber"/>
            </w:pPr>
            <w:r>
              <w:t>53.07%</w:t>
            </w:r>
          </w:p>
        </w:tc>
        <w:tc>
          <w:tcPr>
            <w:tcW w:w="1650" w:type="dxa"/>
            <w:vAlign w:val="center"/>
          </w:tcPr>
          <w:p>
            <w:pPr>
              <w:pStyle w:val="TableNumber"/>
            </w:pPr>
            <w:r>
              <w:t>78.16%</w:t>
            </w:r>
          </w:p>
        </w:tc>
        <w:tc>
          <w:tcPr>
            <w:tcW w:w="1800" w:type="dxa"/>
            <w:vAlign w:val="center"/>
          </w:tcPr>
          <w:p>
            <w:pPr>
              <w:pStyle w:val="TableNumber"/>
            </w:pPr>
            <w:r>
              <w:t>1.85 pp</w:t>
            </w:r>
          </w:p>
        </w:tc>
        <w:tc>
          <w:tcPr>
            <w:tcW w:w="1960" w:type="dxa"/>
            <w:vAlign w:val="center"/>
          </w:tcPr>
          <w:p>
            <w:pPr>
              <w:pStyle w:val="TableNumber"/>
            </w:pPr>
            <w:r>
              <w:t>0.1214</w:t>
            </w:r>
          </w:p>
        </w:tc>
      </w:tr>
      <w:tr>
        <w:trPr>
          <w:cantSplit/>
        </w:trPr>
        <w:tc>
          <w:tcPr>
            <w:tcW w:w="700" w:type="dxa"/>
            <w:vAlign w:val="center"/>
          </w:tcPr>
          <w:p>
            <w:pPr>
              <w:pStyle w:val="TableText"/>
            </w:pPr>
            <w:r>
              <w:t>4d</w:t>
            </w:r>
          </w:p>
        </w:tc>
        <w:tc>
          <w:tcPr>
            <w:tcW w:w="1600" w:type="dxa"/>
            <w:vAlign w:val="center"/>
          </w:tcPr>
          <w:p>
            <w:pPr>
              <w:pStyle w:val="TableNumber"/>
            </w:pPr>
            <w:r>
              <w:t>0.0539</w:t>
            </w:r>
          </w:p>
        </w:tc>
        <w:tc>
          <w:tcPr>
            <w:tcW w:w="1650" w:type="dxa"/>
            <w:vAlign w:val="center"/>
          </w:tcPr>
          <w:p>
            <w:pPr>
              <w:pStyle w:val="TableNumber"/>
            </w:pPr>
            <w:r>
              <w:t>52.80%</w:t>
            </w:r>
          </w:p>
        </w:tc>
        <w:tc>
          <w:tcPr>
            <w:tcW w:w="1650" w:type="dxa"/>
            <w:vAlign w:val="center"/>
          </w:tcPr>
          <w:p>
            <w:pPr>
              <w:pStyle w:val="TableNumber"/>
            </w:pPr>
            <w:r>
              <w:t>76.66%</w:t>
            </w:r>
          </w:p>
        </w:tc>
        <w:tc>
          <w:tcPr>
            <w:tcW w:w="1800" w:type="dxa"/>
            <w:vAlign w:val="center"/>
          </w:tcPr>
          <w:p>
            <w:pPr>
              <w:pStyle w:val="TableNumber"/>
            </w:pPr>
            <w:r>
              <w:t>3.34 pp</w:t>
            </w:r>
          </w:p>
        </w:tc>
        <w:tc>
          <w:tcPr>
            <w:tcW w:w="1960" w:type="dxa"/>
            <w:vAlign w:val="center"/>
          </w:tcPr>
          <w:p>
            <w:pPr>
              <w:pStyle w:val="TableNumber"/>
            </w:pPr>
            <w:r>
              <w:t>0.1371</w:t>
            </w:r>
          </w:p>
        </w:tc>
      </w:tr>
      <w:tr>
        <w:trPr>
          <w:cantSplit/>
        </w:trPr>
        <w:tc>
          <w:tcPr>
            <w:tcW w:w="700" w:type="dxa"/>
            <w:vAlign w:val="center"/>
          </w:tcPr>
          <w:p>
            <w:pPr>
              <w:pStyle w:val="TableText"/>
            </w:pPr>
            <w:r>
              <w:t>5d</w:t>
            </w:r>
          </w:p>
        </w:tc>
        <w:tc>
          <w:tcPr>
            <w:tcW w:w="1600" w:type="dxa"/>
            <w:vAlign w:val="center"/>
          </w:tcPr>
          <w:p>
            <w:pPr>
              <w:pStyle w:val="TableNumber"/>
            </w:pPr>
            <w:r>
              <w:t>0.0689</w:t>
            </w:r>
          </w:p>
        </w:tc>
        <w:tc>
          <w:tcPr>
            <w:tcW w:w="1650" w:type="dxa"/>
            <w:vAlign w:val="center"/>
          </w:tcPr>
          <w:p>
            <w:pPr>
              <w:pStyle w:val="TableNumber"/>
            </w:pPr>
            <w:r>
              <w:t>53.07%</w:t>
            </w:r>
          </w:p>
        </w:tc>
        <w:tc>
          <w:tcPr>
            <w:tcW w:w="1650" w:type="dxa"/>
            <w:vAlign w:val="center"/>
          </w:tcPr>
          <w:p>
            <w:pPr>
              <w:pStyle w:val="TableNumber"/>
            </w:pPr>
            <w:r>
              <w:t>74.95%</w:t>
            </w:r>
          </w:p>
        </w:tc>
        <w:tc>
          <w:tcPr>
            <w:tcW w:w="1800" w:type="dxa"/>
            <w:vAlign w:val="center"/>
          </w:tcPr>
          <w:p>
            <w:pPr>
              <w:pStyle w:val="TableNumber"/>
            </w:pPr>
            <w:r>
              <w:t>5.05 pp</w:t>
            </w:r>
          </w:p>
        </w:tc>
        <w:tc>
          <w:tcPr>
            <w:tcW w:w="1960" w:type="dxa"/>
            <w:vAlign w:val="center"/>
          </w:tcPr>
          <w:p>
            <w:pPr>
              <w:pStyle w:val="TableNumber"/>
            </w:pPr>
            <w:r>
              <w:t>0.1504</w:t>
            </w:r>
          </w:p>
        </w:tc>
      </w:tr>
      <w:tr>
        <w:trPr>
          <w:cantSplit/>
        </w:trPr>
        <w:tc>
          <w:tcPr>
            <w:tcW w:w="700" w:type="dxa"/>
            <w:vAlign w:val="center"/>
          </w:tcPr>
          <w:p>
            <w:pPr>
              <w:pStyle w:val="TableText"/>
            </w:pPr>
            <w:r>
              <w:t>6d</w:t>
            </w:r>
          </w:p>
        </w:tc>
        <w:tc>
          <w:tcPr>
            <w:tcW w:w="1600" w:type="dxa"/>
            <w:vAlign w:val="center"/>
          </w:tcPr>
          <w:p>
            <w:pPr>
              <w:pStyle w:val="TableNumber"/>
            </w:pPr>
            <w:r>
              <w:t>0.0840</w:t>
            </w:r>
          </w:p>
        </w:tc>
        <w:tc>
          <w:tcPr>
            <w:tcW w:w="1650" w:type="dxa"/>
            <w:vAlign w:val="center"/>
          </w:tcPr>
          <w:p>
            <w:pPr>
              <w:pStyle w:val="TableNumber"/>
            </w:pPr>
            <w:r>
              <w:t>54.18%</w:t>
            </w:r>
          </w:p>
        </w:tc>
        <w:tc>
          <w:tcPr>
            <w:tcW w:w="1650" w:type="dxa"/>
            <w:vAlign w:val="center"/>
          </w:tcPr>
          <w:p>
            <w:pPr>
              <w:pStyle w:val="TableNumber"/>
            </w:pPr>
            <w:r>
              <w:t>75.31%</w:t>
            </w:r>
          </w:p>
        </w:tc>
        <w:tc>
          <w:tcPr>
            <w:tcW w:w="1800" w:type="dxa"/>
            <w:vAlign w:val="center"/>
          </w:tcPr>
          <w:p>
            <w:pPr>
              <w:pStyle w:val="TableNumber"/>
            </w:pPr>
            <w:r>
              <w:t>4.70 pp</w:t>
            </w:r>
          </w:p>
        </w:tc>
        <w:tc>
          <w:tcPr>
            <w:tcW w:w="1960" w:type="dxa"/>
            <w:vAlign w:val="center"/>
          </w:tcPr>
          <w:p>
            <w:pPr>
              <w:pStyle w:val="TableNumber"/>
            </w:pPr>
            <w:r>
              <w:t>0.1640</w:t>
            </w:r>
          </w:p>
        </w:tc>
      </w:tr>
      <w:tr>
        <w:trPr>
          <w:cantSplit/>
        </w:trPr>
        <w:tc>
          <w:tcPr>
            <w:tcW w:w="700" w:type="dxa"/>
            <w:vAlign w:val="center"/>
          </w:tcPr>
          <w:p>
            <w:pPr>
              <w:pStyle w:val="TableText"/>
            </w:pPr>
            <w:r>
              <w:t>7d</w:t>
            </w:r>
          </w:p>
        </w:tc>
        <w:tc>
          <w:tcPr>
            <w:tcW w:w="1600" w:type="dxa"/>
            <w:vAlign w:val="center"/>
          </w:tcPr>
          <w:p>
            <w:pPr>
              <w:pStyle w:val="TableNumber"/>
            </w:pPr>
            <w:r>
              <w:t>0.0866</w:t>
            </w:r>
          </w:p>
        </w:tc>
        <w:tc>
          <w:tcPr>
            <w:tcW w:w="1650" w:type="dxa"/>
            <w:vAlign w:val="center"/>
          </w:tcPr>
          <w:p>
            <w:pPr>
              <w:pStyle w:val="TableNumber"/>
            </w:pPr>
            <w:r>
              <w:t>55.05%</w:t>
            </w:r>
          </w:p>
        </w:tc>
        <w:tc>
          <w:tcPr>
            <w:tcW w:w="1650" w:type="dxa"/>
            <w:vAlign w:val="center"/>
          </w:tcPr>
          <w:p>
            <w:pPr>
              <w:pStyle w:val="TableNumber"/>
            </w:pPr>
            <w:r>
              <w:t>75.66%</w:t>
            </w:r>
          </w:p>
        </w:tc>
        <w:tc>
          <w:tcPr>
            <w:tcW w:w="1800" w:type="dxa"/>
            <w:vAlign w:val="center"/>
          </w:tcPr>
          <w:p>
            <w:pPr>
              <w:pStyle w:val="TableNumber"/>
            </w:pPr>
            <w:r>
              <w:t>4.34 pp</w:t>
            </w:r>
          </w:p>
        </w:tc>
        <w:tc>
          <w:tcPr>
            <w:tcW w:w="1960" w:type="dxa"/>
            <w:vAlign w:val="center"/>
          </w:tcPr>
          <w:p>
            <w:pPr>
              <w:pStyle w:val="TableNumber"/>
            </w:pPr>
            <w:r>
              <w:t>0.1794</w:t>
            </w:r>
          </w:p>
        </w:tc>
      </w:tr>
      <w:tr>
        <w:trPr>
          <w:cantSplit/>
        </w:trPr>
        <w:tc>
          <w:tcPr>
            <w:tcW w:w="700" w:type="dxa"/>
            <w:vAlign w:val="center"/>
          </w:tcPr>
          <w:p>
            <w:pPr>
              <w:pStyle w:val="TableText"/>
            </w:pPr>
            <w:r>
              <w:t>8d</w:t>
            </w:r>
          </w:p>
        </w:tc>
        <w:tc>
          <w:tcPr>
            <w:tcW w:w="1600" w:type="dxa"/>
            <w:vAlign w:val="center"/>
          </w:tcPr>
          <w:p>
            <w:pPr>
              <w:pStyle w:val="TableNumber"/>
            </w:pPr>
            <w:r>
              <w:t>0.0938</w:t>
            </w:r>
          </w:p>
        </w:tc>
        <w:tc>
          <w:tcPr>
            <w:tcW w:w="1650" w:type="dxa"/>
            <w:vAlign w:val="center"/>
          </w:tcPr>
          <w:p>
            <w:pPr>
              <w:pStyle w:val="TableNumber"/>
            </w:pPr>
            <w:r>
              <w:t>56.61%</w:t>
            </w:r>
          </w:p>
        </w:tc>
        <w:tc>
          <w:tcPr>
            <w:tcW w:w="1650" w:type="dxa"/>
            <w:vAlign w:val="center"/>
          </w:tcPr>
          <w:p>
            <w:pPr>
              <w:pStyle w:val="TableNumber"/>
            </w:pPr>
            <w:r>
              <w:t>76.00%</w:t>
            </w:r>
          </w:p>
        </w:tc>
        <w:tc>
          <w:tcPr>
            <w:tcW w:w="1800" w:type="dxa"/>
            <w:vAlign w:val="center"/>
          </w:tcPr>
          <w:p>
            <w:pPr>
              <w:pStyle w:val="TableNumber"/>
            </w:pPr>
            <w:r>
              <w:t>4.00 pp</w:t>
            </w:r>
          </w:p>
        </w:tc>
        <w:tc>
          <w:tcPr>
            <w:tcW w:w="1960" w:type="dxa"/>
            <w:vAlign w:val="center"/>
          </w:tcPr>
          <w:p>
            <w:pPr>
              <w:pStyle w:val="TableNumber"/>
            </w:pPr>
            <w:r>
              <w:t>0.1913</w:t>
            </w:r>
          </w:p>
        </w:tc>
      </w:tr>
      <w:tr>
        <w:trPr>
          <w:cantSplit/>
        </w:trPr>
        <w:tc>
          <w:tcPr>
            <w:tcW w:w="700" w:type="dxa"/>
            <w:vAlign w:val="center"/>
          </w:tcPr>
          <w:p>
            <w:pPr>
              <w:pStyle w:val="TableText"/>
            </w:pPr>
            <w:r>
              <w:t>9d</w:t>
            </w:r>
          </w:p>
        </w:tc>
        <w:tc>
          <w:tcPr>
            <w:tcW w:w="1600" w:type="dxa"/>
            <w:vAlign w:val="center"/>
          </w:tcPr>
          <w:p>
            <w:pPr>
              <w:pStyle w:val="TableNumber"/>
            </w:pPr>
            <w:r>
              <w:t>0.1030</w:t>
            </w:r>
          </w:p>
        </w:tc>
        <w:tc>
          <w:tcPr>
            <w:tcW w:w="1650" w:type="dxa"/>
            <w:vAlign w:val="center"/>
          </w:tcPr>
          <w:p>
            <w:pPr>
              <w:pStyle w:val="TableNumber"/>
            </w:pPr>
            <w:r>
              <w:t>57.09%</w:t>
            </w:r>
          </w:p>
        </w:tc>
        <w:tc>
          <w:tcPr>
            <w:tcW w:w="1650" w:type="dxa"/>
            <w:vAlign w:val="center"/>
          </w:tcPr>
          <w:p>
            <w:pPr>
              <w:pStyle w:val="TableNumber"/>
            </w:pPr>
            <w:r>
              <w:t>75.81%</w:t>
            </w:r>
          </w:p>
        </w:tc>
        <w:tc>
          <w:tcPr>
            <w:tcW w:w="1800" w:type="dxa"/>
            <w:vAlign w:val="center"/>
          </w:tcPr>
          <w:p>
            <w:pPr>
              <w:pStyle w:val="TableNumber"/>
            </w:pPr>
            <w:r>
              <w:t>4.19 pp</w:t>
            </w:r>
          </w:p>
        </w:tc>
        <w:tc>
          <w:tcPr>
            <w:tcW w:w="1960" w:type="dxa"/>
            <w:vAlign w:val="center"/>
          </w:tcPr>
          <w:p>
            <w:pPr>
              <w:pStyle w:val="TableNumber"/>
            </w:pPr>
            <w:r>
              <w:t>0.2009</w:t>
            </w:r>
          </w:p>
        </w:tc>
      </w:tr>
      <w:tr>
        <w:trPr>
          <w:cantSplit/>
        </w:trPr>
        <w:tc>
          <w:tcPr>
            <w:tcW w:w="700" w:type="dxa"/>
            <w:vAlign w:val="center"/>
          </w:tcPr>
          <w:p>
            <w:pPr>
              <w:pStyle w:val="TableText"/>
            </w:pPr>
            <w:r>
              <w:t>10d</w:t>
            </w:r>
          </w:p>
        </w:tc>
        <w:tc>
          <w:tcPr>
            <w:tcW w:w="1600" w:type="dxa"/>
            <w:vAlign w:val="center"/>
          </w:tcPr>
          <w:p>
            <w:pPr>
              <w:pStyle w:val="TableNumber"/>
            </w:pPr>
            <w:r>
              <w:t>0.1115</w:t>
            </w:r>
          </w:p>
        </w:tc>
        <w:tc>
          <w:tcPr>
            <w:tcW w:w="1650" w:type="dxa"/>
            <w:vAlign w:val="center"/>
          </w:tcPr>
          <w:p>
            <w:pPr>
              <w:pStyle w:val="TableNumber"/>
            </w:pPr>
            <w:r>
              <w:t>58.07%</w:t>
            </w:r>
          </w:p>
        </w:tc>
        <w:tc>
          <w:tcPr>
            <w:tcW w:w="1650" w:type="dxa"/>
            <w:vAlign w:val="center"/>
          </w:tcPr>
          <w:p>
            <w:pPr>
              <w:pStyle w:val="TableNumber"/>
            </w:pPr>
            <w:r>
              <w:t>75.61%</w:t>
            </w:r>
          </w:p>
        </w:tc>
        <w:tc>
          <w:tcPr>
            <w:tcW w:w="1800" w:type="dxa"/>
            <w:vAlign w:val="center"/>
          </w:tcPr>
          <w:p>
            <w:pPr>
              <w:pStyle w:val="TableNumber"/>
            </w:pPr>
            <w:r>
              <w:t>4.40 pp</w:t>
            </w:r>
          </w:p>
        </w:tc>
        <w:tc>
          <w:tcPr>
            <w:tcW w:w="1960" w:type="dxa"/>
            <w:vAlign w:val="center"/>
          </w:tcPr>
          <w:p>
            <w:pPr>
              <w:pStyle w:val="TableNumber"/>
            </w:pPr>
            <w:r>
              <w:t>0.2103</w:t>
            </w:r>
          </w:p>
        </w:tc>
      </w:tr>
      <w:tr>
        <w:trPr>
          <w:cantSplit/>
        </w:trPr>
        <w:tc>
          <w:tcPr>
            <w:tcW w:w="700" w:type="dxa"/>
            <w:vAlign w:val="center"/>
          </w:tcPr>
          <w:p>
            <w:pPr>
              <w:pStyle w:val="TableText"/>
            </w:pPr>
            <w:r>
              <w:t>11d</w:t>
            </w:r>
          </w:p>
        </w:tc>
        <w:tc>
          <w:tcPr>
            <w:tcW w:w="1600" w:type="dxa"/>
            <w:vAlign w:val="center"/>
          </w:tcPr>
          <w:p>
            <w:pPr>
              <w:pStyle w:val="TableNumber"/>
            </w:pPr>
            <w:r>
              <w:t>0.1158</w:t>
            </w:r>
          </w:p>
        </w:tc>
        <w:tc>
          <w:tcPr>
            <w:tcW w:w="1650" w:type="dxa"/>
            <w:vAlign w:val="center"/>
          </w:tcPr>
          <w:p>
            <w:pPr>
              <w:pStyle w:val="TableNumber"/>
            </w:pPr>
            <w:r>
              <w:t>58.05%</w:t>
            </w:r>
          </w:p>
        </w:tc>
        <w:tc>
          <w:tcPr>
            <w:tcW w:w="1650" w:type="dxa"/>
            <w:vAlign w:val="center"/>
          </w:tcPr>
          <w:p>
            <w:pPr>
              <w:pStyle w:val="TableNumber"/>
            </w:pPr>
            <w:r>
              <w:t>75.65%</w:t>
            </w:r>
          </w:p>
        </w:tc>
        <w:tc>
          <w:tcPr>
            <w:tcW w:w="1800" w:type="dxa"/>
            <w:vAlign w:val="center"/>
          </w:tcPr>
          <w:p>
            <w:pPr>
              <w:pStyle w:val="TableNumber"/>
            </w:pPr>
            <w:r>
              <w:t>4.35 pp</w:t>
            </w:r>
          </w:p>
        </w:tc>
        <w:tc>
          <w:tcPr>
            <w:tcW w:w="1960" w:type="dxa"/>
            <w:vAlign w:val="center"/>
          </w:tcPr>
          <w:p>
            <w:pPr>
              <w:pStyle w:val="TableNumber"/>
            </w:pPr>
            <w:r>
              <w:t>0.2214</w:t>
            </w:r>
          </w:p>
        </w:tc>
      </w:tr>
      <w:tr>
        <w:trPr>
          <w:cantSplit/>
        </w:trPr>
        <w:tc>
          <w:tcPr>
            <w:tcW w:w="700" w:type="dxa"/>
            <w:vAlign w:val="center"/>
          </w:tcPr>
          <w:p>
            <w:pPr>
              <w:pStyle w:val="TableText"/>
            </w:pPr>
            <w:r>
              <w:t>12d</w:t>
            </w:r>
          </w:p>
        </w:tc>
        <w:tc>
          <w:tcPr>
            <w:tcW w:w="1600" w:type="dxa"/>
            <w:vAlign w:val="center"/>
          </w:tcPr>
          <w:p>
            <w:pPr>
              <w:pStyle w:val="TableNumber"/>
            </w:pPr>
            <w:r>
              <w:t>0.1157</w:t>
            </w:r>
          </w:p>
        </w:tc>
        <w:tc>
          <w:tcPr>
            <w:tcW w:w="1650" w:type="dxa"/>
            <w:vAlign w:val="center"/>
          </w:tcPr>
          <w:p>
            <w:pPr>
              <w:pStyle w:val="TableNumber"/>
            </w:pPr>
            <w:r>
              <w:t>57.48%</w:t>
            </w:r>
          </w:p>
        </w:tc>
        <w:tc>
          <w:tcPr>
            <w:tcW w:w="1650" w:type="dxa"/>
            <w:vAlign w:val="center"/>
          </w:tcPr>
          <w:p>
            <w:pPr>
              <w:pStyle w:val="TableNumber"/>
            </w:pPr>
            <w:r>
              <w:t>75.56%</w:t>
            </w:r>
          </w:p>
        </w:tc>
        <w:tc>
          <w:tcPr>
            <w:tcW w:w="1800" w:type="dxa"/>
            <w:vAlign w:val="center"/>
          </w:tcPr>
          <w:p>
            <w:pPr>
              <w:pStyle w:val="TableNumber"/>
            </w:pPr>
            <w:r>
              <w:t>4.44 pp</w:t>
            </w:r>
          </w:p>
        </w:tc>
        <w:tc>
          <w:tcPr>
            <w:tcW w:w="1960" w:type="dxa"/>
            <w:vAlign w:val="center"/>
          </w:tcPr>
          <w:p>
            <w:pPr>
              <w:pStyle w:val="TableNumber"/>
            </w:pPr>
            <w:r>
              <w:t>0.2295</w:t>
            </w:r>
          </w:p>
        </w:tc>
      </w:tr>
      <w:tr>
        <w:trPr>
          <w:cantSplit/>
        </w:trPr>
        <w:tc>
          <w:tcPr>
            <w:tcW w:w="700" w:type="dxa"/>
            <w:vAlign w:val="center"/>
          </w:tcPr>
          <w:p>
            <w:pPr>
              <w:pStyle w:val="TableText"/>
            </w:pPr>
            <w:r>
              <w:t>13d</w:t>
            </w:r>
          </w:p>
        </w:tc>
        <w:tc>
          <w:tcPr>
            <w:tcW w:w="1600" w:type="dxa"/>
            <w:vAlign w:val="center"/>
          </w:tcPr>
          <w:p>
            <w:pPr>
              <w:pStyle w:val="TableNumber"/>
            </w:pPr>
            <w:r>
              <w:t>0.1204</w:t>
            </w:r>
          </w:p>
        </w:tc>
        <w:tc>
          <w:tcPr>
            <w:tcW w:w="1650" w:type="dxa"/>
            <w:vAlign w:val="center"/>
          </w:tcPr>
          <w:p>
            <w:pPr>
              <w:pStyle w:val="TableNumber"/>
            </w:pPr>
            <w:r>
              <w:t>58.16%</w:t>
            </w:r>
          </w:p>
        </w:tc>
        <w:tc>
          <w:tcPr>
            <w:tcW w:w="1650" w:type="dxa"/>
            <w:vAlign w:val="center"/>
          </w:tcPr>
          <w:p>
            <w:pPr>
              <w:pStyle w:val="TableNumber"/>
            </w:pPr>
            <w:r>
              <w:t>74.97%</w:t>
            </w:r>
          </w:p>
        </w:tc>
        <w:tc>
          <w:tcPr>
            <w:tcW w:w="1800" w:type="dxa"/>
            <w:vAlign w:val="center"/>
          </w:tcPr>
          <w:p>
            <w:pPr>
              <w:pStyle w:val="TableNumber"/>
            </w:pPr>
            <w:r>
              <w:t>5.04 pp</w:t>
            </w:r>
          </w:p>
        </w:tc>
        <w:tc>
          <w:tcPr>
            <w:tcW w:w="1960" w:type="dxa"/>
            <w:vAlign w:val="center"/>
          </w:tcPr>
          <w:p>
            <w:pPr>
              <w:pStyle w:val="TableNumber"/>
            </w:pPr>
            <w:r>
              <w:t>0.2390</w:t>
            </w:r>
          </w:p>
        </w:tc>
      </w:tr>
      <w:tr>
        <w:trPr>
          <w:cantSplit/>
        </w:trPr>
        <w:tc>
          <w:tcPr>
            <w:tcW w:w="700" w:type="dxa"/>
            <w:vAlign w:val="center"/>
          </w:tcPr>
          <w:p>
            <w:pPr>
              <w:pStyle w:val="TableText"/>
            </w:pPr>
            <w:r>
              <w:t>14d</w:t>
            </w:r>
          </w:p>
        </w:tc>
        <w:tc>
          <w:tcPr>
            <w:tcW w:w="1600" w:type="dxa"/>
            <w:vAlign w:val="center"/>
          </w:tcPr>
          <w:p>
            <w:pPr>
              <w:pStyle w:val="TableNumber"/>
            </w:pPr>
            <w:r>
              <w:t>0.1199</w:t>
            </w:r>
          </w:p>
        </w:tc>
        <w:tc>
          <w:tcPr>
            <w:tcW w:w="1650" w:type="dxa"/>
            <w:vAlign w:val="center"/>
          </w:tcPr>
          <w:p>
            <w:pPr>
              <w:pStyle w:val="TableNumber"/>
            </w:pPr>
            <w:r>
              <w:t>58.54%</w:t>
            </w:r>
          </w:p>
        </w:tc>
        <w:tc>
          <w:tcPr>
            <w:tcW w:w="1650" w:type="dxa"/>
            <w:vAlign w:val="center"/>
          </w:tcPr>
          <w:p>
            <w:pPr>
              <w:pStyle w:val="TableNumber"/>
            </w:pPr>
            <w:r>
              <w:t>75.17%</w:t>
            </w:r>
          </w:p>
        </w:tc>
        <w:tc>
          <w:tcPr>
            <w:tcW w:w="1800" w:type="dxa"/>
            <w:vAlign w:val="center"/>
          </w:tcPr>
          <w:p>
            <w:pPr>
              <w:pStyle w:val="TableNumber"/>
            </w:pPr>
            <w:r>
              <w:t>4.83 pp</w:t>
            </w:r>
          </w:p>
        </w:tc>
        <w:tc>
          <w:tcPr>
            <w:tcW w:w="1960" w:type="dxa"/>
            <w:vAlign w:val="center"/>
          </w:tcPr>
          <w:p>
            <w:pPr>
              <w:pStyle w:val="TableNumber"/>
            </w:pPr>
            <w:r>
              <w:t>0.2496</w:t>
            </w:r>
          </w:p>
        </w:tc>
      </w:tr>
    </w:tbl>
    <w:p>
      <w:pPr>
        <w:pStyle w:val="a"/>
      </w:pPr>
      <w:r>
        <w:t>q50 correlation rises from 0.0298 at day 1 to 0.1199 at day 14. Direction agreement is above 50% at all 14 days. Coverage ranges from 74.95% to 82.06%; 13 horizons are below nominal 80%, so q10 to q90 still requires calibration. Width grows from 0.0732 to 0.2496.</w:t>
      </w:r>
    </w:p>
    <w:p>
      <w:pPr>
        <w:pStyle w:val="21"/>
      </w:pPr>
      <w:r>
        <w:t>6.3 Cross-sectional ranking and capital path</w:t>
      </w:r>
    </w:p>
    <w:p>
      <w:pPr>
        <w:pStyle w:val="Decision"/>
        <w:keepNext/>
        <w:spacing w:after="80"/>
      </w:pPr>
      <w:r>
        <w:t>Table 9 | Economic diagnostics at every horizon</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0.0383 (2/13)</w:t>
            </w:r>
          </w:p>
        </w:tc>
        <w:tc>
          <w:tcPr>
            <w:tcW w:w="1100" w:type="dxa"/>
            <w:vAlign w:val="center"/>
          </w:tcPr>
          <w:p>
            <w:pPr>
              <w:pStyle w:val="TableNumber"/>
            </w:pPr>
            <w:r>
              <w:t>0.298</w:t>
            </w:r>
          </w:p>
        </w:tc>
        <w:tc>
          <w:tcPr>
            <w:tcW w:w="1500" w:type="dxa"/>
            <w:vAlign w:val="center"/>
          </w:tcPr>
          <w:p>
            <w:pPr>
              <w:pStyle w:val="TableNumber"/>
            </w:pPr>
            <w:r>
              <w:t>+0.00%</w:t>
            </w:r>
          </w:p>
        </w:tc>
        <w:tc>
          <w:tcPr>
            <w:tcW w:w="1650" w:type="dxa"/>
            <w:vAlign w:val="center"/>
          </w:tcPr>
          <w:p>
            <w:pPr>
              <w:pStyle w:val="TableNumber"/>
            </w:pPr>
            <w:r>
              <w:t>3.29 (1/13)</w:t>
            </w:r>
          </w:p>
        </w:tc>
        <w:tc>
          <w:tcPr>
            <w:tcW w:w="1600" w:type="dxa"/>
            <w:vAlign w:val="center"/>
          </w:tcPr>
          <w:p>
            <w:pPr>
              <w:pStyle w:val="TableNumber"/>
            </w:pPr>
            <w:r>
              <w:t>-4.7% (3/13)</w:t>
            </w:r>
          </w:p>
        </w:tc>
        <w:tc>
          <w:tcPr>
            <w:tcW w:w="960" w:type="dxa"/>
            <w:vAlign w:val="center"/>
          </w:tcPr>
          <w:p>
            <w:pPr>
              <w:pStyle w:val="TableNumber"/>
            </w:pPr>
            <w:r>
              <w:t>0.454</w:t>
            </w:r>
          </w:p>
        </w:tc>
      </w:tr>
      <w:tr>
        <w:trPr>
          <w:cantSplit/>
        </w:trPr>
        <w:tc>
          <w:tcPr>
            <w:tcW w:w="650" w:type="dxa"/>
            <w:vAlign w:val="center"/>
          </w:tcPr>
          <w:p>
            <w:pPr>
              <w:pStyle w:val="TableText"/>
            </w:pPr>
            <w:r>
              <w:t>2d</w:t>
            </w:r>
          </w:p>
        </w:tc>
        <w:tc>
          <w:tcPr>
            <w:tcW w:w="1900" w:type="dxa"/>
            <w:vAlign w:val="center"/>
          </w:tcPr>
          <w:p>
            <w:pPr>
              <w:pStyle w:val="TableNumber"/>
            </w:pPr>
            <w:r>
              <w:t>0.0494 (2/13)</w:t>
            </w:r>
          </w:p>
        </w:tc>
        <w:tc>
          <w:tcPr>
            <w:tcW w:w="1100" w:type="dxa"/>
            <w:vAlign w:val="center"/>
          </w:tcPr>
          <w:p>
            <w:pPr>
              <w:pStyle w:val="TableNumber"/>
            </w:pPr>
            <w:r>
              <w:t>0.399</w:t>
            </w:r>
          </w:p>
        </w:tc>
        <w:tc>
          <w:tcPr>
            <w:tcW w:w="1500" w:type="dxa"/>
            <w:vAlign w:val="center"/>
          </w:tcPr>
          <w:p>
            <w:pPr>
              <w:pStyle w:val="TableNumber"/>
            </w:pPr>
            <w:r>
              <w:t>+0.01%</w:t>
            </w:r>
          </w:p>
        </w:tc>
        <w:tc>
          <w:tcPr>
            <w:tcW w:w="1650" w:type="dxa"/>
            <w:vAlign w:val="center"/>
          </w:tcPr>
          <w:p>
            <w:pPr>
              <w:pStyle w:val="TableNumber"/>
            </w:pPr>
            <w:r>
              <w:t>3.63 (1/13)</w:t>
            </w:r>
          </w:p>
        </w:tc>
        <w:tc>
          <w:tcPr>
            <w:tcW w:w="1600" w:type="dxa"/>
            <w:vAlign w:val="center"/>
          </w:tcPr>
          <w:p>
            <w:pPr>
              <w:pStyle w:val="TableNumber"/>
            </w:pPr>
            <w:r>
              <w:t>-7.6% (3/13)</w:t>
            </w:r>
          </w:p>
        </w:tc>
        <w:tc>
          <w:tcPr>
            <w:tcW w:w="960" w:type="dxa"/>
            <w:vAlign w:val="center"/>
          </w:tcPr>
          <w:p>
            <w:pPr>
              <w:pStyle w:val="TableNumber"/>
            </w:pPr>
            <w:r>
              <w:t>0.538</w:t>
            </w:r>
          </w:p>
        </w:tc>
      </w:tr>
      <w:tr>
        <w:trPr>
          <w:cantSplit/>
        </w:trPr>
        <w:tc>
          <w:tcPr>
            <w:tcW w:w="650" w:type="dxa"/>
            <w:vAlign w:val="center"/>
          </w:tcPr>
          <w:p>
            <w:pPr>
              <w:pStyle w:val="TableText"/>
            </w:pPr>
            <w:r>
              <w:t>3d</w:t>
            </w:r>
          </w:p>
        </w:tc>
        <w:tc>
          <w:tcPr>
            <w:tcW w:w="1900" w:type="dxa"/>
            <w:vAlign w:val="center"/>
          </w:tcPr>
          <w:p>
            <w:pPr>
              <w:pStyle w:val="TableNumber"/>
            </w:pPr>
            <w:r>
              <w:t>0.0585 (2/13)</w:t>
            </w:r>
          </w:p>
        </w:tc>
        <w:tc>
          <w:tcPr>
            <w:tcW w:w="1100" w:type="dxa"/>
            <w:vAlign w:val="center"/>
          </w:tcPr>
          <w:p>
            <w:pPr>
              <w:pStyle w:val="TableNumber"/>
            </w:pPr>
            <w:r>
              <w:t>0.448</w:t>
            </w:r>
          </w:p>
        </w:tc>
        <w:tc>
          <w:tcPr>
            <w:tcW w:w="1500" w:type="dxa"/>
            <w:vAlign w:val="center"/>
          </w:tcPr>
          <w:p>
            <w:pPr>
              <w:pStyle w:val="TableNumber"/>
            </w:pPr>
            <w:r>
              <w:t>+0.01%</w:t>
            </w:r>
          </w:p>
        </w:tc>
        <w:tc>
          <w:tcPr>
            <w:tcW w:w="1650" w:type="dxa"/>
            <w:vAlign w:val="center"/>
          </w:tcPr>
          <w:p>
            <w:pPr>
              <w:pStyle w:val="TableNumber"/>
            </w:pPr>
            <w:r>
              <w:t>4.06 (1/13)</w:t>
            </w:r>
          </w:p>
        </w:tc>
        <w:tc>
          <w:tcPr>
            <w:tcW w:w="1600" w:type="dxa"/>
            <w:vAlign w:val="center"/>
          </w:tcPr>
          <w:p>
            <w:pPr>
              <w:pStyle w:val="TableNumber"/>
            </w:pPr>
            <w:r>
              <w:t>-10.6% (3/13)</w:t>
            </w:r>
          </w:p>
        </w:tc>
        <w:tc>
          <w:tcPr>
            <w:tcW w:w="960" w:type="dxa"/>
            <w:vAlign w:val="center"/>
          </w:tcPr>
          <w:p>
            <w:pPr>
              <w:pStyle w:val="TableNumber"/>
            </w:pPr>
            <w:r>
              <w:t>0.553</w:t>
            </w:r>
          </w:p>
        </w:tc>
      </w:tr>
      <w:tr>
        <w:trPr>
          <w:cantSplit/>
        </w:trPr>
        <w:tc>
          <w:tcPr>
            <w:tcW w:w="650" w:type="dxa"/>
            <w:vAlign w:val="center"/>
          </w:tcPr>
          <w:p>
            <w:pPr>
              <w:pStyle w:val="TableText"/>
            </w:pPr>
            <w:r>
              <w:t>4d</w:t>
            </w:r>
          </w:p>
        </w:tc>
        <w:tc>
          <w:tcPr>
            <w:tcW w:w="1900" w:type="dxa"/>
            <w:vAlign w:val="center"/>
          </w:tcPr>
          <w:p>
            <w:pPr>
              <w:pStyle w:val="TableNumber"/>
            </w:pPr>
            <w:r>
              <w:t>0.0753 (2/13)</w:t>
            </w:r>
          </w:p>
        </w:tc>
        <w:tc>
          <w:tcPr>
            <w:tcW w:w="1100" w:type="dxa"/>
            <w:vAlign w:val="center"/>
          </w:tcPr>
          <w:p>
            <w:pPr>
              <w:pStyle w:val="TableNumber"/>
            </w:pPr>
            <w:r>
              <w:t>0.551</w:t>
            </w:r>
          </w:p>
        </w:tc>
        <w:tc>
          <w:tcPr>
            <w:tcW w:w="1500" w:type="dxa"/>
            <w:vAlign w:val="center"/>
          </w:tcPr>
          <w:p>
            <w:pPr>
              <w:pStyle w:val="TableNumber"/>
            </w:pPr>
            <w:r>
              <w:t>+0.01%</w:t>
            </w:r>
          </w:p>
        </w:tc>
        <w:tc>
          <w:tcPr>
            <w:tcW w:w="1650" w:type="dxa"/>
            <w:vAlign w:val="center"/>
          </w:tcPr>
          <w:p>
            <w:pPr>
              <w:pStyle w:val="TableNumber"/>
            </w:pPr>
            <w:r>
              <w:t>4.25 (1/13)</w:t>
            </w:r>
          </w:p>
        </w:tc>
        <w:tc>
          <w:tcPr>
            <w:tcW w:w="1600" w:type="dxa"/>
            <w:vAlign w:val="center"/>
          </w:tcPr>
          <w:p>
            <w:pPr>
              <w:pStyle w:val="TableNumber"/>
            </w:pPr>
            <w:r>
              <w:t>-14.2% (3/13)</w:t>
            </w:r>
          </w:p>
        </w:tc>
        <w:tc>
          <w:tcPr>
            <w:tcW w:w="960" w:type="dxa"/>
            <w:vAlign w:val="center"/>
          </w:tcPr>
          <w:p>
            <w:pPr>
              <w:pStyle w:val="TableNumber"/>
            </w:pPr>
            <w:r>
              <w:t>0.548</w:t>
            </w:r>
          </w:p>
        </w:tc>
      </w:tr>
      <w:tr>
        <w:trPr>
          <w:cantSplit/>
        </w:trPr>
        <w:tc>
          <w:tcPr>
            <w:tcW w:w="650" w:type="dxa"/>
            <w:vAlign w:val="center"/>
          </w:tcPr>
          <w:p>
            <w:pPr>
              <w:pStyle w:val="TableText"/>
            </w:pPr>
            <w:r>
              <w:t>5d</w:t>
            </w:r>
          </w:p>
        </w:tc>
        <w:tc>
          <w:tcPr>
            <w:tcW w:w="1900" w:type="dxa"/>
            <w:vAlign w:val="center"/>
          </w:tcPr>
          <w:p>
            <w:pPr>
              <w:pStyle w:val="TableNumber"/>
            </w:pPr>
            <w:r>
              <w:t>0.0879 (1/13)</w:t>
            </w:r>
          </w:p>
        </w:tc>
        <w:tc>
          <w:tcPr>
            <w:tcW w:w="1100" w:type="dxa"/>
            <w:vAlign w:val="center"/>
          </w:tcPr>
          <w:p>
            <w:pPr>
              <w:pStyle w:val="TableNumber"/>
            </w:pPr>
            <w:r>
              <w:t>0.667</w:t>
            </w:r>
          </w:p>
        </w:tc>
        <w:tc>
          <w:tcPr>
            <w:tcW w:w="1500" w:type="dxa"/>
            <w:vAlign w:val="center"/>
          </w:tcPr>
          <w:p>
            <w:pPr>
              <w:pStyle w:val="TableNumber"/>
            </w:pPr>
            <w:r>
              <w:t>+0.01%</w:t>
            </w:r>
          </w:p>
        </w:tc>
        <w:tc>
          <w:tcPr>
            <w:tcW w:w="1650" w:type="dxa"/>
            <w:vAlign w:val="center"/>
          </w:tcPr>
          <w:p>
            <w:pPr>
              <w:pStyle w:val="TableNumber"/>
            </w:pPr>
            <w:r>
              <w:t>3.76 (1/13)</w:t>
            </w:r>
          </w:p>
        </w:tc>
        <w:tc>
          <w:tcPr>
            <w:tcW w:w="1600" w:type="dxa"/>
            <w:vAlign w:val="center"/>
          </w:tcPr>
          <w:p>
            <w:pPr>
              <w:pStyle w:val="TableNumber"/>
            </w:pPr>
            <w:r>
              <w:t>-20.2% (4/13)</w:t>
            </w:r>
          </w:p>
        </w:tc>
        <w:tc>
          <w:tcPr>
            <w:tcW w:w="960" w:type="dxa"/>
            <w:vAlign w:val="center"/>
          </w:tcPr>
          <w:p>
            <w:pPr>
              <w:pStyle w:val="TableNumber"/>
            </w:pPr>
            <w:r>
              <w:t>0.525</w:t>
            </w:r>
          </w:p>
        </w:tc>
      </w:tr>
      <w:tr>
        <w:trPr>
          <w:cantSplit/>
        </w:trPr>
        <w:tc>
          <w:tcPr>
            <w:tcW w:w="650" w:type="dxa"/>
            <w:vAlign w:val="center"/>
          </w:tcPr>
          <w:p>
            <w:pPr>
              <w:pStyle w:val="TableText"/>
            </w:pPr>
            <w:r>
              <w:t>6d</w:t>
            </w:r>
          </w:p>
        </w:tc>
        <w:tc>
          <w:tcPr>
            <w:tcW w:w="1900" w:type="dxa"/>
            <w:vAlign w:val="center"/>
          </w:tcPr>
          <w:p>
            <w:pPr>
              <w:pStyle w:val="TableNumber"/>
            </w:pPr>
            <w:r>
              <w:t>0.0950 (1/13)</w:t>
            </w:r>
          </w:p>
        </w:tc>
        <w:tc>
          <w:tcPr>
            <w:tcW w:w="1100" w:type="dxa"/>
            <w:vAlign w:val="center"/>
          </w:tcPr>
          <w:p>
            <w:pPr>
              <w:pStyle w:val="TableNumber"/>
            </w:pPr>
            <w:r>
              <w:t>0.769</w:t>
            </w:r>
          </w:p>
        </w:tc>
        <w:tc>
          <w:tcPr>
            <w:tcW w:w="1500" w:type="dxa"/>
            <w:vAlign w:val="center"/>
          </w:tcPr>
          <w:p>
            <w:pPr>
              <w:pStyle w:val="TableNumber"/>
            </w:pPr>
            <w:r>
              <w:t>+0.02%</w:t>
            </w:r>
          </w:p>
        </w:tc>
        <w:tc>
          <w:tcPr>
            <w:tcW w:w="1650" w:type="dxa"/>
            <w:vAlign w:val="center"/>
          </w:tcPr>
          <w:p>
            <w:pPr>
              <w:pStyle w:val="TableNumber"/>
            </w:pPr>
            <w:r>
              <w:t>3.70 (1/13)</w:t>
            </w:r>
          </w:p>
        </w:tc>
        <w:tc>
          <w:tcPr>
            <w:tcW w:w="1600" w:type="dxa"/>
            <w:vAlign w:val="center"/>
          </w:tcPr>
          <w:p>
            <w:pPr>
              <w:pStyle w:val="TableNumber"/>
            </w:pPr>
            <w:r>
              <w:t>-27.4% (8/13)</w:t>
            </w:r>
          </w:p>
        </w:tc>
        <w:tc>
          <w:tcPr>
            <w:tcW w:w="960" w:type="dxa"/>
            <w:vAlign w:val="center"/>
          </w:tcPr>
          <w:p>
            <w:pPr>
              <w:pStyle w:val="TableNumber"/>
            </w:pPr>
            <w:r>
              <w:t>0.490</w:t>
            </w:r>
          </w:p>
        </w:tc>
      </w:tr>
      <w:tr>
        <w:trPr>
          <w:cantSplit/>
        </w:trPr>
        <w:tc>
          <w:tcPr>
            <w:tcW w:w="650" w:type="dxa"/>
            <w:vAlign w:val="center"/>
          </w:tcPr>
          <w:p>
            <w:pPr>
              <w:pStyle w:val="TableText"/>
            </w:pPr>
            <w:r>
              <w:t>7d</w:t>
            </w:r>
          </w:p>
        </w:tc>
        <w:tc>
          <w:tcPr>
            <w:tcW w:w="1900" w:type="dxa"/>
            <w:vAlign w:val="center"/>
          </w:tcPr>
          <w:p>
            <w:pPr>
              <w:pStyle w:val="TableNumber"/>
            </w:pPr>
            <w:r>
              <w:t>0.0955 (1/13)</w:t>
            </w:r>
          </w:p>
        </w:tc>
        <w:tc>
          <w:tcPr>
            <w:tcW w:w="1100" w:type="dxa"/>
            <w:vAlign w:val="center"/>
          </w:tcPr>
          <w:p>
            <w:pPr>
              <w:pStyle w:val="TableNumber"/>
            </w:pPr>
            <w:r>
              <w:t>0.821</w:t>
            </w:r>
          </w:p>
        </w:tc>
        <w:tc>
          <w:tcPr>
            <w:tcW w:w="1500" w:type="dxa"/>
            <w:vAlign w:val="center"/>
          </w:tcPr>
          <w:p>
            <w:pPr>
              <w:pStyle w:val="TableNumber"/>
            </w:pPr>
            <w:r>
              <w:t>+0.02%</w:t>
            </w:r>
          </w:p>
        </w:tc>
        <w:tc>
          <w:tcPr>
            <w:tcW w:w="1650" w:type="dxa"/>
            <w:vAlign w:val="center"/>
          </w:tcPr>
          <w:p>
            <w:pPr>
              <w:pStyle w:val="TableNumber"/>
            </w:pPr>
            <w:r>
              <w:t>3.48 (1/13)</w:t>
            </w:r>
          </w:p>
        </w:tc>
        <w:tc>
          <w:tcPr>
            <w:tcW w:w="1600" w:type="dxa"/>
            <w:vAlign w:val="center"/>
          </w:tcPr>
          <w:p>
            <w:pPr>
              <w:pStyle w:val="TableNumber"/>
            </w:pPr>
            <w:r>
              <w:t>-33.0% (7/13)</w:t>
            </w:r>
          </w:p>
        </w:tc>
        <w:tc>
          <w:tcPr>
            <w:tcW w:w="960" w:type="dxa"/>
            <w:vAlign w:val="center"/>
          </w:tcPr>
          <w:p>
            <w:pPr>
              <w:pStyle w:val="TableNumber"/>
            </w:pPr>
            <w:r>
              <w:t>0.475</w:t>
            </w:r>
          </w:p>
        </w:tc>
      </w:tr>
      <w:tr>
        <w:trPr>
          <w:cantSplit/>
        </w:trPr>
        <w:tc>
          <w:tcPr>
            <w:tcW w:w="650" w:type="dxa"/>
            <w:vAlign w:val="center"/>
          </w:tcPr>
          <w:p>
            <w:pPr>
              <w:pStyle w:val="TableText"/>
            </w:pPr>
            <w:r>
              <w:t>8d</w:t>
            </w:r>
          </w:p>
        </w:tc>
        <w:tc>
          <w:tcPr>
            <w:tcW w:w="1900" w:type="dxa"/>
            <w:vAlign w:val="center"/>
          </w:tcPr>
          <w:p>
            <w:pPr>
              <w:pStyle w:val="TableNumber"/>
            </w:pPr>
            <w:r>
              <w:t>0.0992 (1/13)</w:t>
            </w:r>
          </w:p>
        </w:tc>
        <w:tc>
          <w:tcPr>
            <w:tcW w:w="1100" w:type="dxa"/>
            <w:vAlign w:val="center"/>
          </w:tcPr>
          <w:p>
            <w:pPr>
              <w:pStyle w:val="TableNumber"/>
            </w:pPr>
            <w:r>
              <w:t>0.916</w:t>
            </w:r>
          </w:p>
        </w:tc>
        <w:tc>
          <w:tcPr>
            <w:tcW w:w="1500" w:type="dxa"/>
            <w:vAlign w:val="center"/>
          </w:tcPr>
          <w:p>
            <w:pPr>
              <w:pStyle w:val="TableNumber"/>
            </w:pPr>
            <w:r>
              <w:t>+0.02%</w:t>
            </w:r>
          </w:p>
        </w:tc>
        <w:tc>
          <w:tcPr>
            <w:tcW w:w="1650" w:type="dxa"/>
            <w:vAlign w:val="center"/>
          </w:tcPr>
          <w:p>
            <w:pPr>
              <w:pStyle w:val="TableNumber"/>
            </w:pPr>
            <w:r>
              <w:t>3.17 (2/13)</w:t>
            </w:r>
          </w:p>
        </w:tc>
        <w:tc>
          <w:tcPr>
            <w:tcW w:w="1600" w:type="dxa"/>
            <w:vAlign w:val="center"/>
          </w:tcPr>
          <w:p>
            <w:pPr>
              <w:pStyle w:val="TableNumber"/>
            </w:pPr>
            <w:r>
              <w:t>-35.3% (9/13)</w:t>
            </w:r>
          </w:p>
        </w:tc>
        <w:tc>
          <w:tcPr>
            <w:tcW w:w="960" w:type="dxa"/>
            <w:vAlign w:val="center"/>
          </w:tcPr>
          <w:p>
            <w:pPr>
              <w:pStyle w:val="TableNumber"/>
            </w:pPr>
            <w:r>
              <w:t>0.482</w:t>
            </w:r>
          </w:p>
        </w:tc>
      </w:tr>
      <w:tr>
        <w:trPr>
          <w:cantSplit/>
        </w:trPr>
        <w:tc>
          <w:tcPr>
            <w:tcW w:w="650" w:type="dxa"/>
            <w:vAlign w:val="center"/>
          </w:tcPr>
          <w:p>
            <w:pPr>
              <w:pStyle w:val="TableText"/>
            </w:pPr>
            <w:r>
              <w:t>9d</w:t>
            </w:r>
          </w:p>
        </w:tc>
        <w:tc>
          <w:tcPr>
            <w:tcW w:w="1900" w:type="dxa"/>
            <w:vAlign w:val="center"/>
          </w:tcPr>
          <w:p>
            <w:pPr>
              <w:pStyle w:val="TableNumber"/>
            </w:pPr>
            <w:r>
              <w:t>0.1013 (1/13)</w:t>
            </w:r>
          </w:p>
        </w:tc>
        <w:tc>
          <w:tcPr>
            <w:tcW w:w="1100" w:type="dxa"/>
            <w:vAlign w:val="center"/>
          </w:tcPr>
          <w:p>
            <w:pPr>
              <w:pStyle w:val="TableNumber"/>
            </w:pPr>
            <w:r>
              <w:t>1.018</w:t>
            </w:r>
          </w:p>
        </w:tc>
        <w:tc>
          <w:tcPr>
            <w:tcW w:w="1500" w:type="dxa"/>
            <w:vAlign w:val="center"/>
          </w:tcPr>
          <w:p>
            <w:pPr>
              <w:pStyle w:val="TableNumber"/>
            </w:pPr>
            <w:r>
              <w:t>+0.02%</w:t>
            </w:r>
          </w:p>
        </w:tc>
        <w:tc>
          <w:tcPr>
            <w:tcW w:w="1650" w:type="dxa"/>
            <w:vAlign w:val="center"/>
          </w:tcPr>
          <w:p>
            <w:pPr>
              <w:pStyle w:val="TableNumber"/>
            </w:pPr>
            <w:r>
              <w:t>3.29 (2/13)</w:t>
            </w:r>
          </w:p>
        </w:tc>
        <w:tc>
          <w:tcPr>
            <w:tcW w:w="1600" w:type="dxa"/>
            <w:vAlign w:val="center"/>
          </w:tcPr>
          <w:p>
            <w:pPr>
              <w:pStyle w:val="TableNumber"/>
            </w:pPr>
            <w:r>
              <w:t>-33.1% (9/13)</w:t>
            </w:r>
          </w:p>
        </w:tc>
        <w:tc>
          <w:tcPr>
            <w:tcW w:w="960" w:type="dxa"/>
            <w:vAlign w:val="center"/>
          </w:tcPr>
          <w:p>
            <w:pPr>
              <w:pStyle w:val="TableNumber"/>
            </w:pPr>
            <w:r>
              <w:t>0.477</w:t>
            </w:r>
          </w:p>
        </w:tc>
      </w:tr>
      <w:tr>
        <w:trPr>
          <w:cantSplit/>
        </w:trPr>
        <w:tc>
          <w:tcPr>
            <w:tcW w:w="650" w:type="dxa"/>
            <w:vAlign w:val="center"/>
          </w:tcPr>
          <w:p>
            <w:pPr>
              <w:pStyle w:val="TableText"/>
            </w:pPr>
            <w:r>
              <w:t>10d</w:t>
            </w:r>
          </w:p>
        </w:tc>
        <w:tc>
          <w:tcPr>
            <w:tcW w:w="1900" w:type="dxa"/>
            <w:vAlign w:val="center"/>
          </w:tcPr>
          <w:p>
            <w:pPr>
              <w:pStyle w:val="TableNumber"/>
            </w:pPr>
            <w:r>
              <w:t>0.1005 (2/13)</w:t>
            </w:r>
          </w:p>
        </w:tc>
        <w:tc>
          <w:tcPr>
            <w:tcW w:w="1100" w:type="dxa"/>
            <w:vAlign w:val="center"/>
          </w:tcPr>
          <w:p>
            <w:pPr>
              <w:pStyle w:val="TableNumber"/>
            </w:pPr>
            <w:r>
              <w:t>0.983</w:t>
            </w:r>
          </w:p>
        </w:tc>
        <w:tc>
          <w:tcPr>
            <w:tcW w:w="1500" w:type="dxa"/>
            <w:vAlign w:val="center"/>
          </w:tcPr>
          <w:p>
            <w:pPr>
              <w:pStyle w:val="TableNumber"/>
            </w:pPr>
            <w:r>
              <w:t>+0.02%</w:t>
            </w:r>
          </w:p>
        </w:tc>
        <w:tc>
          <w:tcPr>
            <w:tcW w:w="1650" w:type="dxa"/>
            <w:vAlign w:val="center"/>
          </w:tcPr>
          <w:p>
            <w:pPr>
              <w:pStyle w:val="TableNumber"/>
            </w:pPr>
            <w:r>
              <w:t>3.41 (2/13)</w:t>
            </w:r>
          </w:p>
        </w:tc>
        <w:tc>
          <w:tcPr>
            <w:tcW w:w="1600" w:type="dxa"/>
            <w:vAlign w:val="center"/>
          </w:tcPr>
          <w:p>
            <w:pPr>
              <w:pStyle w:val="TableNumber"/>
            </w:pPr>
            <w:r>
              <w:t>-32.1% (7/13)</w:t>
            </w:r>
          </w:p>
        </w:tc>
        <w:tc>
          <w:tcPr>
            <w:tcW w:w="960" w:type="dxa"/>
            <w:vAlign w:val="center"/>
          </w:tcPr>
          <w:p>
            <w:pPr>
              <w:pStyle w:val="TableNumber"/>
            </w:pPr>
            <w:r>
              <w:t>0.467</w:t>
            </w:r>
          </w:p>
        </w:tc>
      </w:tr>
      <w:tr>
        <w:trPr>
          <w:cantSplit/>
        </w:trPr>
        <w:tc>
          <w:tcPr>
            <w:tcW w:w="650" w:type="dxa"/>
            <w:vAlign w:val="center"/>
          </w:tcPr>
          <w:p>
            <w:pPr>
              <w:pStyle w:val="TableText"/>
            </w:pPr>
            <w:r>
              <w:t>11d</w:t>
            </w:r>
          </w:p>
        </w:tc>
        <w:tc>
          <w:tcPr>
            <w:tcW w:w="1900" w:type="dxa"/>
            <w:vAlign w:val="center"/>
          </w:tcPr>
          <w:p>
            <w:pPr>
              <w:pStyle w:val="TableNumber"/>
            </w:pPr>
            <w:r>
              <w:t>0.0914 (2/13)</w:t>
            </w:r>
          </w:p>
        </w:tc>
        <w:tc>
          <w:tcPr>
            <w:tcW w:w="1100" w:type="dxa"/>
            <w:vAlign w:val="center"/>
          </w:tcPr>
          <w:p>
            <w:pPr>
              <w:pStyle w:val="TableNumber"/>
            </w:pPr>
            <w:r>
              <w:t>0.839</w:t>
            </w:r>
          </w:p>
        </w:tc>
        <w:tc>
          <w:tcPr>
            <w:tcW w:w="1500" w:type="dxa"/>
            <w:vAlign w:val="center"/>
          </w:tcPr>
          <w:p>
            <w:pPr>
              <w:pStyle w:val="TableNumber"/>
            </w:pPr>
            <w:r>
              <w:t>+0.02%</w:t>
            </w:r>
          </w:p>
        </w:tc>
        <w:tc>
          <w:tcPr>
            <w:tcW w:w="1650" w:type="dxa"/>
            <w:vAlign w:val="center"/>
          </w:tcPr>
          <w:p>
            <w:pPr>
              <w:pStyle w:val="TableNumber"/>
            </w:pPr>
            <w:r>
              <w:t>3.16 (1/13)</w:t>
            </w:r>
          </w:p>
        </w:tc>
        <w:tc>
          <w:tcPr>
            <w:tcW w:w="1600" w:type="dxa"/>
            <w:vAlign w:val="center"/>
          </w:tcPr>
          <w:p>
            <w:pPr>
              <w:pStyle w:val="TableNumber"/>
            </w:pPr>
            <w:r>
              <w:t>-32.9% (6/13)</w:t>
            </w:r>
          </w:p>
        </w:tc>
        <w:tc>
          <w:tcPr>
            <w:tcW w:w="960" w:type="dxa"/>
            <w:vAlign w:val="center"/>
          </w:tcPr>
          <w:p>
            <w:pPr>
              <w:pStyle w:val="TableNumber"/>
            </w:pPr>
            <w:r>
              <w:t>0.470</w:t>
            </w:r>
          </w:p>
        </w:tc>
      </w:tr>
      <w:tr>
        <w:trPr>
          <w:cantSplit/>
        </w:trPr>
        <w:tc>
          <w:tcPr>
            <w:tcW w:w="650" w:type="dxa"/>
            <w:vAlign w:val="center"/>
          </w:tcPr>
          <w:p>
            <w:pPr>
              <w:pStyle w:val="TableText"/>
            </w:pPr>
            <w:r>
              <w:t>12d</w:t>
            </w:r>
          </w:p>
        </w:tc>
        <w:tc>
          <w:tcPr>
            <w:tcW w:w="1900" w:type="dxa"/>
            <w:vAlign w:val="center"/>
          </w:tcPr>
          <w:p>
            <w:pPr>
              <w:pStyle w:val="TableNumber"/>
            </w:pPr>
            <w:r>
              <w:t>0.0894 (2/13)</w:t>
            </w:r>
          </w:p>
        </w:tc>
        <w:tc>
          <w:tcPr>
            <w:tcW w:w="1100" w:type="dxa"/>
            <w:vAlign w:val="center"/>
          </w:tcPr>
          <w:p>
            <w:pPr>
              <w:pStyle w:val="TableNumber"/>
            </w:pPr>
            <w:r>
              <w:t>0.809</w:t>
            </w:r>
          </w:p>
        </w:tc>
        <w:tc>
          <w:tcPr>
            <w:tcW w:w="1500" w:type="dxa"/>
            <w:vAlign w:val="center"/>
          </w:tcPr>
          <w:p>
            <w:pPr>
              <w:pStyle w:val="TableNumber"/>
            </w:pPr>
            <w:r>
              <w:t>+0.02%</w:t>
            </w:r>
          </w:p>
        </w:tc>
        <w:tc>
          <w:tcPr>
            <w:tcW w:w="1650" w:type="dxa"/>
            <w:vAlign w:val="center"/>
          </w:tcPr>
          <w:p>
            <w:pPr>
              <w:pStyle w:val="TableNumber"/>
            </w:pPr>
            <w:r>
              <w:t>3.00 (2/13)</w:t>
            </w:r>
          </w:p>
        </w:tc>
        <w:tc>
          <w:tcPr>
            <w:tcW w:w="1600" w:type="dxa"/>
            <w:vAlign w:val="center"/>
          </w:tcPr>
          <w:p>
            <w:pPr>
              <w:pStyle w:val="TableNumber"/>
            </w:pPr>
            <w:r>
              <w:t>-32.8% (4/13)</w:t>
            </w:r>
          </w:p>
        </w:tc>
        <w:tc>
          <w:tcPr>
            <w:tcW w:w="960" w:type="dxa"/>
            <w:vAlign w:val="center"/>
          </w:tcPr>
          <w:p>
            <w:pPr>
              <w:pStyle w:val="TableNumber"/>
            </w:pPr>
            <w:r>
              <w:t>0.452</w:t>
            </w:r>
          </w:p>
        </w:tc>
      </w:tr>
      <w:tr>
        <w:trPr>
          <w:cantSplit/>
        </w:trPr>
        <w:tc>
          <w:tcPr>
            <w:tcW w:w="650" w:type="dxa"/>
            <w:vAlign w:val="center"/>
          </w:tcPr>
          <w:p>
            <w:pPr>
              <w:pStyle w:val="TableText"/>
            </w:pPr>
            <w:r>
              <w:t>13d</w:t>
            </w:r>
          </w:p>
        </w:tc>
        <w:tc>
          <w:tcPr>
            <w:tcW w:w="1900" w:type="dxa"/>
            <w:vAlign w:val="center"/>
          </w:tcPr>
          <w:p>
            <w:pPr>
              <w:pStyle w:val="TableNumber"/>
            </w:pPr>
            <w:r>
              <w:t>0.0881 (3/13)</w:t>
            </w:r>
          </w:p>
        </w:tc>
        <w:tc>
          <w:tcPr>
            <w:tcW w:w="1100" w:type="dxa"/>
            <w:vAlign w:val="center"/>
          </w:tcPr>
          <w:p>
            <w:pPr>
              <w:pStyle w:val="TableNumber"/>
            </w:pPr>
            <w:r>
              <w:t>0.807</w:t>
            </w:r>
          </w:p>
        </w:tc>
        <w:tc>
          <w:tcPr>
            <w:tcW w:w="1500" w:type="dxa"/>
            <w:vAlign w:val="center"/>
          </w:tcPr>
          <w:p>
            <w:pPr>
              <w:pStyle w:val="TableNumber"/>
            </w:pPr>
            <w:r>
              <w:t>+0.03%</w:t>
            </w:r>
          </w:p>
        </w:tc>
        <w:tc>
          <w:tcPr>
            <w:tcW w:w="1650" w:type="dxa"/>
            <w:vAlign w:val="center"/>
          </w:tcPr>
          <w:p>
            <w:pPr>
              <w:pStyle w:val="TableNumber"/>
            </w:pPr>
            <w:r>
              <w:t>2.85 (1/13)</w:t>
            </w:r>
          </w:p>
        </w:tc>
        <w:tc>
          <w:tcPr>
            <w:tcW w:w="1600" w:type="dxa"/>
            <w:vAlign w:val="center"/>
          </w:tcPr>
          <w:p>
            <w:pPr>
              <w:pStyle w:val="TableNumber"/>
            </w:pPr>
            <w:r>
              <w:t>-32.0% (4/13)</w:t>
            </w:r>
          </w:p>
        </w:tc>
        <w:tc>
          <w:tcPr>
            <w:tcW w:w="960" w:type="dxa"/>
            <w:vAlign w:val="center"/>
          </w:tcPr>
          <w:p>
            <w:pPr>
              <w:pStyle w:val="TableNumber"/>
            </w:pPr>
            <w:r>
              <w:t>0.455</w:t>
            </w:r>
          </w:p>
        </w:tc>
      </w:tr>
      <w:tr>
        <w:trPr>
          <w:cantSplit/>
        </w:trPr>
        <w:tc>
          <w:tcPr>
            <w:tcW w:w="650" w:type="dxa"/>
            <w:vAlign w:val="center"/>
          </w:tcPr>
          <w:p>
            <w:pPr>
              <w:pStyle w:val="TableText"/>
            </w:pPr>
            <w:r>
              <w:t>14d</w:t>
            </w:r>
          </w:p>
        </w:tc>
        <w:tc>
          <w:tcPr>
            <w:tcW w:w="1900" w:type="dxa"/>
            <w:vAlign w:val="center"/>
          </w:tcPr>
          <w:p>
            <w:pPr>
              <w:pStyle w:val="TableNumber"/>
            </w:pPr>
            <w:r>
              <w:t>0.0872 (4/13)</w:t>
            </w:r>
          </w:p>
        </w:tc>
        <w:tc>
          <w:tcPr>
            <w:tcW w:w="1100" w:type="dxa"/>
            <w:vAlign w:val="center"/>
          </w:tcPr>
          <w:p>
            <w:pPr>
              <w:pStyle w:val="TableNumber"/>
            </w:pPr>
            <w:r>
              <w:t>0.843</w:t>
            </w:r>
          </w:p>
        </w:tc>
        <w:tc>
          <w:tcPr>
            <w:tcW w:w="1500" w:type="dxa"/>
            <w:vAlign w:val="center"/>
          </w:tcPr>
          <w:p>
            <w:pPr>
              <w:pStyle w:val="TableNumber"/>
            </w:pPr>
            <w:r>
              <w:t>+0.03%</w:t>
            </w:r>
          </w:p>
        </w:tc>
        <w:tc>
          <w:tcPr>
            <w:tcW w:w="1650" w:type="dxa"/>
            <w:vAlign w:val="center"/>
          </w:tcPr>
          <w:p>
            <w:pPr>
              <w:pStyle w:val="TableNumber"/>
            </w:pPr>
            <w:r>
              <w:t>2.70 (2/13)</w:t>
            </w:r>
          </w:p>
        </w:tc>
        <w:tc>
          <w:tcPr>
            <w:tcW w:w="1600" w:type="dxa"/>
            <w:vAlign w:val="center"/>
          </w:tcPr>
          <w:p>
            <w:pPr>
              <w:pStyle w:val="TableNumber"/>
            </w:pPr>
            <w:r>
              <w:t>-32.2% (4/13)</w:t>
            </w:r>
          </w:p>
        </w:tc>
        <w:tc>
          <w:tcPr>
            <w:tcW w:w="960" w:type="dxa"/>
            <w:vAlign w:val="center"/>
          </w:tcPr>
          <w:p>
            <w:pPr>
              <w:pStyle w:val="TableNumber"/>
            </w:pPr>
            <w:r>
              <w:t>0.454</w:t>
            </w:r>
          </w:p>
        </w:tc>
      </w:tr>
    </w:tbl>
    <w:p>
      <w:pPr>
        <w:pStyle w:val="a"/>
      </w:pPr>
      <w:r>
        <w:t>RankIC and net Sharpe are positive at all 14 horizons. RankIC ranks first at 5 horizons and net Sharpe at 9. Maximum drawdown ranges from -4.7% to -35.3%, with the worst value at 8d. Cross-sectional ranking and distribution-error results agree, but the capital path still requires overlapping-return and transaction-cost analysis.</w:t>
      </w:r>
    </w:p>
    <w:p>
      <w:pPr>
        <w:pStyle w:val="Note"/>
      </w:pPr>
      <w:r>
        <w:t>Forward returns can overlap across horizons. Sharpe uses sqrt(252/h) without an autocorrelation correction and omits complete market impact, borrow, capacity, slippage, and tax models.</w:t>
      </w:r>
    </w:p>
    <w:p>
      <w:pPr>
        <w:pStyle w:val="11"/>
      </w:pPr>
      <w:r>
        <w:t>7. Derived signal distribution across all horizons</w:t>
      </w:r>
    </w:p>
    <w:p>
      <w:pPr>
        <w:pStyle w:val="Decision"/>
        <w:keepNext/>
        <w:spacing w:after="80"/>
      </w:pPr>
      <w:r>
        <w:t>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w:t>
            </w:r>
          </w:p>
        </w:tc>
      </w:tr>
      <w:tr>
        <w:trPr>
          <w:cantSplit/>
        </w:trPr>
        <w:tc>
          <w:tcPr>
            <w:tcW w:w="900" w:type="dxa"/>
            <w:vAlign w:val="center"/>
          </w:tcPr>
          <w:p>
            <w:pPr>
              <w:pStyle w:val="TableText"/>
            </w:pPr>
            <w:r>
              <w:t>1d</w:t>
            </w:r>
          </w:p>
        </w:tc>
        <w:tc>
          <w:tcPr>
            <w:tcW w:w="1800" w:type="dxa"/>
            <w:vAlign w:val="center"/>
          </w:tcPr>
          <w:p>
            <w:pPr>
              <w:pStyle w:val="TableNumber"/>
            </w:pPr>
            <w:r>
              <w:t>64.84%</w:t>
            </w:r>
          </w:p>
        </w:tc>
        <w:tc>
          <w:tcPr>
            <w:tcW w:w="1800" w:type="dxa"/>
            <w:vAlign w:val="center"/>
          </w:tcPr>
          <w:p>
            <w:pPr>
              <w:pStyle w:val="TableNumber"/>
            </w:pPr>
            <w:r>
              <w:t>0.00%</w:t>
            </w:r>
          </w:p>
        </w:tc>
        <w:tc>
          <w:tcPr>
            <w:tcW w:w="1800" w:type="dxa"/>
            <w:vAlign w:val="center"/>
          </w:tcPr>
          <w:p>
            <w:pPr>
              <w:pStyle w:val="TableNumber"/>
            </w:pPr>
            <w:r>
              <w:t>35.15%</w:t>
            </w:r>
          </w:p>
        </w:tc>
        <w:tc>
          <w:tcPr>
            <w:tcW w:w="3060" w:type="dxa"/>
            <w:vAlign w:val="center"/>
          </w:tcPr>
          <w:p>
            <w:pPr>
              <w:pStyle w:val="TableNumber"/>
            </w:pPr>
            <w:r>
              <w:t>2/0</w:t>
            </w:r>
          </w:p>
        </w:tc>
      </w:tr>
      <w:tr>
        <w:trPr>
          <w:cantSplit/>
        </w:trPr>
        <w:tc>
          <w:tcPr>
            <w:tcW w:w="900" w:type="dxa"/>
            <w:vAlign w:val="center"/>
          </w:tcPr>
          <w:p>
            <w:pPr>
              <w:pStyle w:val="TableText"/>
            </w:pPr>
            <w:r>
              <w:t>2d</w:t>
            </w:r>
          </w:p>
        </w:tc>
        <w:tc>
          <w:tcPr>
            <w:tcW w:w="1800" w:type="dxa"/>
            <w:vAlign w:val="center"/>
          </w:tcPr>
          <w:p>
            <w:pPr>
              <w:pStyle w:val="TableNumber"/>
            </w:pPr>
            <w:r>
              <w:t>69.78%</w:t>
            </w:r>
          </w:p>
        </w:tc>
        <w:tc>
          <w:tcPr>
            <w:tcW w:w="1800" w:type="dxa"/>
            <w:vAlign w:val="center"/>
          </w:tcPr>
          <w:p>
            <w:pPr>
              <w:pStyle w:val="TableNumber"/>
            </w:pPr>
            <w:r>
              <w:t>0.00%</w:t>
            </w:r>
          </w:p>
        </w:tc>
        <w:tc>
          <w:tcPr>
            <w:tcW w:w="1800" w:type="dxa"/>
            <w:vAlign w:val="center"/>
          </w:tcPr>
          <w:p>
            <w:pPr>
              <w:pStyle w:val="TableNumber"/>
            </w:pPr>
            <w:r>
              <w:t>30.11%</w:t>
            </w:r>
          </w:p>
        </w:tc>
        <w:tc>
          <w:tcPr>
            <w:tcW w:w="3060" w:type="dxa"/>
            <w:vAlign w:val="center"/>
          </w:tcPr>
          <w:p>
            <w:pPr>
              <w:pStyle w:val="TableNumber"/>
            </w:pPr>
            <w:r>
              <w:t>21/0</w:t>
            </w:r>
          </w:p>
        </w:tc>
      </w:tr>
      <w:tr>
        <w:trPr>
          <w:cantSplit/>
        </w:trPr>
        <w:tc>
          <w:tcPr>
            <w:tcW w:w="900" w:type="dxa"/>
            <w:vAlign w:val="center"/>
          </w:tcPr>
          <w:p>
            <w:pPr>
              <w:pStyle w:val="TableText"/>
            </w:pPr>
            <w:r>
              <w:t>3d</w:t>
            </w:r>
          </w:p>
        </w:tc>
        <w:tc>
          <w:tcPr>
            <w:tcW w:w="1800" w:type="dxa"/>
            <w:vAlign w:val="center"/>
          </w:tcPr>
          <w:p>
            <w:pPr>
              <w:pStyle w:val="TableNumber"/>
            </w:pPr>
            <w:r>
              <w:t>80.50%</w:t>
            </w:r>
          </w:p>
        </w:tc>
        <w:tc>
          <w:tcPr>
            <w:tcW w:w="1800" w:type="dxa"/>
            <w:vAlign w:val="center"/>
          </w:tcPr>
          <w:p>
            <w:pPr>
              <w:pStyle w:val="TableNumber"/>
            </w:pPr>
            <w:r>
              <w:t>0.00%</w:t>
            </w:r>
          </w:p>
        </w:tc>
        <w:tc>
          <w:tcPr>
            <w:tcW w:w="1800" w:type="dxa"/>
            <w:vAlign w:val="center"/>
          </w:tcPr>
          <w:p>
            <w:pPr>
              <w:pStyle w:val="TableNumber"/>
            </w:pPr>
            <w:r>
              <w:t>18.68%</w:t>
            </w:r>
          </w:p>
        </w:tc>
        <w:tc>
          <w:tcPr>
            <w:tcW w:w="3060" w:type="dxa"/>
            <w:vAlign w:val="center"/>
          </w:tcPr>
          <w:p>
            <w:pPr>
              <w:pStyle w:val="TableNumber"/>
            </w:pPr>
            <w:r>
              <w:t>166/0</w:t>
            </w:r>
          </w:p>
        </w:tc>
      </w:tr>
      <w:tr>
        <w:trPr>
          <w:cantSplit/>
        </w:trPr>
        <w:tc>
          <w:tcPr>
            <w:tcW w:w="900" w:type="dxa"/>
            <w:vAlign w:val="center"/>
          </w:tcPr>
          <w:p>
            <w:pPr>
              <w:pStyle w:val="TableText"/>
            </w:pPr>
            <w:r>
              <w:t>4d</w:t>
            </w:r>
          </w:p>
        </w:tc>
        <w:tc>
          <w:tcPr>
            <w:tcW w:w="1800" w:type="dxa"/>
            <w:vAlign w:val="center"/>
          </w:tcPr>
          <w:p>
            <w:pPr>
              <w:pStyle w:val="TableNumber"/>
            </w:pPr>
            <w:r>
              <w:t>81.88%</w:t>
            </w:r>
          </w:p>
        </w:tc>
        <w:tc>
          <w:tcPr>
            <w:tcW w:w="1800" w:type="dxa"/>
            <w:vAlign w:val="center"/>
          </w:tcPr>
          <w:p>
            <w:pPr>
              <w:pStyle w:val="TableNumber"/>
            </w:pPr>
            <w:r>
              <w:t>0.00%</w:t>
            </w:r>
          </w:p>
        </w:tc>
        <w:tc>
          <w:tcPr>
            <w:tcW w:w="1800" w:type="dxa"/>
            <w:vAlign w:val="center"/>
          </w:tcPr>
          <w:p>
            <w:pPr>
              <w:pStyle w:val="TableNumber"/>
            </w:pPr>
            <w:r>
              <w:t>16.57%</w:t>
            </w:r>
          </w:p>
        </w:tc>
        <w:tc>
          <w:tcPr>
            <w:tcW w:w="3060" w:type="dxa"/>
            <w:vAlign w:val="center"/>
          </w:tcPr>
          <w:p>
            <w:pPr>
              <w:pStyle w:val="TableNumber"/>
            </w:pPr>
            <w:r>
              <w:t>308/0</w:t>
            </w:r>
          </w:p>
        </w:tc>
      </w:tr>
      <w:tr>
        <w:trPr>
          <w:cantSplit/>
        </w:trPr>
        <w:tc>
          <w:tcPr>
            <w:tcW w:w="900" w:type="dxa"/>
            <w:vAlign w:val="center"/>
          </w:tcPr>
          <w:p>
            <w:pPr>
              <w:pStyle w:val="TableText"/>
            </w:pPr>
            <w:r>
              <w:t>5d</w:t>
            </w:r>
          </w:p>
        </w:tc>
        <w:tc>
          <w:tcPr>
            <w:tcW w:w="1800" w:type="dxa"/>
            <w:vAlign w:val="center"/>
          </w:tcPr>
          <w:p>
            <w:pPr>
              <w:pStyle w:val="TableNumber"/>
            </w:pPr>
            <w:r>
              <w:t>86.37%</w:t>
            </w:r>
          </w:p>
        </w:tc>
        <w:tc>
          <w:tcPr>
            <w:tcW w:w="1800" w:type="dxa"/>
            <w:vAlign w:val="center"/>
          </w:tcPr>
          <w:p>
            <w:pPr>
              <w:pStyle w:val="TableNumber"/>
            </w:pPr>
            <w:r>
              <w:t>0.00%</w:t>
            </w:r>
          </w:p>
        </w:tc>
        <w:tc>
          <w:tcPr>
            <w:tcW w:w="1800" w:type="dxa"/>
            <w:vAlign w:val="center"/>
          </w:tcPr>
          <w:p>
            <w:pPr>
              <w:pStyle w:val="TableNumber"/>
            </w:pPr>
            <w:r>
              <w:t>11.63%</w:t>
            </w:r>
          </w:p>
        </w:tc>
        <w:tc>
          <w:tcPr>
            <w:tcW w:w="3060" w:type="dxa"/>
            <w:vAlign w:val="center"/>
          </w:tcPr>
          <w:p>
            <w:pPr>
              <w:pStyle w:val="TableNumber"/>
            </w:pPr>
            <w:r>
              <w:t>400/0</w:t>
            </w:r>
          </w:p>
        </w:tc>
      </w:tr>
      <w:tr>
        <w:trPr>
          <w:cantSplit/>
        </w:trPr>
        <w:tc>
          <w:tcPr>
            <w:tcW w:w="900" w:type="dxa"/>
            <w:vAlign w:val="center"/>
          </w:tcPr>
          <w:p>
            <w:pPr>
              <w:pStyle w:val="TableText"/>
            </w:pPr>
            <w:r>
              <w:t>6d</w:t>
            </w:r>
          </w:p>
        </w:tc>
        <w:tc>
          <w:tcPr>
            <w:tcW w:w="1800" w:type="dxa"/>
            <w:vAlign w:val="center"/>
          </w:tcPr>
          <w:p>
            <w:pPr>
              <w:pStyle w:val="TableNumber"/>
            </w:pPr>
            <w:r>
              <w:t>87.74%</w:t>
            </w:r>
          </w:p>
        </w:tc>
        <w:tc>
          <w:tcPr>
            <w:tcW w:w="1800" w:type="dxa"/>
            <w:vAlign w:val="center"/>
          </w:tcPr>
          <w:p>
            <w:pPr>
              <w:pStyle w:val="TableNumber"/>
            </w:pPr>
            <w:r>
              <w:t>0.00%</w:t>
            </w:r>
          </w:p>
        </w:tc>
        <w:tc>
          <w:tcPr>
            <w:tcW w:w="1800" w:type="dxa"/>
            <w:vAlign w:val="center"/>
          </w:tcPr>
          <w:p>
            <w:pPr>
              <w:pStyle w:val="TableNumber"/>
            </w:pPr>
            <w:r>
              <w:t>10.15%</w:t>
            </w:r>
          </w:p>
        </w:tc>
        <w:tc>
          <w:tcPr>
            <w:tcW w:w="3060" w:type="dxa"/>
            <w:vAlign w:val="center"/>
          </w:tcPr>
          <w:p>
            <w:pPr>
              <w:pStyle w:val="TableNumber"/>
            </w:pPr>
            <w:r>
              <w:t>406/15</w:t>
            </w:r>
          </w:p>
        </w:tc>
      </w:tr>
      <w:tr>
        <w:trPr>
          <w:cantSplit/>
        </w:trPr>
        <w:tc>
          <w:tcPr>
            <w:tcW w:w="900" w:type="dxa"/>
            <w:vAlign w:val="center"/>
          </w:tcPr>
          <w:p>
            <w:pPr>
              <w:pStyle w:val="TableText"/>
            </w:pPr>
            <w:r>
              <w:t>7d</w:t>
            </w:r>
          </w:p>
        </w:tc>
        <w:tc>
          <w:tcPr>
            <w:tcW w:w="1800" w:type="dxa"/>
            <w:vAlign w:val="center"/>
          </w:tcPr>
          <w:p>
            <w:pPr>
              <w:pStyle w:val="TableNumber"/>
            </w:pPr>
            <w:r>
              <w:t>86.53%</w:t>
            </w:r>
          </w:p>
        </w:tc>
        <w:tc>
          <w:tcPr>
            <w:tcW w:w="1800" w:type="dxa"/>
            <w:vAlign w:val="center"/>
          </w:tcPr>
          <w:p>
            <w:pPr>
              <w:pStyle w:val="TableNumber"/>
            </w:pPr>
            <w:r>
              <w:t>0.00%</w:t>
            </w:r>
          </w:p>
        </w:tc>
        <w:tc>
          <w:tcPr>
            <w:tcW w:w="1800" w:type="dxa"/>
            <w:vAlign w:val="center"/>
          </w:tcPr>
          <w:p>
            <w:pPr>
              <w:pStyle w:val="TableNumber"/>
            </w:pPr>
            <w:r>
              <w:t>11.27%</w:t>
            </w:r>
          </w:p>
        </w:tc>
        <w:tc>
          <w:tcPr>
            <w:tcW w:w="3060" w:type="dxa"/>
            <w:vAlign w:val="center"/>
          </w:tcPr>
          <w:p>
            <w:pPr>
              <w:pStyle w:val="TableNumber"/>
            </w:pPr>
            <w:r>
              <w:t>426/14</w:t>
            </w:r>
          </w:p>
        </w:tc>
      </w:tr>
      <w:tr>
        <w:trPr>
          <w:cantSplit/>
        </w:trPr>
        <w:tc>
          <w:tcPr>
            <w:tcW w:w="900" w:type="dxa"/>
            <w:vAlign w:val="center"/>
          </w:tcPr>
          <w:p>
            <w:pPr>
              <w:pStyle w:val="TableText"/>
            </w:pPr>
            <w:r>
              <w:t>8d</w:t>
            </w:r>
          </w:p>
        </w:tc>
        <w:tc>
          <w:tcPr>
            <w:tcW w:w="1800" w:type="dxa"/>
            <w:vAlign w:val="center"/>
          </w:tcPr>
          <w:p>
            <w:pPr>
              <w:pStyle w:val="TableNumber"/>
            </w:pPr>
            <w:r>
              <w:t>87.02%</w:t>
            </w:r>
          </w:p>
        </w:tc>
        <w:tc>
          <w:tcPr>
            <w:tcW w:w="1800" w:type="dxa"/>
            <w:vAlign w:val="center"/>
          </w:tcPr>
          <w:p>
            <w:pPr>
              <w:pStyle w:val="TableNumber"/>
            </w:pPr>
            <w:r>
              <w:t>0.00%</w:t>
            </w:r>
          </w:p>
        </w:tc>
        <w:tc>
          <w:tcPr>
            <w:tcW w:w="1800" w:type="dxa"/>
            <w:vAlign w:val="center"/>
          </w:tcPr>
          <w:p>
            <w:pPr>
              <w:pStyle w:val="TableNumber"/>
            </w:pPr>
            <w:r>
              <w:t>10.58%</w:t>
            </w:r>
          </w:p>
        </w:tc>
        <w:tc>
          <w:tcPr>
            <w:tcW w:w="3060" w:type="dxa"/>
            <w:vAlign w:val="center"/>
          </w:tcPr>
          <w:p>
            <w:pPr>
              <w:pStyle w:val="TableNumber"/>
            </w:pPr>
            <w:r>
              <w:t>478/3</w:t>
            </w:r>
          </w:p>
        </w:tc>
      </w:tr>
      <w:tr>
        <w:trPr>
          <w:cantSplit/>
        </w:trPr>
        <w:tc>
          <w:tcPr>
            <w:tcW w:w="900" w:type="dxa"/>
            <w:vAlign w:val="center"/>
          </w:tcPr>
          <w:p>
            <w:pPr>
              <w:pStyle w:val="TableText"/>
            </w:pPr>
            <w:r>
              <w:t>9d</w:t>
            </w:r>
          </w:p>
        </w:tc>
        <w:tc>
          <w:tcPr>
            <w:tcW w:w="1800" w:type="dxa"/>
            <w:vAlign w:val="center"/>
          </w:tcPr>
          <w:p>
            <w:pPr>
              <w:pStyle w:val="TableNumber"/>
            </w:pPr>
            <w:r>
              <w:t>86.47%</w:t>
            </w:r>
          </w:p>
        </w:tc>
        <w:tc>
          <w:tcPr>
            <w:tcW w:w="1800" w:type="dxa"/>
            <w:vAlign w:val="center"/>
          </w:tcPr>
          <w:p>
            <w:pPr>
              <w:pStyle w:val="TableNumber"/>
            </w:pPr>
            <w:r>
              <w:t>0.00%</w:t>
            </w:r>
          </w:p>
        </w:tc>
        <w:tc>
          <w:tcPr>
            <w:tcW w:w="1800" w:type="dxa"/>
            <w:vAlign w:val="center"/>
          </w:tcPr>
          <w:p>
            <w:pPr>
              <w:pStyle w:val="TableNumber"/>
            </w:pPr>
            <w:r>
              <w:t>10.53%</w:t>
            </w:r>
          </w:p>
        </w:tc>
        <w:tc>
          <w:tcPr>
            <w:tcW w:w="3060" w:type="dxa"/>
            <w:vAlign w:val="center"/>
          </w:tcPr>
          <w:p>
            <w:pPr>
              <w:pStyle w:val="TableNumber"/>
            </w:pPr>
            <w:r>
              <w:t>598/4</w:t>
            </w:r>
          </w:p>
        </w:tc>
      </w:tr>
      <w:tr>
        <w:trPr>
          <w:cantSplit/>
        </w:trPr>
        <w:tc>
          <w:tcPr>
            <w:tcW w:w="900" w:type="dxa"/>
            <w:vAlign w:val="center"/>
          </w:tcPr>
          <w:p>
            <w:pPr>
              <w:pStyle w:val="TableText"/>
            </w:pPr>
            <w:r>
              <w:t>10d</w:t>
            </w:r>
          </w:p>
        </w:tc>
        <w:tc>
          <w:tcPr>
            <w:tcW w:w="1800" w:type="dxa"/>
            <w:vAlign w:val="center"/>
          </w:tcPr>
          <w:p>
            <w:pPr>
              <w:pStyle w:val="TableNumber"/>
            </w:pPr>
            <w:r>
              <w:t>84.89%</w:t>
            </w:r>
          </w:p>
        </w:tc>
        <w:tc>
          <w:tcPr>
            <w:tcW w:w="1800" w:type="dxa"/>
            <w:vAlign w:val="center"/>
          </w:tcPr>
          <w:p>
            <w:pPr>
              <w:pStyle w:val="TableNumber"/>
            </w:pPr>
            <w:r>
              <w:t>0.00%</w:t>
            </w:r>
          </w:p>
        </w:tc>
        <w:tc>
          <w:tcPr>
            <w:tcW w:w="1800" w:type="dxa"/>
            <w:vAlign w:val="center"/>
          </w:tcPr>
          <w:p>
            <w:pPr>
              <w:pStyle w:val="TableNumber"/>
            </w:pPr>
            <w:r>
              <w:t>11.88%</w:t>
            </w:r>
          </w:p>
        </w:tc>
        <w:tc>
          <w:tcPr>
            <w:tcW w:w="3060" w:type="dxa"/>
            <w:vAlign w:val="center"/>
          </w:tcPr>
          <w:p>
            <w:pPr>
              <w:pStyle w:val="TableNumber"/>
            </w:pPr>
            <w:r>
              <w:t>640/7</w:t>
            </w:r>
          </w:p>
        </w:tc>
      </w:tr>
      <w:tr>
        <w:trPr>
          <w:cantSplit/>
        </w:trPr>
        <w:tc>
          <w:tcPr>
            <w:tcW w:w="900" w:type="dxa"/>
            <w:vAlign w:val="center"/>
          </w:tcPr>
          <w:p>
            <w:pPr>
              <w:pStyle w:val="TableText"/>
            </w:pPr>
            <w:r>
              <w:t>11d</w:t>
            </w:r>
          </w:p>
        </w:tc>
        <w:tc>
          <w:tcPr>
            <w:tcW w:w="1800" w:type="dxa"/>
            <w:vAlign w:val="center"/>
          </w:tcPr>
          <w:p>
            <w:pPr>
              <w:pStyle w:val="TableNumber"/>
            </w:pPr>
            <w:r>
              <w:t>84.47%</w:t>
            </w:r>
          </w:p>
        </w:tc>
        <w:tc>
          <w:tcPr>
            <w:tcW w:w="1800" w:type="dxa"/>
            <w:vAlign w:val="center"/>
          </w:tcPr>
          <w:p>
            <w:pPr>
              <w:pStyle w:val="TableNumber"/>
            </w:pPr>
            <w:r>
              <w:t>0.00%</w:t>
            </w:r>
          </w:p>
        </w:tc>
        <w:tc>
          <w:tcPr>
            <w:tcW w:w="1800" w:type="dxa"/>
            <w:vAlign w:val="center"/>
          </w:tcPr>
          <w:p>
            <w:pPr>
              <w:pStyle w:val="TableNumber"/>
            </w:pPr>
            <w:r>
              <w:t>11.92%</w:t>
            </w:r>
          </w:p>
        </w:tc>
        <w:tc>
          <w:tcPr>
            <w:tcW w:w="3060" w:type="dxa"/>
            <w:vAlign w:val="center"/>
          </w:tcPr>
          <w:p>
            <w:pPr>
              <w:pStyle w:val="TableNumber"/>
            </w:pPr>
            <w:r>
              <w:t>710/11</w:t>
            </w:r>
          </w:p>
        </w:tc>
      </w:tr>
      <w:tr>
        <w:trPr>
          <w:cantSplit/>
        </w:trPr>
        <w:tc>
          <w:tcPr>
            <w:tcW w:w="900" w:type="dxa"/>
            <w:vAlign w:val="center"/>
          </w:tcPr>
          <w:p>
            <w:pPr>
              <w:pStyle w:val="TableText"/>
            </w:pPr>
            <w:r>
              <w:t>12d</w:t>
            </w:r>
          </w:p>
        </w:tc>
        <w:tc>
          <w:tcPr>
            <w:tcW w:w="1800" w:type="dxa"/>
            <w:vAlign w:val="center"/>
          </w:tcPr>
          <w:p>
            <w:pPr>
              <w:pStyle w:val="TableNumber"/>
            </w:pPr>
            <w:r>
              <w:t>84.20%</w:t>
            </w:r>
          </w:p>
        </w:tc>
        <w:tc>
          <w:tcPr>
            <w:tcW w:w="1800" w:type="dxa"/>
            <w:vAlign w:val="center"/>
          </w:tcPr>
          <w:p>
            <w:pPr>
              <w:pStyle w:val="TableNumber"/>
            </w:pPr>
            <w:r>
              <w:t>0.00%</w:t>
            </w:r>
          </w:p>
        </w:tc>
        <w:tc>
          <w:tcPr>
            <w:tcW w:w="1800" w:type="dxa"/>
            <w:vAlign w:val="center"/>
          </w:tcPr>
          <w:p>
            <w:pPr>
              <w:pStyle w:val="TableNumber"/>
            </w:pPr>
            <w:r>
              <w:t>11.94%</w:t>
            </w:r>
          </w:p>
        </w:tc>
        <w:tc>
          <w:tcPr>
            <w:tcW w:w="3060" w:type="dxa"/>
            <w:vAlign w:val="center"/>
          </w:tcPr>
          <w:p>
            <w:pPr>
              <w:pStyle w:val="TableNumber"/>
            </w:pPr>
            <w:r>
              <w:t>751/21</w:t>
            </w:r>
          </w:p>
        </w:tc>
      </w:tr>
      <w:tr>
        <w:trPr>
          <w:cantSplit/>
        </w:trPr>
        <w:tc>
          <w:tcPr>
            <w:tcW w:w="900" w:type="dxa"/>
            <w:vAlign w:val="center"/>
          </w:tcPr>
          <w:p>
            <w:pPr>
              <w:pStyle w:val="TableText"/>
            </w:pPr>
            <w:r>
              <w:t>13d</w:t>
            </w:r>
          </w:p>
        </w:tc>
        <w:tc>
          <w:tcPr>
            <w:tcW w:w="1800" w:type="dxa"/>
            <w:vAlign w:val="center"/>
          </w:tcPr>
          <w:p>
            <w:pPr>
              <w:pStyle w:val="TableNumber"/>
            </w:pPr>
            <w:r>
              <w:t>84.78%</w:t>
            </w:r>
          </w:p>
        </w:tc>
        <w:tc>
          <w:tcPr>
            <w:tcW w:w="1800" w:type="dxa"/>
            <w:vAlign w:val="center"/>
          </w:tcPr>
          <w:p>
            <w:pPr>
              <w:pStyle w:val="TableNumber"/>
            </w:pPr>
            <w:r>
              <w:t>0.00%</w:t>
            </w:r>
          </w:p>
        </w:tc>
        <w:tc>
          <w:tcPr>
            <w:tcW w:w="1800" w:type="dxa"/>
            <w:vAlign w:val="center"/>
          </w:tcPr>
          <w:p>
            <w:pPr>
              <w:pStyle w:val="TableNumber"/>
            </w:pPr>
            <w:r>
              <w:t>11.08%</w:t>
            </w:r>
          </w:p>
        </w:tc>
        <w:tc>
          <w:tcPr>
            <w:tcW w:w="3060" w:type="dxa"/>
            <w:vAlign w:val="center"/>
          </w:tcPr>
          <w:p>
            <w:pPr>
              <w:pStyle w:val="TableNumber"/>
            </w:pPr>
            <w:r>
              <w:t>800/27</w:t>
            </w:r>
          </w:p>
        </w:tc>
      </w:tr>
      <w:tr>
        <w:trPr>
          <w:cantSplit/>
        </w:trPr>
        <w:tc>
          <w:tcPr>
            <w:tcW w:w="900" w:type="dxa"/>
            <w:vAlign w:val="center"/>
          </w:tcPr>
          <w:p>
            <w:pPr>
              <w:pStyle w:val="TableText"/>
            </w:pPr>
            <w:r>
              <w:t>14d</w:t>
            </w:r>
          </w:p>
        </w:tc>
        <w:tc>
          <w:tcPr>
            <w:tcW w:w="1800" w:type="dxa"/>
            <w:vAlign w:val="center"/>
          </w:tcPr>
          <w:p>
            <w:pPr>
              <w:pStyle w:val="TableNumber"/>
            </w:pPr>
            <w:r>
              <w:t>84.77%</w:t>
            </w:r>
          </w:p>
        </w:tc>
        <w:tc>
          <w:tcPr>
            <w:tcW w:w="1800" w:type="dxa"/>
            <w:vAlign w:val="center"/>
          </w:tcPr>
          <w:p>
            <w:pPr>
              <w:pStyle w:val="TableNumber"/>
            </w:pPr>
            <w:r>
              <w:t>0.00%</w:t>
            </w:r>
          </w:p>
        </w:tc>
        <w:tc>
          <w:tcPr>
            <w:tcW w:w="1800" w:type="dxa"/>
            <w:vAlign w:val="center"/>
          </w:tcPr>
          <w:p>
            <w:pPr>
              <w:pStyle w:val="TableNumber"/>
            </w:pPr>
            <w:r>
              <w:t>11.44%</w:t>
            </w:r>
          </w:p>
        </w:tc>
        <w:tc>
          <w:tcPr>
            <w:tcW w:w="3060" w:type="dxa"/>
            <w:vAlign w:val="center"/>
          </w:tcPr>
          <w:p>
            <w:pPr>
              <w:pStyle w:val="TableNumber"/>
            </w:pPr>
            <w:r>
              <w:t>706/52</w:t>
            </w:r>
          </w:p>
        </w:tc>
      </w:tr>
    </w:tbl>
    <w:p>
      <w:pPr>
        <w:pStyle w:val="a"/>
      </w:pPr>
      <w:r>
        <w:t>6d is 87.74% bearish, and bearish is the majority at every horizon. Total strong-bearish and strong-bullish labels are 6412 and 154. These mutually exclusive rules describe where q10, q50, and q90 sit relative to zero; they are not probabilities, so one position-mapping policy should not be applied unchanged across all 14 horizons.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EODHD / US</w:t>
            </w:r>
          </w:p>
        </w:tc>
        <w:tc>
          <w:tcPr>
            <w:tcW w:w="1100" w:type="dxa"/>
            <w:vAlign w:val="center"/>
          </w:tcPr>
          <w:p>
            <w:pPr>
              <w:pStyle w:val="TableNumber"/>
            </w:pPr>
            <w:r>
              <w:t>17,792</w:t>
            </w:r>
          </w:p>
        </w:tc>
        <w:tc>
          <w:tcPr>
            <w:tcW w:w="1300" w:type="dxa"/>
            <w:vAlign w:val="center"/>
          </w:tcPr>
          <w:p>
            <w:pPr>
              <w:pStyle w:val="TableNumber"/>
            </w:pPr>
            <w:r>
              <w:t>0.305973</w:t>
            </w:r>
          </w:p>
        </w:tc>
        <w:tc>
          <w:tcPr>
            <w:tcW w:w="1400" w:type="dxa"/>
            <w:vAlign w:val="center"/>
          </w:tcPr>
          <w:p>
            <w:pPr>
              <w:pStyle w:val="TableNumber"/>
            </w:pPr>
            <w:r>
              <w:t>0.0885</w:t>
            </w:r>
          </w:p>
        </w:tc>
        <w:tc>
          <w:tcPr>
            <w:tcW w:w="1800" w:type="dxa"/>
            <w:vAlign w:val="center"/>
          </w:tcPr>
          <w:p>
            <w:pPr>
              <w:pStyle w:val="TableNumber"/>
            </w:pPr>
            <w:r>
              <w:t>0.0300 to 0.1346</w:t>
            </w:r>
          </w:p>
        </w:tc>
        <w:tc>
          <w:tcPr>
            <w:tcW w:w="1250" w:type="dxa"/>
            <w:vAlign w:val="center"/>
          </w:tcPr>
          <w:p>
            <w:pPr>
              <w:pStyle w:val="TableNumber"/>
            </w:pPr>
            <w:r>
              <w:t>54.44%</w:t>
            </w:r>
          </w:p>
        </w:tc>
        <w:tc>
          <w:tcPr>
            <w:tcW w:w="1010" w:type="dxa"/>
            <w:vAlign w:val="center"/>
          </w:tcPr>
          <w:p>
            <w:pPr>
              <w:pStyle w:val="TableNumber"/>
            </w:pPr>
            <w:r>
              <w:t>78.12%</w:t>
            </w:r>
          </w:p>
        </w:tc>
      </w:tr>
      <w:tr>
        <w:trPr>
          <w:cantSplit/>
        </w:trPr>
        <w:tc>
          <w:tcPr>
            <w:tcW w:w="1500" w:type="dxa"/>
            <w:vAlign w:val="center"/>
          </w:tcPr>
          <w:p>
            <w:pPr>
              <w:pStyle w:val="TableText"/>
            </w:pPr>
            <w:r>
              <w:t>TPEx</w:t>
            </w:r>
          </w:p>
        </w:tc>
        <w:tc>
          <w:tcPr>
            <w:tcW w:w="1100" w:type="dxa"/>
            <w:vAlign w:val="center"/>
          </w:tcPr>
          <w:p>
            <w:pPr>
              <w:pStyle w:val="TableNumber"/>
            </w:pPr>
            <w:r>
              <w:t>1,218</w:t>
            </w:r>
          </w:p>
        </w:tc>
        <w:tc>
          <w:tcPr>
            <w:tcW w:w="1300" w:type="dxa"/>
            <w:vAlign w:val="center"/>
          </w:tcPr>
          <w:p>
            <w:pPr>
              <w:pStyle w:val="TableNumber"/>
            </w:pPr>
            <w:r>
              <w:t>0.361878</w:t>
            </w:r>
          </w:p>
        </w:tc>
        <w:tc>
          <w:tcPr>
            <w:tcW w:w="1400" w:type="dxa"/>
            <w:vAlign w:val="center"/>
          </w:tcPr>
          <w:p>
            <w:pPr>
              <w:pStyle w:val="TableNumber"/>
            </w:pPr>
            <w:r>
              <w:t>0.0252</w:t>
            </w:r>
          </w:p>
        </w:tc>
        <w:tc>
          <w:tcPr>
            <w:tcW w:w="1800" w:type="dxa"/>
            <w:vAlign w:val="center"/>
          </w:tcPr>
          <w:p>
            <w:pPr>
              <w:pStyle w:val="TableNumber"/>
            </w:pPr>
            <w:r>
              <w:t>-0.0527 to 0.0720</w:t>
            </w:r>
          </w:p>
        </w:tc>
        <w:tc>
          <w:tcPr>
            <w:tcW w:w="1250" w:type="dxa"/>
            <w:vAlign w:val="center"/>
          </w:tcPr>
          <w:p>
            <w:pPr>
              <w:pStyle w:val="TableNumber"/>
            </w:pPr>
            <w:r>
              <w:t>59.76%</w:t>
            </w:r>
          </w:p>
        </w:tc>
        <w:tc>
          <w:tcPr>
            <w:tcW w:w="1010" w:type="dxa"/>
            <w:vAlign w:val="center"/>
          </w:tcPr>
          <w:p>
            <w:pPr>
              <w:pStyle w:val="TableNumber"/>
            </w:pPr>
            <w:r>
              <w:t>64.55%</w:t>
            </w:r>
          </w:p>
        </w:tc>
      </w:tr>
      <w:tr>
        <w:trPr>
          <w:cantSplit/>
        </w:trPr>
        <w:tc>
          <w:tcPr>
            <w:tcW w:w="1500" w:type="dxa"/>
            <w:vAlign w:val="center"/>
          </w:tcPr>
          <w:p>
            <w:pPr>
              <w:pStyle w:val="TableText"/>
            </w:pPr>
            <w:r>
              <w:t>TWSE</w:t>
            </w:r>
          </w:p>
        </w:tc>
        <w:tc>
          <w:tcPr>
            <w:tcW w:w="1100" w:type="dxa"/>
            <w:vAlign w:val="center"/>
          </w:tcPr>
          <w:p>
            <w:pPr>
              <w:pStyle w:val="TableNumber"/>
            </w:pPr>
            <w:r>
              <w:t>990</w:t>
            </w:r>
          </w:p>
        </w:tc>
        <w:tc>
          <w:tcPr>
            <w:tcW w:w="1300" w:type="dxa"/>
            <w:vAlign w:val="center"/>
          </w:tcPr>
          <w:p>
            <w:pPr>
              <w:pStyle w:val="TableNumber"/>
            </w:pPr>
            <w:r>
              <w:t>0.253577</w:t>
            </w:r>
          </w:p>
        </w:tc>
        <w:tc>
          <w:tcPr>
            <w:tcW w:w="1400" w:type="dxa"/>
            <w:vAlign w:val="center"/>
          </w:tcPr>
          <w:p>
            <w:pPr>
              <w:pStyle w:val="TableNumber"/>
            </w:pPr>
            <w:r>
              <w:t>0.1030</w:t>
            </w:r>
          </w:p>
        </w:tc>
        <w:tc>
          <w:tcPr>
            <w:tcW w:w="1800" w:type="dxa"/>
            <w:vAlign w:val="center"/>
          </w:tcPr>
          <w:p>
            <w:pPr>
              <w:pStyle w:val="TableNumber"/>
            </w:pPr>
            <w:r>
              <w:t>0.0644 to 0.1384</w:t>
            </w:r>
          </w:p>
        </w:tc>
        <w:tc>
          <w:tcPr>
            <w:tcW w:w="1250" w:type="dxa"/>
            <w:vAlign w:val="center"/>
          </w:tcPr>
          <w:p>
            <w:pPr>
              <w:pStyle w:val="TableNumber"/>
            </w:pPr>
            <w:r>
              <w:t>68.20%</w:t>
            </w:r>
          </w:p>
        </w:tc>
        <w:tc>
          <w:tcPr>
            <w:tcW w:w="1010" w:type="dxa"/>
            <w:vAlign w:val="center"/>
          </w:tcPr>
          <w:p>
            <w:pPr>
              <w:pStyle w:val="TableNumber"/>
            </w:pPr>
            <w:r>
              <w:t>62.70%</w:t>
            </w:r>
          </w:p>
        </w:tc>
      </w:tr>
    </w:tbl>
    <w:p>
      <w:pPr>
        <w:pStyle w:val="a"/>
      </w:pPr>
      <w:r>
        <w:t>Taiwan slices differ from EODHD / US in score and coverage, but the sample counts, exchanges, periods, and universes also differ. Their correlation and direction statistics cannot be directly generalized to other markets; provider slices are stability diagnostics only.</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2025</w:t>
            </w:r>
          </w:p>
        </w:tc>
        <w:tc>
          <w:tcPr>
            <w:tcW w:w="1200" w:type="dxa"/>
            <w:vAlign w:val="center"/>
          </w:tcPr>
          <w:p>
            <w:pPr>
              <w:pStyle w:val="TableNumber"/>
            </w:pPr>
            <w:r>
              <w:t>3,710</w:t>
            </w:r>
          </w:p>
        </w:tc>
        <w:tc>
          <w:tcPr>
            <w:tcW w:w="1400" w:type="dxa"/>
            <w:vAlign w:val="center"/>
          </w:tcPr>
          <w:p>
            <w:pPr>
              <w:pStyle w:val="TableNumber"/>
            </w:pPr>
            <w:r>
              <w:t>0.280377</w:t>
            </w:r>
          </w:p>
        </w:tc>
        <w:tc>
          <w:tcPr>
            <w:tcW w:w="1400" w:type="dxa"/>
            <w:vAlign w:val="center"/>
          </w:tcPr>
          <w:p>
            <w:pPr>
              <w:pStyle w:val="TableNumber"/>
            </w:pPr>
            <w:r>
              <w:t>0.0799</w:t>
            </w:r>
          </w:p>
        </w:tc>
        <w:tc>
          <w:tcPr>
            <w:tcW w:w="1800" w:type="dxa"/>
            <w:vAlign w:val="center"/>
          </w:tcPr>
          <w:p>
            <w:pPr>
              <w:pStyle w:val="TableNumber"/>
            </w:pPr>
            <w:r>
              <w:t>0.0496 to 0.1105</w:t>
            </w:r>
          </w:p>
        </w:tc>
        <w:tc>
          <w:tcPr>
            <w:tcW w:w="1200" w:type="dxa"/>
            <w:vAlign w:val="center"/>
          </w:tcPr>
          <w:p>
            <w:pPr>
              <w:pStyle w:val="TableNumber"/>
            </w:pPr>
            <w:r>
              <w:t>54.23%</w:t>
            </w:r>
          </w:p>
        </w:tc>
        <w:tc>
          <w:tcPr>
            <w:tcW w:w="1060" w:type="dxa"/>
            <w:vAlign w:val="center"/>
          </w:tcPr>
          <w:p>
            <w:pPr>
              <w:pStyle w:val="TableNumber"/>
            </w:pPr>
            <w:r>
              <w:t>81.34%</w:t>
            </w:r>
          </w:p>
        </w:tc>
      </w:tr>
      <w:tr>
        <w:trPr>
          <w:cantSplit/>
        </w:trPr>
        <w:tc>
          <w:tcPr>
            <w:tcW w:w="1300" w:type="dxa"/>
            <w:vAlign w:val="center"/>
          </w:tcPr>
          <w:p>
            <w:pPr>
              <w:pStyle w:val="TableText"/>
            </w:pPr>
            <w:r>
              <w:t>2026</w:t>
            </w:r>
          </w:p>
        </w:tc>
        <w:tc>
          <w:tcPr>
            <w:tcW w:w="1200" w:type="dxa"/>
            <w:vAlign w:val="center"/>
          </w:tcPr>
          <w:p>
            <w:pPr>
              <w:pStyle w:val="TableNumber"/>
            </w:pPr>
            <w:r>
              <w:t>16,290</w:t>
            </w:r>
          </w:p>
        </w:tc>
        <w:tc>
          <w:tcPr>
            <w:tcW w:w="1400" w:type="dxa"/>
            <w:vAlign w:val="center"/>
          </w:tcPr>
          <w:p>
            <w:pPr>
              <w:pStyle w:val="TableNumber"/>
            </w:pPr>
            <w:r>
              <w:t>0.312798</w:t>
            </w:r>
          </w:p>
        </w:tc>
        <w:tc>
          <w:tcPr>
            <w:tcW w:w="1400" w:type="dxa"/>
            <w:vAlign w:val="center"/>
          </w:tcPr>
          <w:p>
            <w:pPr>
              <w:pStyle w:val="TableNumber"/>
            </w:pPr>
            <w:r>
              <w:t>0.0870</w:t>
            </w:r>
          </w:p>
        </w:tc>
        <w:tc>
          <w:tcPr>
            <w:tcW w:w="1800" w:type="dxa"/>
            <w:vAlign w:val="center"/>
          </w:tcPr>
          <w:p>
            <w:pPr>
              <w:pStyle w:val="TableNumber"/>
            </w:pPr>
            <w:r>
              <w:t>0.0217 to 0.1305</w:t>
            </w:r>
          </w:p>
        </w:tc>
        <w:tc>
          <w:tcPr>
            <w:tcW w:w="1200" w:type="dxa"/>
            <w:vAlign w:val="center"/>
          </w:tcPr>
          <w:p>
            <w:pPr>
              <w:pStyle w:val="TableNumber"/>
            </w:pPr>
            <w:r>
              <w:t>55.72%</w:t>
            </w:r>
          </w:p>
        </w:tc>
        <w:tc>
          <w:tcPr>
            <w:tcW w:w="1060" w:type="dxa"/>
            <w:vAlign w:val="center"/>
          </w:tcPr>
          <w:p>
            <w:pPr>
              <w:pStyle w:val="TableNumber"/>
            </w:pPr>
            <w:r>
              <w:t>75.43%</w:t>
            </w:r>
          </w:p>
        </w:tc>
      </w:tr>
    </w:tbl>
    <w:p>
      <w:pPr>
        <w:pStyle w:val="Lead"/>
      </w:pPr>
      <w:r>
        <w:t>The year slices are 2025 and 2026. Their day 1 through day 14 scores are 2025=0.2804 and 2026=0.3128. Mean correlation and coverage are shown in Table 12; sample counts are 2025=3,710 and 2026=16,290. These slices diagnose stability but do not establish temporal extrapolation.</w:t>
      </w:r>
    </w:p>
    <w:p>
      <w:pPr>
        <w:pStyle w:val="11"/>
      </w:pPr>
      <w:r>
        <w:t>9. Risks and next stage</w:t>
      </w:r>
    </w:p>
    <w:p>
      <w:pPr>
        <w:pStyle w:val="Decision"/>
        <w:keepNext/>
        <w:spacing w:after="80"/>
      </w:pPr>
      <w:r>
        <w:t>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Required validation</w:t>
            </w:r>
          </w:p>
        </w:tc>
      </w:tr>
      <w:tr>
        <w:trPr>
          <w:cantSplit/>
        </w:trPr>
        <w:tc>
          <w:tcPr>
            <w:tcW w:w="2500" w:type="dxa"/>
            <w:vAlign w:val="center"/>
          </w:tcPr>
          <w:p>
            <w:pPr>
              <w:pStyle w:val="TableText"/>
            </w:pPr>
            <w:r>
              <w:t>Test unlocked</w:t>
            </w:r>
          </w:p>
        </w:tc>
        <w:tc>
          <w:tcPr>
            <w:tcW w:w="2900" w:type="dxa"/>
            <w:vAlign w:val="center"/>
          </w:tcPr>
          <w:p>
            <w:pPr>
              <w:pStyle w:val="TableText"/>
            </w:pPr>
            <w:r>
              <w:t>Checkpoint selected on validation; test benchmark scored 20,000 rows</w:t>
            </w:r>
          </w:p>
        </w:tc>
        <w:tc>
          <w:tcPr>
            <w:tcW w:w="3960" w:type="dxa"/>
            <w:vAlign w:val="center"/>
          </w:tcPr>
          <w:p>
            <w:pPr>
              <w:pStyle w:val="TableText"/>
            </w:pPr>
            <w:r>
              <w:t>Preserve the one-time test protocol; complete model registration and calibration before deployment</w:t>
            </w:r>
          </w:p>
        </w:tc>
      </w:tr>
      <w:tr>
        <w:trPr>
          <w:cantSplit/>
        </w:trPr>
        <w:tc>
          <w:tcPr>
            <w:tcW w:w="2500" w:type="dxa"/>
            <w:vAlign w:val="center"/>
          </w:tcPr>
          <w:p>
            <w:pPr>
              <w:pStyle w:val="TableText"/>
            </w:pPr>
            <w:r>
              <w:t>Single seed</w:t>
            </w:r>
          </w:p>
        </w:tc>
        <w:tc>
          <w:tcPr>
            <w:tcW w:w="2900" w:type="dxa"/>
            <w:vAlign w:val="center"/>
          </w:tcPr>
          <w:p>
            <w:pPr>
              <w:pStyle w:val="TableText"/>
            </w:pPr>
            <w:r>
              <w:t>seed=42</w:t>
            </w:r>
          </w:p>
        </w:tc>
        <w:tc>
          <w:tcPr>
            <w:tcW w:w="3960" w:type="dxa"/>
            <w:vAlign w:val="center"/>
          </w:tcPr>
          <w:p>
            <w:pPr>
              <w:pStyle w:val="TableText"/>
            </w:pPr>
            <w:r>
              <w:t>Run multiple seeds and report median, dispersion, and worst case</w:t>
            </w:r>
          </w:p>
        </w:tc>
      </w:tr>
      <w:tr>
        <w:trPr>
          <w:cantSplit/>
        </w:trPr>
        <w:tc>
          <w:tcPr>
            <w:tcW w:w="2500" w:type="dxa"/>
            <w:vAlign w:val="center"/>
          </w:tcPr>
          <w:p>
            <w:pPr>
              <w:pStyle w:val="TableText"/>
            </w:pPr>
            <w:r>
              <w:t>Interval coverage</w:t>
            </w:r>
          </w:p>
        </w:tc>
        <w:tc>
          <w:tcPr>
            <w:tcW w:w="2900" w:type="dxa"/>
            <w:vAlign w:val="center"/>
          </w:tcPr>
          <w:p>
            <w:pPr>
              <w:pStyle w:val="TableText"/>
            </w:pPr>
            <w:r>
              <w:t>13 of 14 horizons below 80%; minimum 74.95%</w:t>
            </w:r>
          </w:p>
        </w:tc>
        <w:tc>
          <w:tcPr>
            <w:tcW w:w="3960" w:type="dxa"/>
            <w:vAlign w:val="center"/>
          </w:tcPr>
          <w:p>
            <w:pPr>
              <w:pStyle w:val="TableText"/>
            </w:pPr>
            <w:r>
              <w:t>Fit per-horizon calibration on validation, then freeze the rule and re-evaluate</w:t>
            </w:r>
          </w:p>
        </w:tc>
      </w:tr>
      <w:tr>
        <w:trPr>
          <w:cantSplit/>
        </w:trPr>
        <w:tc>
          <w:tcPr>
            <w:tcW w:w="2500" w:type="dxa"/>
            <w:vAlign w:val="center"/>
          </w:tcPr>
          <w:p>
            <w:pPr>
              <w:pStyle w:val="TableText"/>
            </w:pPr>
            <w:r>
              <w:t>Long-horizon drawdown</w:t>
            </w:r>
          </w:p>
        </w:tc>
        <w:tc>
          <w:tcPr>
            <w:tcW w:w="2900" w:type="dxa"/>
            <w:vAlign w:val="center"/>
          </w:tcPr>
          <w:p>
            <w:pPr>
              <w:pStyle w:val="TableText"/>
            </w:pPr>
            <w:r>
              <w:t>Worst -35.3% at 8d</w:t>
            </w:r>
          </w:p>
        </w:tc>
        <w:tc>
          <w:tcPr>
            <w:tcW w:w="3960" w:type="dxa"/>
            <w:vAlign w:val="center"/>
          </w:tcPr>
          <w:p>
            <w:pPr>
              <w:pStyle w:val="TableText"/>
            </w:pPr>
            <w:r>
              <w:t>Compare holding-period, exposure, and risk limits</w:t>
            </w:r>
          </w:p>
        </w:tc>
      </w:tr>
      <w:tr>
        <w:trPr>
          <w:cantSplit/>
        </w:trPr>
        <w:tc>
          <w:tcPr>
            <w:tcW w:w="2500" w:type="dxa"/>
            <w:vAlign w:val="center"/>
          </w:tcPr>
          <w:p>
            <w:pPr>
              <w:pStyle w:val="TableText"/>
            </w:pPr>
            <w:r>
              <w:t>Bearish signal concentration</w:t>
            </w:r>
          </w:p>
        </w:tc>
        <w:tc>
          <w:tcPr>
            <w:tcW w:w="2900" w:type="dxa"/>
            <w:vAlign w:val="center"/>
          </w:tcPr>
          <w:p>
            <w:pPr>
              <w:pStyle w:val="TableText"/>
            </w:pPr>
            <w:r>
              <w:t>6d is 87.74% bearish; strong bear / bull totals 6412/154</w:t>
            </w:r>
          </w:p>
        </w:tc>
        <w:tc>
          <w:tcPr>
            <w:tcW w:w="3960" w:type="dxa"/>
            <w:vAlign w:val="center"/>
          </w:tcPr>
          <w:p>
            <w:pPr>
              <w:pStyle w:val="TableText"/>
            </w:pPr>
            <w:r>
              <w:t>Fix threshold and position mapping separately for each horizon</w:t>
            </w:r>
          </w:p>
        </w:tc>
      </w:tr>
      <w:tr>
        <w:trPr>
          <w:cantSplit/>
        </w:trPr>
        <w:tc>
          <w:tcPr>
            <w:tcW w:w="2500" w:type="dxa"/>
            <w:vAlign w:val="center"/>
          </w:tcPr>
          <w:p>
            <w:pPr>
              <w:pStyle w:val="TableText"/>
            </w:pPr>
            <w:r>
              <w:t>Year imbalance</w:t>
            </w:r>
          </w:p>
        </w:tc>
        <w:tc>
          <w:tcPr>
            <w:tcW w:w="2900" w:type="dxa"/>
            <w:vAlign w:val="center"/>
          </w:tcPr>
          <w:p>
            <w:pPr>
              <w:pStyle w:val="TableText"/>
            </w:pPr>
            <w:r>
              <w:t>2025=3,710; 2026=16,290</w:t>
            </w:r>
          </w:p>
        </w:tc>
        <w:tc>
          <w:tcPr>
            <w:tcW w:w="3960" w:type="dxa"/>
            <w:vAlign w:val="center"/>
          </w:tcPr>
          <w:p>
            <w:pPr>
              <w:pStyle w:val="TableText"/>
            </w:pPr>
            <w:r>
              <w:t>Add year, regime, rolling, and provider stability analysis</w:t>
            </w:r>
          </w:p>
        </w:tc>
      </w:tr>
      <w:tr>
        <w:trPr>
          <w:cantSplit/>
        </w:trPr>
        <w:tc>
          <w:tcPr>
            <w:tcW w:w="2500" w:type="dxa"/>
            <w:vAlign w:val="center"/>
          </w:tcPr>
          <w:p>
            <w:pPr>
              <w:pStyle w:val="TableText"/>
            </w:pPr>
            <w:r>
              <w:t>Lifecycle state</w:t>
            </w:r>
          </w:p>
        </w:tc>
        <w:tc>
          <w:tcPr>
            <w:tcW w:w="2900" w:type="dxa"/>
            <w:vAlign w:val="center"/>
          </w:tcPr>
          <w:p>
            <w:pPr>
              <w:pStyle w:val="TableText"/>
            </w:pPr>
            <w:r>
              <w:t>Training exit code 1 but marker ready and training_completed=true; validation exit code 0</w:t>
            </w:r>
          </w:p>
        </w:tc>
        <w:tc>
          <w:tcPr>
            <w:tcW w:w="3960" w:type="dxa"/>
            <w:vAlign w:val="center"/>
          </w:tcPr>
          <w:p>
            <w:pPr>
              <w:pStyle w:val="TableText"/>
            </w:pPr>
            <w:r>
              <w:t>Keep lifecycle and result markers; inspect the exit-code-1 training log and reproducibility</w:t>
            </w:r>
          </w:p>
        </w:tc>
      </w:tr>
      <w:tr>
        <w:trPr>
          <w:cantSplit/>
        </w:trPr>
        <w:tc>
          <w:tcPr>
            <w:tcW w:w="2500" w:type="dxa"/>
            <w:vAlign w:val="center"/>
          </w:tcPr>
          <w:p>
            <w:pPr>
              <w:pStyle w:val="TableText"/>
            </w:pPr>
            <w:r>
              <w:t>Checkpoint misuse</w:t>
            </w:r>
          </w:p>
        </w:tc>
        <w:tc>
          <w:tcPr>
            <w:tcW w:w="2900" w:type="dxa"/>
            <w:vAlign w:val="center"/>
          </w:tcPr>
          <w:p>
            <w:pPr>
              <w:pStyle w:val="TableText"/>
            </w:pPr>
            <w:r>
              <w:t>Test used checkpoint-043773; best monitor value 0.276788</w:t>
            </w:r>
          </w:p>
        </w:tc>
        <w:tc>
          <w:tcPr>
            <w:tcW w:w="3960" w:type="dxa"/>
            <w:vAlign w:val="center"/>
          </w:tcPr>
          <w:p>
            <w:pPr>
              <w:pStyle w:val="TableText"/>
            </w:pPr>
            <w:r>
              <w:t>Deployment artifacts must pin the best-checkpoint.json target</w:t>
            </w:r>
          </w:p>
        </w:tc>
      </w:tr>
      <w:tr>
        <w:trPr>
          <w:cantSplit/>
        </w:trPr>
        <w:tc>
          <w:tcPr>
            <w:tcW w:w="2500" w:type="dxa"/>
            <w:vAlign w:val="center"/>
          </w:tcPr>
          <w:p>
            <w:pPr>
              <w:pStyle w:val="TableText"/>
            </w:pPr>
            <w:r>
              <w:t>Simplified trading costs</w:t>
            </w:r>
          </w:p>
        </w:tc>
        <w:tc>
          <w:tcPr>
            <w:tcW w:w="2900" w:type="dxa"/>
            <w:vAlign w:val="center"/>
          </w:tcPr>
          <w:p>
            <w:pPr>
              <w:pStyle w:val="TableText"/>
            </w:pPr>
            <w:r>
              <w:t>Fixed 10 bps per turnover unit</w:t>
            </w:r>
          </w:p>
        </w:tc>
        <w:tc>
          <w:tcPr>
            <w:tcW w:w="3960" w:type="dxa"/>
            <w:vAlign w:val="center"/>
          </w:tcPr>
          <w:p>
            <w:pPr>
              <w:pStyle w:val="TableText"/>
            </w:pPr>
            <w:r>
              <w:t>Add slippage, market impact, borrow, capacity, and tax scenarios</w:t>
            </w:r>
          </w:p>
        </w:tc>
      </w:tr>
    </w:tbl>
    <w:p>
      <w:pPr>
        <w:pStyle w:val="Lead"/>
      </w:pPr>
      <w:r>
        <w:t>Final assessment: the best checkpoint ranks 1 of 13 on the test all-horizon score, with first-place normalized pinball at all 14 horizons; RankIC and net Sharpe are also positive across all horizons. However, 13 horizons remain below 80% coverage, training lifecycle exit_code=1 disagrees with the completion marker, and one seed plus simplified trading costs remain limitations. The evidence supports a candidate-model conclusion, not direct deployment.</w:t>
      </w:r>
    </w:p>
    <w:p>
      <w:pPr>
        <w:pStyle w:val="11"/>
        <w:pageBreakBefore/>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 1-14 score</w:t>
            </w:r>
          </w:p>
        </w:tc>
        <w:tc>
          <w:tcPr>
            <w:tcW w:w="1330" w:type="dxa"/>
            <w:shd w:val="clear" w:fill="DCE6F1"/>
            <w:vAlign w:val="center"/>
          </w:tcPr>
          <w:p>
            <w:pPr>
              <w:pStyle w:val="TableHeader"/>
            </w:pPr>
            <w:r>
              <w:t>Day 1</w:t>
            </w:r>
          </w:p>
        </w:tc>
        <w:tc>
          <w:tcPr>
            <w:tcW w:w="1330" w:type="dxa"/>
            <w:shd w:val="clear" w:fill="DCE6F1"/>
            <w:vAlign w:val="center"/>
          </w:tcPr>
          <w:p>
            <w:pPr>
              <w:pStyle w:val="TableHeader"/>
            </w:pPr>
            <w:r>
              <w:t>Day 7</w:t>
            </w:r>
          </w:p>
        </w:tc>
        <w:tc>
          <w:tcPr>
            <w:tcW w:w="1350" w:type="dxa"/>
            <w:shd w:val="clear" w:fill="DCE6F1"/>
            <w:vAlign w:val="center"/>
          </w:tcPr>
          <w:p>
            <w:pPr>
              <w:pStyle w:val="TableHeader"/>
            </w:pPr>
            <w:r>
              <w:t>Day 14</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0.306784</w:t>
            </w:r>
          </w:p>
        </w:tc>
        <w:tc>
          <w:tcPr>
            <w:tcW w:w="1330" w:type="dxa"/>
            <w:shd w:val="clear" w:fill="EDF5FC"/>
            <w:vAlign w:val="center"/>
          </w:tcPr>
          <w:p>
            <w:pPr>
              <w:pStyle w:val="TableNumber"/>
            </w:pPr>
            <w:r>
              <w:t>0.3799</w:t>
            </w:r>
          </w:p>
        </w:tc>
        <w:tc>
          <w:tcPr>
            <w:tcW w:w="1330" w:type="dxa"/>
            <w:shd w:val="clear" w:fill="EDF5FC"/>
            <w:vAlign w:val="center"/>
          </w:tcPr>
          <w:p>
            <w:pPr>
              <w:pStyle w:val="TableNumber"/>
            </w:pPr>
            <w:r>
              <w:t>0.2987</w:t>
            </w:r>
          </w:p>
        </w:tc>
        <w:tc>
          <w:tcPr>
            <w:tcW w:w="1350" w:type="dxa"/>
            <w:shd w:val="clear" w:fill="EDF5FC"/>
            <w:vAlign w:val="center"/>
          </w:tcPr>
          <w:p>
            <w:pPr>
              <w:pStyle w:val="TableNumber"/>
            </w:pPr>
            <w:r>
              <w:t>0.2924</w:t>
            </w:r>
          </w:p>
        </w:tc>
      </w:tr>
      <w:tr>
        <w:trPr>
          <w:cantSplit/>
        </w:trPr>
        <w:tc>
          <w:tcPr>
            <w:tcW w:w="650" w:type="dxa"/>
            <w:vAlign w:val="center"/>
          </w:tcPr>
          <w:p>
            <w:pPr>
              <w:pStyle w:val="TableNumber"/>
            </w:pPr>
            <w:r>
              <w:t>2</w:t>
            </w:r>
          </w:p>
        </w:tc>
        <w:tc>
          <w:tcPr>
            <w:tcW w:w="2800" w:type="dxa"/>
            <w:vAlign w:val="center"/>
          </w:tcPr>
          <w:p>
            <w:pPr>
              <w:pStyle w:val="TableText"/>
            </w:pPr>
            <w:r>
              <w:t>Paired GRU</w:t>
            </w:r>
          </w:p>
        </w:tc>
        <w:tc>
          <w:tcPr>
            <w:tcW w:w="1900" w:type="dxa"/>
            <w:vAlign w:val="center"/>
          </w:tcPr>
          <w:p>
            <w:pPr>
              <w:pStyle w:val="TableNumber"/>
            </w:pPr>
            <w:r>
              <w:t>0.310659</w:t>
            </w:r>
          </w:p>
        </w:tc>
        <w:tc>
          <w:tcPr>
            <w:tcW w:w="1330" w:type="dxa"/>
            <w:vAlign w:val="center"/>
          </w:tcPr>
          <w:p>
            <w:pPr>
              <w:pStyle w:val="TableNumber"/>
            </w:pPr>
            <w:r>
              <w:t>0.3824</w:t>
            </w:r>
          </w:p>
        </w:tc>
        <w:tc>
          <w:tcPr>
            <w:tcW w:w="1330" w:type="dxa"/>
            <w:vAlign w:val="center"/>
          </w:tcPr>
          <w:p>
            <w:pPr>
              <w:pStyle w:val="TableNumber"/>
            </w:pPr>
            <w:r>
              <w:t>0.3059</w:t>
            </w:r>
          </w:p>
        </w:tc>
        <w:tc>
          <w:tcPr>
            <w:tcW w:w="1350" w:type="dxa"/>
            <w:vAlign w:val="center"/>
          </w:tcPr>
          <w:p>
            <w:pPr>
              <w:pStyle w:val="TableNumber"/>
            </w:pPr>
            <w:r>
              <w:t>0.2986</w:t>
            </w:r>
          </w:p>
        </w:tc>
      </w:tr>
      <w:tr>
        <w:trPr>
          <w:cantSplit/>
        </w:trPr>
        <w:tc>
          <w:tcPr>
            <w:tcW w:w="650" w:type="dxa"/>
            <w:vAlign w:val="center"/>
          </w:tcPr>
          <w:p>
            <w:pPr>
              <w:pStyle w:val="TableNumber"/>
            </w:pPr>
            <w:r>
              <w:t>3</w:t>
            </w:r>
          </w:p>
        </w:tc>
        <w:tc>
          <w:tcPr>
            <w:tcW w:w="2800" w:type="dxa"/>
            <w:vAlign w:val="center"/>
          </w:tcPr>
          <w:p>
            <w:pPr>
              <w:pStyle w:val="TableText"/>
            </w:pPr>
            <w:r>
              <w:t>Quantile GBDT</w:t>
            </w:r>
          </w:p>
        </w:tc>
        <w:tc>
          <w:tcPr>
            <w:tcW w:w="1900" w:type="dxa"/>
            <w:vAlign w:val="center"/>
          </w:tcPr>
          <w:p>
            <w:pPr>
              <w:pStyle w:val="TableNumber"/>
            </w:pPr>
            <w:r>
              <w:t>0.316089</w:t>
            </w:r>
          </w:p>
        </w:tc>
        <w:tc>
          <w:tcPr>
            <w:tcW w:w="1330" w:type="dxa"/>
            <w:vAlign w:val="center"/>
          </w:tcPr>
          <w:p>
            <w:pPr>
              <w:pStyle w:val="TableNumber"/>
            </w:pPr>
            <w:r>
              <w:t>0.3846</w:t>
            </w:r>
          </w:p>
        </w:tc>
        <w:tc>
          <w:tcPr>
            <w:tcW w:w="1330" w:type="dxa"/>
            <w:vAlign w:val="center"/>
          </w:tcPr>
          <w:p>
            <w:pPr>
              <w:pStyle w:val="TableNumber"/>
            </w:pPr>
            <w:r>
              <w:t>0.3097</w:t>
            </w:r>
          </w:p>
        </w:tc>
        <w:tc>
          <w:tcPr>
            <w:tcW w:w="1350" w:type="dxa"/>
            <w:vAlign w:val="center"/>
          </w:tcPr>
          <w:p>
            <w:pPr>
              <w:pStyle w:val="TableNumber"/>
            </w:pPr>
            <w:r>
              <w:t>0.3055</w:t>
            </w:r>
          </w:p>
        </w:tc>
      </w:tr>
      <w:tr>
        <w:trPr>
          <w:cantSplit/>
        </w:trPr>
        <w:tc>
          <w:tcPr>
            <w:tcW w:w="650" w:type="dxa"/>
            <w:vAlign w:val="center"/>
          </w:tcPr>
          <w:p>
            <w:pPr>
              <w:pStyle w:val="TableNumber"/>
            </w:pPr>
            <w:r>
              <w:t>4</w:t>
            </w:r>
          </w:p>
        </w:tc>
        <w:tc>
          <w:tcPr>
            <w:tcW w:w="2800" w:type="dxa"/>
            <w:vAlign w:val="center"/>
          </w:tcPr>
          <w:p>
            <w:pPr>
              <w:pStyle w:val="TableText"/>
            </w:pPr>
            <w:r>
              <w:t>Compact PatchTST</w:t>
            </w:r>
          </w:p>
        </w:tc>
        <w:tc>
          <w:tcPr>
            <w:tcW w:w="1900" w:type="dxa"/>
            <w:vAlign w:val="center"/>
          </w:tcPr>
          <w:p>
            <w:pPr>
              <w:pStyle w:val="TableNumber"/>
            </w:pPr>
            <w:r>
              <w:t>0.321045</w:t>
            </w:r>
          </w:p>
        </w:tc>
        <w:tc>
          <w:tcPr>
            <w:tcW w:w="1330" w:type="dxa"/>
            <w:vAlign w:val="center"/>
          </w:tcPr>
          <w:p>
            <w:pPr>
              <w:pStyle w:val="TableNumber"/>
            </w:pPr>
            <w:r>
              <w:t>0.4014</w:t>
            </w:r>
          </w:p>
        </w:tc>
        <w:tc>
          <w:tcPr>
            <w:tcW w:w="1330" w:type="dxa"/>
            <w:vAlign w:val="center"/>
          </w:tcPr>
          <w:p>
            <w:pPr>
              <w:pStyle w:val="TableNumber"/>
            </w:pPr>
            <w:r>
              <w:t>0.3142</w:t>
            </w:r>
          </w:p>
        </w:tc>
        <w:tc>
          <w:tcPr>
            <w:tcW w:w="1350" w:type="dxa"/>
            <w:vAlign w:val="center"/>
          </w:tcPr>
          <w:p>
            <w:pPr>
              <w:pStyle w:val="TableNumber"/>
            </w:pPr>
            <w:r>
              <w:t>0.3044</w:t>
            </w:r>
          </w:p>
        </w:tc>
      </w:tr>
      <w:tr>
        <w:trPr>
          <w:cantSplit/>
        </w:trPr>
        <w:tc>
          <w:tcPr>
            <w:tcW w:w="650" w:type="dxa"/>
            <w:vAlign w:val="center"/>
          </w:tcPr>
          <w:p>
            <w:pPr>
              <w:pStyle w:val="TableNumber"/>
            </w:pPr>
            <w:r>
              <w:t>5</w:t>
            </w:r>
          </w:p>
        </w:tc>
        <w:tc>
          <w:tcPr>
            <w:tcW w:w="2800" w:type="dxa"/>
            <w:vAlign w:val="center"/>
          </w:tcPr>
          <w:p>
            <w:pPr>
              <w:pStyle w:val="TableText"/>
            </w:pPr>
            <w:r>
              <w:t>Always-buy distribution</w:t>
            </w:r>
          </w:p>
        </w:tc>
        <w:tc>
          <w:tcPr>
            <w:tcW w:w="1900" w:type="dxa"/>
            <w:vAlign w:val="center"/>
          </w:tcPr>
          <w:p>
            <w:pPr>
              <w:pStyle w:val="TableNumber"/>
            </w:pPr>
            <w:r>
              <w:t>0.336065</w:t>
            </w:r>
          </w:p>
        </w:tc>
        <w:tc>
          <w:tcPr>
            <w:tcW w:w="1330" w:type="dxa"/>
            <w:vAlign w:val="center"/>
          </w:tcPr>
          <w:p>
            <w:pPr>
              <w:pStyle w:val="TableNumber"/>
            </w:pPr>
            <w:r>
              <w:t>0.4262</w:t>
            </w:r>
          </w:p>
        </w:tc>
        <w:tc>
          <w:tcPr>
            <w:tcW w:w="1330" w:type="dxa"/>
            <w:vAlign w:val="center"/>
          </w:tcPr>
          <w:p>
            <w:pPr>
              <w:pStyle w:val="TableNumber"/>
            </w:pPr>
            <w:r>
              <w:t>0.3262</w:t>
            </w:r>
          </w:p>
        </w:tc>
        <w:tc>
          <w:tcPr>
            <w:tcW w:w="1350" w:type="dxa"/>
            <w:vAlign w:val="center"/>
          </w:tcPr>
          <w:p>
            <w:pPr>
              <w:pStyle w:val="TableNumber"/>
            </w:pPr>
            <w:r>
              <w:t>0.3179</w:t>
            </w:r>
          </w:p>
        </w:tc>
      </w:tr>
      <w:tr>
        <w:trPr>
          <w:cantSplit/>
        </w:trPr>
        <w:tc>
          <w:tcPr>
            <w:tcW w:w="650" w:type="dxa"/>
            <w:vAlign w:val="center"/>
          </w:tcPr>
          <w:p>
            <w:pPr>
              <w:pStyle w:val="TableNumber"/>
            </w:pPr>
            <w:r>
              <w:t>6</w:t>
            </w:r>
          </w:p>
        </w:tc>
        <w:tc>
          <w:tcPr>
            <w:tcW w:w="2800" w:type="dxa"/>
            <w:vAlign w:val="center"/>
          </w:tcPr>
          <w:p>
            <w:pPr>
              <w:pStyle w:val="TableText"/>
            </w:pPr>
            <w:r>
              <w:t>Zero-return distribution</w:t>
            </w:r>
          </w:p>
        </w:tc>
        <w:tc>
          <w:tcPr>
            <w:tcW w:w="1900" w:type="dxa"/>
            <w:vAlign w:val="center"/>
          </w:tcPr>
          <w:p>
            <w:pPr>
              <w:pStyle w:val="TableNumber"/>
            </w:pPr>
            <w:r>
              <w:t>0.336065</w:t>
            </w:r>
          </w:p>
        </w:tc>
        <w:tc>
          <w:tcPr>
            <w:tcW w:w="1330" w:type="dxa"/>
            <w:vAlign w:val="center"/>
          </w:tcPr>
          <w:p>
            <w:pPr>
              <w:pStyle w:val="TableNumber"/>
            </w:pPr>
            <w:r>
              <w:t>0.4262</w:t>
            </w:r>
          </w:p>
        </w:tc>
        <w:tc>
          <w:tcPr>
            <w:tcW w:w="1330" w:type="dxa"/>
            <w:vAlign w:val="center"/>
          </w:tcPr>
          <w:p>
            <w:pPr>
              <w:pStyle w:val="TableNumber"/>
            </w:pPr>
            <w:r>
              <w:t>0.3262</w:t>
            </w:r>
          </w:p>
        </w:tc>
        <w:tc>
          <w:tcPr>
            <w:tcW w:w="1350" w:type="dxa"/>
            <w:vAlign w:val="center"/>
          </w:tcPr>
          <w:p>
            <w:pPr>
              <w:pStyle w:val="TableNumber"/>
            </w:pPr>
            <w:r>
              <w:t>0.3179</w:t>
            </w:r>
          </w:p>
        </w:tc>
      </w:tr>
      <w:tr>
        <w:trPr>
          <w:cantSplit/>
        </w:trPr>
        <w:tc>
          <w:tcPr>
            <w:tcW w:w="650" w:type="dxa"/>
            <w:vAlign w:val="center"/>
          </w:tcPr>
          <w:p>
            <w:pPr>
              <w:pStyle w:val="TableNumber"/>
            </w:pPr>
            <w:r>
              <w:t>7</w:t>
            </w:r>
          </w:p>
        </w:tc>
        <w:tc>
          <w:tcPr>
            <w:tcW w:w="2800" w:type="dxa"/>
            <w:vAlign w:val="center"/>
          </w:tcPr>
          <w:p>
            <w:pPr>
              <w:pStyle w:val="TableText"/>
            </w:pPr>
            <w:r>
              <w:t>MACD rule</w:t>
            </w:r>
          </w:p>
        </w:tc>
        <w:tc>
          <w:tcPr>
            <w:tcW w:w="1900" w:type="dxa"/>
            <w:vAlign w:val="center"/>
          </w:tcPr>
          <w:p>
            <w:pPr>
              <w:pStyle w:val="TableNumber"/>
            </w:pPr>
            <w:r>
              <w:t>0.338294</w:t>
            </w:r>
          </w:p>
        </w:tc>
        <w:tc>
          <w:tcPr>
            <w:tcW w:w="1330" w:type="dxa"/>
            <w:vAlign w:val="center"/>
          </w:tcPr>
          <w:p>
            <w:pPr>
              <w:pStyle w:val="TableNumber"/>
            </w:pPr>
            <w:r>
              <w:t>0.4267</w:t>
            </w:r>
          </w:p>
        </w:tc>
        <w:tc>
          <w:tcPr>
            <w:tcW w:w="1330" w:type="dxa"/>
            <w:vAlign w:val="center"/>
          </w:tcPr>
          <w:p>
            <w:pPr>
              <w:pStyle w:val="TableNumber"/>
            </w:pPr>
            <w:r>
              <w:t>0.3283</w:t>
            </w:r>
          </w:p>
        </w:tc>
        <w:tc>
          <w:tcPr>
            <w:tcW w:w="1350" w:type="dxa"/>
            <w:vAlign w:val="center"/>
          </w:tcPr>
          <w:p>
            <w:pPr>
              <w:pStyle w:val="TableNumber"/>
            </w:pPr>
            <w:r>
              <w:t>0.3221</w:t>
            </w:r>
          </w:p>
        </w:tc>
      </w:tr>
      <w:tr>
        <w:trPr>
          <w:cantSplit/>
        </w:trPr>
        <w:tc>
          <w:tcPr>
            <w:tcW w:w="650" w:type="dxa"/>
            <w:vAlign w:val="center"/>
          </w:tcPr>
          <w:p>
            <w:pPr>
              <w:pStyle w:val="TableNumber"/>
            </w:pPr>
            <w:r>
              <w:t>8</w:t>
            </w:r>
          </w:p>
        </w:tc>
        <w:tc>
          <w:tcPr>
            <w:tcW w:w="2800" w:type="dxa"/>
            <w:vAlign w:val="center"/>
          </w:tcPr>
          <w:p>
            <w:pPr>
              <w:pStyle w:val="TableText"/>
            </w:pPr>
            <w:r>
              <w:t>Moving-average crossover</w:t>
            </w:r>
          </w:p>
        </w:tc>
        <w:tc>
          <w:tcPr>
            <w:tcW w:w="1900" w:type="dxa"/>
            <w:vAlign w:val="center"/>
          </w:tcPr>
          <w:p>
            <w:pPr>
              <w:pStyle w:val="TableNumber"/>
            </w:pPr>
            <w:r>
              <w:t>0.360944</w:t>
            </w:r>
          </w:p>
        </w:tc>
        <w:tc>
          <w:tcPr>
            <w:tcW w:w="1330" w:type="dxa"/>
            <w:vAlign w:val="center"/>
          </w:tcPr>
          <w:p>
            <w:pPr>
              <w:pStyle w:val="TableNumber"/>
            </w:pPr>
            <w:r>
              <w:t>0.4339</w:t>
            </w:r>
          </w:p>
        </w:tc>
        <w:tc>
          <w:tcPr>
            <w:tcW w:w="1330" w:type="dxa"/>
            <w:vAlign w:val="center"/>
          </w:tcPr>
          <w:p>
            <w:pPr>
              <w:pStyle w:val="TableNumber"/>
            </w:pPr>
            <w:r>
              <w:t>0.3501</w:t>
            </w:r>
          </w:p>
        </w:tc>
        <w:tc>
          <w:tcPr>
            <w:tcW w:w="1350" w:type="dxa"/>
            <w:vAlign w:val="center"/>
          </w:tcPr>
          <w:p>
            <w:pPr>
              <w:pStyle w:val="TableNumber"/>
            </w:pPr>
            <w:r>
              <w:t>0.3590</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0.375532</w:t>
            </w:r>
          </w:p>
        </w:tc>
        <w:tc>
          <w:tcPr>
            <w:tcW w:w="1330" w:type="dxa"/>
            <w:vAlign w:val="center"/>
          </w:tcPr>
          <w:p>
            <w:pPr>
              <w:pStyle w:val="TableNumber"/>
            </w:pPr>
            <w:r>
              <w:t>0.5484</w:t>
            </w:r>
          </w:p>
        </w:tc>
        <w:tc>
          <w:tcPr>
            <w:tcW w:w="1330" w:type="dxa"/>
            <w:vAlign w:val="center"/>
          </w:tcPr>
          <w:p>
            <w:pPr>
              <w:pStyle w:val="TableNumber"/>
            </w:pPr>
            <w:r>
              <w:t>0.3626</w:t>
            </w:r>
          </w:p>
        </w:tc>
        <w:tc>
          <w:tcPr>
            <w:tcW w:w="1350" w:type="dxa"/>
            <w:vAlign w:val="center"/>
          </w:tcPr>
          <w:p>
            <w:pPr>
              <w:pStyle w:val="TableNumber"/>
            </w:pPr>
            <w:r>
              <w:t>0.3360</w:t>
            </w:r>
          </w:p>
        </w:tc>
      </w:tr>
      <w:tr>
        <w:trPr>
          <w:cantSplit/>
        </w:trPr>
        <w:tc>
          <w:tcPr>
            <w:tcW w:w="650" w:type="dxa"/>
            <w:vAlign w:val="center"/>
          </w:tcPr>
          <w:p>
            <w:pPr>
              <w:pStyle w:val="TableNumber"/>
            </w:pPr>
            <w:r>
              <w:t>10</w:t>
            </w:r>
          </w:p>
        </w:tc>
        <w:tc>
          <w:tcPr>
            <w:tcW w:w="2800" w:type="dxa"/>
            <w:vAlign w:val="center"/>
          </w:tcPr>
          <w:p>
            <w:pPr>
              <w:pStyle w:val="TableText"/>
            </w:pPr>
            <w:r>
              <w:t>RSI rule</w:t>
            </w:r>
          </w:p>
        </w:tc>
        <w:tc>
          <w:tcPr>
            <w:tcW w:w="1900" w:type="dxa"/>
            <w:vAlign w:val="center"/>
          </w:tcPr>
          <w:p>
            <w:pPr>
              <w:pStyle w:val="TableNumber"/>
            </w:pPr>
            <w:r>
              <w:t>0.407665</w:t>
            </w:r>
          </w:p>
        </w:tc>
        <w:tc>
          <w:tcPr>
            <w:tcW w:w="1330" w:type="dxa"/>
            <w:vAlign w:val="center"/>
          </w:tcPr>
          <w:p>
            <w:pPr>
              <w:pStyle w:val="TableNumber"/>
            </w:pPr>
            <w:r>
              <w:t>0.4404</w:t>
            </w:r>
          </w:p>
        </w:tc>
        <w:tc>
          <w:tcPr>
            <w:tcW w:w="1330" w:type="dxa"/>
            <w:vAlign w:val="center"/>
          </w:tcPr>
          <w:p>
            <w:pPr>
              <w:pStyle w:val="TableNumber"/>
            </w:pPr>
            <w:r>
              <w:t>0.3955</w:t>
            </w:r>
          </w:p>
        </w:tc>
        <w:tc>
          <w:tcPr>
            <w:tcW w:w="1350" w:type="dxa"/>
            <w:vAlign w:val="center"/>
          </w:tcPr>
          <w:p>
            <w:pPr>
              <w:pStyle w:val="TableNumber"/>
            </w:pPr>
            <w:r>
              <w:t>0.4390</w:t>
            </w:r>
          </w:p>
        </w:tc>
      </w:tr>
      <w:tr>
        <w:trPr>
          <w:cantSplit/>
        </w:trPr>
        <w:tc>
          <w:tcPr>
            <w:tcW w:w="650" w:type="dxa"/>
            <w:vAlign w:val="center"/>
          </w:tcPr>
          <w:p>
            <w:pPr>
              <w:pStyle w:val="TableNumber"/>
            </w:pPr>
            <w:r>
              <w:t>11</w:t>
            </w:r>
          </w:p>
        </w:tc>
        <w:tc>
          <w:tcPr>
            <w:tcW w:w="2800" w:type="dxa"/>
            <w:vAlign w:val="center"/>
          </w:tcPr>
          <w:p>
            <w:pPr>
              <w:pStyle w:val="TableText"/>
            </w:pPr>
            <w:r>
              <w:t>Volatility-scaled rule</w:t>
            </w:r>
          </w:p>
        </w:tc>
        <w:tc>
          <w:tcPr>
            <w:tcW w:w="1900" w:type="dxa"/>
            <w:vAlign w:val="center"/>
          </w:tcPr>
          <w:p>
            <w:pPr>
              <w:pStyle w:val="TableNumber"/>
            </w:pPr>
            <w:r>
              <w:t>0.500529</w:t>
            </w:r>
          </w:p>
        </w:tc>
        <w:tc>
          <w:tcPr>
            <w:tcW w:w="1330" w:type="dxa"/>
            <w:vAlign w:val="center"/>
          </w:tcPr>
          <w:p>
            <w:pPr>
              <w:pStyle w:val="TableNumber"/>
            </w:pPr>
            <w:r>
              <w:t>0.4687</w:t>
            </w:r>
          </w:p>
        </w:tc>
        <w:tc>
          <w:tcPr>
            <w:tcW w:w="1330" w:type="dxa"/>
            <w:vAlign w:val="center"/>
          </w:tcPr>
          <w:p>
            <w:pPr>
              <w:pStyle w:val="TableNumber"/>
            </w:pPr>
            <w:r>
              <w:t>0.4889</w:t>
            </w:r>
          </w:p>
        </w:tc>
        <w:tc>
          <w:tcPr>
            <w:tcW w:w="1350" w:type="dxa"/>
            <w:vAlign w:val="center"/>
          </w:tcPr>
          <w:p>
            <w:pPr>
              <w:pStyle w:val="TableNumber"/>
            </w:pPr>
            <w:r>
              <w:t>0.5854</w:t>
            </w:r>
          </w:p>
        </w:tc>
      </w:tr>
      <w:tr>
        <w:trPr>
          <w:cantSplit/>
        </w:trPr>
        <w:tc>
          <w:tcPr>
            <w:tcW w:w="650" w:type="dxa"/>
            <w:vAlign w:val="center"/>
          </w:tcPr>
          <w:p>
            <w:pPr>
              <w:pStyle w:val="TableNumber"/>
            </w:pPr>
            <w:r>
              <w:t>12</w:t>
            </w:r>
          </w:p>
        </w:tc>
        <w:tc>
          <w:tcPr>
            <w:tcW w:w="2800" w:type="dxa"/>
            <w:vAlign w:val="center"/>
          </w:tcPr>
          <w:p>
            <w:pPr>
              <w:pStyle w:val="TableText"/>
            </w:pPr>
            <w:r>
              <w:t>5-day momentum</w:t>
            </w:r>
          </w:p>
        </w:tc>
        <w:tc>
          <w:tcPr>
            <w:tcW w:w="1900" w:type="dxa"/>
            <w:vAlign w:val="center"/>
          </w:tcPr>
          <w:p>
            <w:pPr>
              <w:pStyle w:val="TableNumber"/>
            </w:pPr>
            <w:r>
              <w:t>0.519113</w:t>
            </w:r>
          </w:p>
        </w:tc>
        <w:tc>
          <w:tcPr>
            <w:tcW w:w="1330" w:type="dxa"/>
            <w:vAlign w:val="center"/>
          </w:tcPr>
          <w:p>
            <w:pPr>
              <w:pStyle w:val="TableNumber"/>
            </w:pPr>
            <w:r>
              <w:t>0.4750</w:t>
            </w:r>
          </w:p>
        </w:tc>
        <w:tc>
          <w:tcPr>
            <w:tcW w:w="1330" w:type="dxa"/>
            <w:vAlign w:val="center"/>
          </w:tcPr>
          <w:p>
            <w:pPr>
              <w:pStyle w:val="TableNumber"/>
            </w:pPr>
            <w:r>
              <w:t>0.5079</w:t>
            </w:r>
          </w:p>
        </w:tc>
        <w:tc>
          <w:tcPr>
            <w:tcW w:w="1350" w:type="dxa"/>
            <w:vAlign w:val="center"/>
          </w:tcPr>
          <w:p>
            <w:pPr>
              <w:pStyle w:val="TableNumber"/>
            </w:pPr>
            <w:r>
              <w:t>0.6127</w:t>
            </w:r>
          </w:p>
        </w:tc>
      </w:tr>
      <w:tr>
        <w:trPr>
          <w:cantSplit/>
        </w:trPr>
        <w:tc>
          <w:tcPr>
            <w:tcW w:w="650" w:type="dxa"/>
            <w:vAlign w:val="center"/>
          </w:tcPr>
          <w:p>
            <w:pPr>
              <w:pStyle w:val="TableNumber"/>
            </w:pPr>
            <w:r>
              <w:t>13</w:t>
            </w:r>
          </w:p>
        </w:tc>
        <w:tc>
          <w:tcPr>
            <w:tcW w:w="2800" w:type="dxa"/>
            <w:vAlign w:val="center"/>
          </w:tcPr>
          <w:p>
            <w:pPr>
              <w:pStyle w:val="TableText"/>
            </w:pPr>
            <w:r>
              <w:t>5-day reversal</w:t>
            </w:r>
          </w:p>
        </w:tc>
        <w:tc>
          <w:tcPr>
            <w:tcW w:w="1900" w:type="dxa"/>
            <w:vAlign w:val="center"/>
          </w:tcPr>
          <w:p>
            <w:pPr>
              <w:pStyle w:val="TableNumber"/>
            </w:pPr>
            <w:r>
              <w:t>0.523584</w:t>
            </w:r>
          </w:p>
        </w:tc>
        <w:tc>
          <w:tcPr>
            <w:tcW w:w="1330" w:type="dxa"/>
            <w:vAlign w:val="center"/>
          </w:tcPr>
          <w:p>
            <w:pPr>
              <w:pStyle w:val="TableNumber"/>
            </w:pPr>
            <w:r>
              <w:t>0.4677</w:t>
            </w:r>
          </w:p>
        </w:tc>
        <w:tc>
          <w:tcPr>
            <w:tcW w:w="1330" w:type="dxa"/>
            <w:vAlign w:val="center"/>
          </w:tcPr>
          <w:p>
            <w:pPr>
              <w:pStyle w:val="TableNumber"/>
            </w:pPr>
            <w:r>
              <w:t>0.5110</w:t>
            </w:r>
          </w:p>
        </w:tc>
        <w:tc>
          <w:tcPr>
            <w:tcW w:w="1350" w:type="dxa"/>
            <w:vAlign w:val="center"/>
          </w:tcPr>
          <w:p>
            <w:pPr>
              <w:pStyle w:val="TableNumber"/>
            </w:pPr>
            <w:r>
              <w:t>0.6254</w:t>
            </w:r>
          </w:p>
        </w:tc>
      </w:tr>
    </w:tbl>
    <w:p>
      <w:pPr>
        <w:pStyle w:val="Note"/>
      </w:pPr>
      <w:r>
        <w:t>All learned baselines use seed 42. Primary ranking uses only the 14-horizon selection score.</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use</w:t>
            </w:r>
          </w:p>
        </w:tc>
      </w:tr>
      <w:tr>
        <w:trPr>
          <w:cantSplit/>
        </w:trPr>
        <w:tc>
          <w:tcPr>
            <w:tcW w:w="3000" w:type="dxa"/>
            <w:vAlign w:val="center"/>
          </w:tcPr>
          <w:p>
            <w:pPr>
              <w:pStyle w:val="TableText"/>
            </w:pPr>
            <w:r>
              <w:t>Run ID</w:t>
            </w:r>
          </w:p>
        </w:tc>
        <w:tc>
          <w:tcPr>
            <w:tcW w:w="6360" w:type="dxa"/>
            <w:vAlign w:val="center"/>
          </w:tcPr>
          <w:p>
            <w:pPr>
              <w:pStyle w:val="TableText"/>
            </w:pPr>
            <w:r>
              <w:t>run-20260915T091153Z-918316277</w:t>
            </w:r>
          </w:p>
        </w:tc>
      </w:tr>
      <w:tr>
        <w:trPr>
          <w:cantSplit/>
        </w:trPr>
        <w:tc>
          <w:tcPr>
            <w:tcW w:w="3000" w:type="dxa"/>
            <w:vAlign w:val="center"/>
          </w:tcPr>
          <w:p>
            <w:pPr>
              <w:pStyle w:val="TableText"/>
            </w:pPr>
            <w:r>
              <w:t>Best checkpoint</w:t>
            </w:r>
          </w:p>
        </w:tc>
        <w:tc>
          <w:tcPr>
            <w:tcW w:w="6360" w:type="dxa"/>
            <w:vAlign w:val="center"/>
          </w:tcPr>
          <w:p>
            <w:pPr>
              <w:pStyle w:val="TableText"/>
            </w:pPr>
            <w:r>
              <w:t>checkpoint-043773; validation monitor 0.276787509975134; test score 0.306783702944706</w:t>
            </w:r>
          </w:p>
        </w:tc>
      </w:tr>
      <w:tr>
        <w:trPr>
          <w:cantSplit/>
        </w:trPr>
        <w:tc>
          <w:tcPr>
            <w:tcW w:w="3000" w:type="dxa"/>
            <w:vAlign w:val="center"/>
          </w:tcPr>
          <w:p>
            <w:pPr>
              <w:pStyle w:val="TableText"/>
            </w:pPr>
            <w:r>
              <w:t>Output schema</w:t>
            </w:r>
          </w:p>
        </w:tc>
        <w:tc>
          <w:tcPr>
            <w:tcW w:w="6360" w:type="dxa"/>
            <w:vAlign w:val="center"/>
          </w:tcPr>
          <w:p>
            <w:pPr>
              <w:pStyle w:val="TableText"/>
            </w:pPr>
            <w:r>
              <w:t>model_output_schema_version=5.0; horizons 1-14; q10/q50/q90</w:t>
            </w:r>
          </w:p>
        </w:tc>
      </w:tr>
      <w:tr>
        <w:trPr>
          <w:cantSplit/>
        </w:trPr>
        <w:tc>
          <w:tcPr>
            <w:tcW w:w="3000" w:type="dxa"/>
            <w:vAlign w:val="center"/>
          </w:tcPr>
          <w:p>
            <w:pPr>
              <w:pStyle w:val="TableText"/>
            </w:pPr>
            <w:r>
              <w:t>Evaluation state</w:t>
            </w:r>
          </w:p>
        </w:tc>
        <w:tc>
          <w:tcPr>
            <w:tcW w:w="6360" w:type="dxa"/>
            <w:vAlign w:val="center"/>
          </w:tcPr>
          <w:p>
            <w:pPr>
              <w:pStyle w:val="TableText"/>
            </w:pPr>
            <w:r>
              <w:t>state=ready; split=test; exit code 0; test_unlocked=true</w:t>
            </w:r>
          </w:p>
        </w:tc>
      </w:tr>
      <w:tr>
        <w:trPr>
          <w:cantSplit/>
        </w:trPr>
        <w:tc>
          <w:tcPr>
            <w:tcW w:w="3000" w:type="dxa"/>
            <w:vAlign w:val="center"/>
          </w:tcPr>
          <w:p>
            <w:pPr>
              <w:pStyle w:val="TableText"/>
            </w:pPr>
            <w:r>
              <w:t>Training lifecycle</w:t>
            </w:r>
          </w:p>
        </w:tc>
        <w:tc>
          <w:tcPr>
            <w:tcW w:w="6360" w:type="dxa"/>
            <w:vAlign w:val="center"/>
          </w:tcPr>
          <w:p>
            <w:pPr>
              <w:pStyle w:val="TableText"/>
            </w:pPr>
            <w:r>
              <w:t>state=ready; exit code 1; timed_out=False; training_completed=True</w:t>
            </w:r>
          </w:p>
        </w:tc>
      </w:tr>
      <w:tr>
        <w:trPr>
          <w:cantSplit/>
        </w:trPr>
        <w:tc>
          <w:tcPr>
            <w:tcW w:w="3000" w:type="dxa"/>
            <w:vAlign w:val="center"/>
          </w:tcPr>
          <w:p>
            <w:pPr>
              <w:pStyle w:val="TableText"/>
            </w:pPr>
            <w:r>
              <w:t>Previous comparison</w:t>
            </w:r>
          </w:p>
        </w:tc>
        <w:tc>
          <w:tcPr>
            <w:tcW w:w="6360" w:type="dxa"/>
            <w:vAlign w:val="center"/>
          </w:tcPr>
          <w:p>
            <w:pPr>
              <w:pStyle w:val="TableText"/>
            </w:pPr>
            <w:r>
              <w:t>run-20260905T203327Z-270337978; validation score 0.314283044124755; split difference makes the comparison directional only</w:t>
            </w:r>
          </w:p>
        </w:tc>
      </w:tr>
      <w:tr>
        <w:trPr>
          <w:cantSplit/>
        </w:trPr>
        <w:tc>
          <w:tcPr>
            <w:tcW w:w="3000" w:type="dxa"/>
            <w:vAlign w:val="center"/>
          </w:tcPr>
          <w:p>
            <w:pPr>
              <w:pStyle w:val="TableText"/>
            </w:pPr>
            <w:r>
              <w:t>Dataset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Primary artifacts</w:t>
            </w:r>
          </w:p>
        </w:tc>
        <w:tc>
          <w:tcPr>
            <w:tcW w:w="6360" w:type="dxa"/>
            <w:vAlign w:val="center"/>
          </w:tcPr>
          <w:p>
            <w:pPr>
              <w:pStyle w:val="TableText"/>
            </w:pPr>
            <w:r>
              <w:t>best-checkpoint.json; checkpoint-leaderboard.json; training-result.json; validation-benchmark.json; resolved-config.yaml; run-manifest.json</w:t>
            </w:r>
          </w:p>
        </w:tc>
      </w:tr>
    </w:tbl>
    <w:p>
      <w:pPr>
        <w:pStyle w:val="Note"/>
      </w:pPr>
      <w:r>
        <w:t>All values come directly from this run's artifacts. This report did not retrain, resample, modify the metric guide, or change the test protocol; the test checkpoint was selected on validation.</w:t>
      </w:r>
    </w:p>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One to Fourteen Day Alpha Validation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Stage 2 Alpha Model Performance Evaluation | run-20260915T091153Z-918316277</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2</ns0:revision>
  <dcterms:created xsi:type="dcterms:W3CDTF">2026-07-17T00:00:00Z</dcterms:created>
  <dcterms:modified xsi:type="dcterms:W3CDTF">2026-09-17T00:00:00Z</dcterms:modified>
</ns0:coreProperties>
</file>