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Kicker"/>
      </w:pPr>
      <w:r>
        <w:t>模型效能評估報告</w:t>
      </w:r>
    </w:p>
    <w:p>
      <w:pPr>
        <w:pStyle w:val="ReportTitle"/>
      </w:pPr>
      <w:r>
        <w:t>1 至 14 日 Alpha 預測驗證</w:t>
      </w:r>
    </w:p>
    <w:p>
      <w:pPr>
        <w:pStyle w:val="1"/>
      </w:pPr>
      <w:r>
        <w:t>Stage 1｜run-20260903T140429Z-1247813592</w:t>
      </w:r>
    </w:p>
    <w:p>
      <w:pPr>
        <w:pStyle w:val="Metadata"/>
      </w:pPr>
      <w:r>
        <w:t>報告日期：2026-09-04</w:t>
      </w:r>
    </w:p>
    <w:p>
      <w:pPr>
        <w:pStyle w:val="Metadata"/>
      </w:pPr>
      <w:r>
        <w:t>最佳 checkpoint：checkpoint-003908（global step 3,908）</w:t>
      </w:r>
    </w:p>
    <w:p>
      <w:pPr>
        <w:pStyle w:val="Metadata"/>
      </w:pPr>
      <w:r>
        <w:t>選模資料：validation；test split 仍鎖定</w:t>
      </w:r>
    </w:p>
    <w:p>
      <w:pPr>
        <w:pStyle w:val="Lead"/>
      </w:pPr>
      <w:r>
        <w:t>結論：目前模型一次輸出 1 至 14 日預測，因此本報告以全部 14 個 horizon 為評估單位。Kronos 的全 horizon selection score 在 13 個模型中最低；逐 horizon 的 normalized pinball 有 13 個第一名、1 個第二名。14 個 horizon 的 RankIC 與成本後 Sharpe 均為正，但持有期越長，最大回撤整體越深。這支持進入 Stage 2，尚不支持部署或實盤交易。</w:t>
      </w:r>
    </w:p>
    <w:p>
      <w:pPr>
        <w:pStyle w:val="11"/>
      </w:pPr>
      <w:r>
        <w:t>1. 執行摘要</w:t>
      </w:r>
    </w:p>
    <w:p>
      <w:pPr>
        <w:pStyle w:val="21"/>
      </w:pPr>
      <w:r>
        <w:t>1.1 評估單位是全部 14 個 horizon</w:t>
      </w:r>
    </w:p>
    <w:p>
      <w:pPr>
        <w:pStyle w:val="a"/>
      </w:pPr>
      <w:r>
        <w:t>每筆樣本包含 14 組獨立的 q10、q50、q90，分別回答持有 1、2、一直到 14 個共同交易日後，相對 benchmark 的可能報酬分布。selection score 是 14 個 horizon 的 normalized pinball 等權平均；報告中的逐 horizon 表格則檢查模型是否只在少數天期表現好。</w:t>
      </w:r>
    </w:p>
    <w:p>
      <w:pPr>
        <w:pStyle w:val="Decision"/>
        <w:keepNext/>
        <w:spacing w:after="80"/>
      </w:pPr>
      <w:r>
        <w:t>表 1｜跨 1 至 14 日的核心結論</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評估面向</w:t>
            </w:r>
          </w:p>
        </w:tc>
        <w:tc>
          <w:tcPr>
            <w:tcW w:w="2800" w:type="dxa"/>
            <w:shd w:val="clear" w:fill="DCE6F1"/>
            <w:vAlign w:val="center"/>
          </w:tcPr>
          <w:p>
            <w:pPr>
              <w:pStyle w:val="TableHeader"/>
            </w:pPr>
            <w:r>
              <w:t>本次結果</w:t>
            </w:r>
          </w:p>
        </w:tc>
        <w:tc>
          <w:tcPr>
            <w:tcW w:w="3910" w:type="dxa"/>
            <w:shd w:val="clear" w:fill="DCE6F1"/>
            <w:vAlign w:val="center"/>
          </w:tcPr>
          <w:p>
            <w:pPr>
              <w:pStyle w:val="TableHeader"/>
            </w:pPr>
            <w:r>
              <w:t>正確解讀</w:t>
            </w:r>
          </w:p>
        </w:tc>
      </w:tr>
      <w:tr>
        <w:trPr>
          <w:cantSplit/>
        </w:trPr>
        <w:tc>
          <w:tcPr>
            <w:tcW w:w="2650" w:type="dxa"/>
            <w:vAlign w:val="center"/>
          </w:tcPr>
          <w:p>
            <w:pPr>
              <w:pStyle w:val="TableText"/>
            </w:pPr>
            <w:r>
              <w:t>全 horizon selection score</w:t>
            </w:r>
          </w:p>
        </w:tc>
        <w:tc>
          <w:tcPr>
            <w:tcW w:w="2800" w:type="dxa"/>
            <w:vAlign w:val="center"/>
          </w:tcPr>
          <w:p>
            <w:pPr>
              <w:pStyle w:val="TableNumber"/>
            </w:pPr>
            <w:r>
              <w:t>0.314759</w:t>
            </w:r>
          </w:p>
        </w:tc>
        <w:tc>
          <w:tcPr>
            <w:tcW w:w="3910" w:type="dxa"/>
            <w:vAlign w:val="center"/>
          </w:tcPr>
          <w:p>
            <w:pPr>
              <w:pStyle w:val="TableText"/>
            </w:pPr>
            <w:r>
              <w:t>13 模型第 1 名；14 個 horizon 等權</w:t>
            </w:r>
          </w:p>
        </w:tc>
      </w:tr>
      <w:tr>
        <w:trPr>
          <w:cantSplit/>
        </w:trPr>
        <w:tc>
          <w:tcPr>
            <w:tcW w:w="2650" w:type="dxa"/>
            <w:vAlign w:val="center"/>
          </w:tcPr>
          <w:p>
            <w:pPr>
              <w:pStyle w:val="TableText"/>
            </w:pPr>
            <w:r>
              <w:t>逐 horizon normalized pinball</w:t>
            </w:r>
          </w:p>
        </w:tc>
        <w:tc>
          <w:tcPr>
            <w:tcW w:w="2800" w:type="dxa"/>
            <w:vAlign w:val="center"/>
          </w:tcPr>
          <w:p>
            <w:pPr>
              <w:pStyle w:val="TableNumber"/>
            </w:pPr>
            <w:r>
              <w:t>第 1 名 13 個；第 2 名 1 個</w:t>
            </w:r>
          </w:p>
        </w:tc>
        <w:tc>
          <w:tcPr>
            <w:tcW w:w="3910" w:type="dxa"/>
            <w:vAlign w:val="center"/>
          </w:tcPr>
          <w:p>
            <w:pPr>
              <w:pStyle w:val="TableText"/>
            </w:pPr>
            <w:r>
              <w:t>1 日第 2，其餘 2 至 14 日皆第 1</w:t>
            </w:r>
          </w:p>
        </w:tc>
      </w:tr>
      <w:tr>
        <w:trPr>
          <w:cantSplit/>
        </w:trPr>
        <w:tc>
          <w:tcPr>
            <w:tcW w:w="2650" w:type="dxa"/>
            <w:vAlign w:val="center"/>
          </w:tcPr>
          <w:p>
            <w:pPr>
              <w:pStyle w:val="TableText"/>
            </w:pPr>
            <w:r>
              <w:t>q50 Pearson correlation</w:t>
            </w:r>
          </w:p>
        </w:tc>
        <w:tc>
          <w:tcPr>
            <w:tcW w:w="2800" w:type="dxa"/>
            <w:vAlign w:val="center"/>
          </w:tcPr>
          <w:p>
            <w:pPr>
              <w:pStyle w:val="TableNumber"/>
            </w:pPr>
            <w:r>
              <w:t>14／14 為正；0.0507 至 0.1065</w:t>
            </w:r>
          </w:p>
        </w:tc>
        <w:tc>
          <w:tcPr>
            <w:tcW w:w="3910" w:type="dxa"/>
            <w:vAlign w:val="center"/>
          </w:tcPr>
          <w:p>
            <w:pPr>
              <w:pStyle w:val="TableText"/>
            </w:pPr>
            <w:r>
              <w:t>較長 horizon 整體較高，但仍屬弱相關</w:t>
            </w:r>
          </w:p>
        </w:tc>
      </w:tr>
      <w:tr>
        <w:trPr>
          <w:cantSplit/>
        </w:trPr>
        <w:tc>
          <w:tcPr>
            <w:tcW w:w="2650" w:type="dxa"/>
            <w:vAlign w:val="center"/>
          </w:tcPr>
          <w:p>
            <w:pPr>
              <w:pStyle w:val="TableText"/>
            </w:pPr>
            <w:r>
              <w:t>方向一致率</w:t>
            </w:r>
          </w:p>
        </w:tc>
        <w:tc>
          <w:tcPr>
            <w:tcW w:w="2800" w:type="dxa"/>
            <w:vAlign w:val="center"/>
          </w:tcPr>
          <w:p>
            <w:pPr>
              <w:pStyle w:val="TableNumber"/>
            </w:pPr>
            <w:r>
              <w:t>49.40% 至 56.29%</w:t>
            </w:r>
          </w:p>
        </w:tc>
        <w:tc>
          <w:tcPr>
            <w:tcW w:w="3910" w:type="dxa"/>
            <w:vAlign w:val="center"/>
          </w:tcPr>
          <w:p>
            <w:pPr>
              <w:pStyle w:val="TableText"/>
            </w:pPr>
            <w:r>
              <w:t>13／14 高於 50%；1 日為 49.40%</w:t>
            </w:r>
          </w:p>
        </w:tc>
      </w:tr>
      <w:tr>
        <w:trPr>
          <w:cantSplit/>
        </w:trPr>
        <w:tc>
          <w:tcPr>
            <w:tcW w:w="2650" w:type="dxa"/>
            <w:vAlign w:val="center"/>
          </w:tcPr>
          <w:p>
            <w:pPr>
              <w:pStyle w:val="TableText"/>
            </w:pPr>
            <w:r>
              <w:t>q10 至 q90 coverage</w:t>
            </w:r>
          </w:p>
        </w:tc>
        <w:tc>
          <w:tcPr>
            <w:tcW w:w="2800" w:type="dxa"/>
            <w:vAlign w:val="center"/>
          </w:tcPr>
          <w:p>
            <w:pPr>
              <w:pStyle w:val="TableNumber"/>
            </w:pPr>
            <w:r>
              <w:t>76.05% 至 83.59%</w:t>
            </w:r>
          </w:p>
        </w:tc>
        <w:tc>
          <w:tcPr>
            <w:tcW w:w="3910" w:type="dxa"/>
            <w:vAlign w:val="center"/>
          </w:tcPr>
          <w:p>
            <w:pPr>
              <w:pStyle w:val="TableText"/>
            </w:pPr>
            <w:r>
              <w:t>短 horizon 偏高；長 horizon 多低於名目 80%</w:t>
            </w:r>
          </w:p>
        </w:tc>
      </w:tr>
      <w:tr>
        <w:trPr>
          <w:cantSplit/>
        </w:trPr>
        <w:tc>
          <w:tcPr>
            <w:tcW w:w="2650" w:type="dxa"/>
            <w:vAlign w:val="center"/>
          </w:tcPr>
          <w:p>
            <w:pPr>
              <w:pStyle w:val="TableText"/>
            </w:pPr>
            <w:r>
              <w:t>RankIC</w:t>
            </w:r>
          </w:p>
        </w:tc>
        <w:tc>
          <w:tcPr>
            <w:tcW w:w="2800" w:type="dxa"/>
            <w:vAlign w:val="center"/>
          </w:tcPr>
          <w:p>
            <w:pPr>
              <w:pStyle w:val="TableNumber"/>
            </w:pPr>
            <w:r>
              <w:t>14／14 為正；第 1 名 9 個</w:t>
            </w:r>
          </w:p>
        </w:tc>
        <w:tc>
          <w:tcPr>
            <w:tcW w:w="3910" w:type="dxa"/>
            <w:vAlign w:val="center"/>
          </w:tcPr>
          <w:p>
            <w:pPr>
              <w:pStyle w:val="TableText"/>
            </w:pPr>
            <w:r>
              <w:t>第 2 名 2 個；第 3 名 3 個</w:t>
            </w:r>
          </w:p>
        </w:tc>
      </w:tr>
      <w:tr>
        <w:trPr>
          <w:cantSplit/>
        </w:trPr>
        <w:tc>
          <w:tcPr>
            <w:tcW w:w="2650" w:type="dxa"/>
            <w:vAlign w:val="center"/>
          </w:tcPr>
          <w:p>
            <w:pPr>
              <w:pStyle w:val="TableText"/>
            </w:pPr>
            <w:r>
              <w:t>成本後 Sharpe</w:t>
            </w:r>
          </w:p>
        </w:tc>
        <w:tc>
          <w:tcPr>
            <w:tcW w:w="2800" w:type="dxa"/>
            <w:vAlign w:val="center"/>
          </w:tcPr>
          <w:p>
            <w:pPr>
              <w:pStyle w:val="TableNumber"/>
            </w:pPr>
            <w:r>
              <w:t>14／14 為正；第 1 名 10 個</w:t>
            </w:r>
          </w:p>
        </w:tc>
        <w:tc>
          <w:tcPr>
            <w:tcW w:w="3910" w:type="dxa"/>
            <w:vAlign w:val="center"/>
          </w:tcPr>
          <w:p>
            <w:pPr>
              <w:pStyle w:val="TableText"/>
            </w:pPr>
            <w:r>
              <w:t>第 2 名 3 個；第 3 名 1 個</w:t>
            </w:r>
          </w:p>
        </w:tc>
      </w:tr>
      <w:tr>
        <w:trPr>
          <w:cantSplit/>
        </w:trPr>
        <w:tc>
          <w:tcPr>
            <w:tcW w:w="2650" w:type="dxa"/>
            <w:vAlign w:val="center"/>
          </w:tcPr>
          <w:p>
            <w:pPr>
              <w:pStyle w:val="TableText"/>
            </w:pPr>
            <w:r>
              <w:t>最大回撤</w:t>
            </w:r>
          </w:p>
        </w:tc>
        <w:tc>
          <w:tcPr>
            <w:tcW w:w="2800" w:type="dxa"/>
            <w:vAlign w:val="center"/>
          </w:tcPr>
          <w:p>
            <w:pPr>
              <w:pStyle w:val="TableNumber"/>
            </w:pPr>
            <w:r>
              <w:t>-15.44% 至 -66.71%</w:t>
            </w:r>
          </w:p>
        </w:tc>
        <w:tc>
          <w:tcPr>
            <w:tcW w:w="3910" w:type="dxa"/>
            <w:vAlign w:val="center"/>
          </w:tcPr>
          <w:p>
            <w:pPr>
              <w:pStyle w:val="TableText"/>
            </w:pPr>
            <w:r>
              <w:t>跨模型排名介於第 4 至第 7；長 horizon 風險明顯增加</w:t>
            </w:r>
          </w:p>
        </w:tc>
      </w:tr>
    </w:tbl>
    <w:p>
      <w:pPr>
        <w:pStyle w:val="21"/>
      </w:pPr>
      <w:r>
        <w:t>1.2 決策與證據強度</w:t>
      </w:r>
    </w:p>
    <w:p>
      <w:pPr>
        <w:pStyle w:val="a"/>
      </w:pPr>
      <w:r>
        <w:t>Kronos 的全 horizon score 為 0.314759，相較第二名 GRU 的 0.336588 低 6.49%，相較 zero-return baseline 的 0.363115 低 13.32%。逐 horizon 來看，Kronos 相較 GRU 的 normalized pinball 改善從 1 日的 0.38% 擴大到 13 日的 12.17%；相較 zero-return baseline，14 個 horizon 全部較低。</w:t>
      </w:r>
    </w:p>
    <w:p>
      <w:pPr>
        <w:pStyle w:val="Decision"/>
      </w:pPr>
      <w:r>
        <w:t>決策：通過 Stage 1；批准進入全量 Stage 2 實驗，不批准部署。</w:t>
      </w:r>
    </w:p>
    <w:p>
      <w:pPr>
        <w:pStyle w:val="Note"/>
      </w:pPr>
      <w:r>
        <w:t>selection score 衡量 14 個 horizon 的分布誤差。它不是報酬率、勝率或可交易性分數。</w:t>
      </w:r>
    </w:p>
    <w:p>
      <w:pPr>
        <w:pStyle w:val="11"/>
      </w:pPr>
      <w:r>
        <w:t>2. 驗證設計與證據邊界</w:t>
      </w:r>
    </w:p>
    <w:p>
      <w:pPr>
        <w:pStyle w:val="21"/>
      </w:pPr>
      <w:r>
        <w:t>2.1 資料與切分</w:t>
      </w:r>
    </w:p>
    <w:p>
      <w:pPr>
        <w:pStyle w:val="a"/>
      </w:pPr>
      <w:r>
        <w:t>資料 profile 為 us_tw_eodhd，來源包含 EODHD 美國資料、TPEx 官方資料與 TWSE 官方資料。所有模型使用相同 chronological split、benchmark mapping、cutoff-inclusive input context 與 entry／exit timestamps。</w:t>
      </w:r>
    </w:p>
    <w:p>
      <w:pPr>
        <w:pStyle w:val="Decision"/>
        <w:keepNext/>
        <w:spacing w:after="80"/>
      </w:pPr>
      <w:r>
        <w:t>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完整 train split</w:t>
            </w:r>
          </w:p>
        </w:tc>
        <w:tc>
          <w:tcPr>
            <w:tcW w:w="2050" w:type="dxa"/>
            <w:vAlign w:val="center"/>
          </w:tcPr>
          <w:p>
            <w:pPr>
              <w:pStyle w:val="TableNumber"/>
            </w:pPr>
            <w:r>
              <w:t>12,365,351</w:t>
            </w:r>
          </w:p>
        </w:tc>
        <w:tc>
          <w:tcPr>
            <w:tcW w:w="4510" w:type="dxa"/>
            <w:vAlign w:val="center"/>
          </w:tcPr>
          <w:p>
            <w:pPr>
              <w:pStyle w:val="TableText"/>
            </w:pPr>
            <w:r>
              <w:t>Stage 1 每個 epoch 使用確定性 5% 子集，上限 500,000 筆</w:t>
            </w:r>
          </w:p>
        </w:tc>
      </w:tr>
      <w:tr>
        <w:trPr>
          <w:cantSplit/>
        </w:trPr>
        <w:tc>
          <w:tcPr>
            <w:tcW w:w="2800" w:type="dxa"/>
            <w:vAlign w:val="center"/>
          </w:tcPr>
          <w:p>
            <w:pPr>
              <w:pStyle w:val="TableText"/>
            </w:pPr>
            <w:r>
              <w:t>完整 validation split</w:t>
            </w:r>
          </w:p>
        </w:tc>
        <w:tc>
          <w:tcPr>
            <w:tcW w:w="2050" w:type="dxa"/>
            <w:vAlign w:val="center"/>
          </w:tcPr>
          <w:p>
            <w:pPr>
              <w:pStyle w:val="TableNumber"/>
            </w:pPr>
            <w:r>
              <w:t>1,704,618</w:t>
            </w:r>
          </w:p>
        </w:tc>
        <w:tc>
          <w:tcPr>
            <w:tcW w:w="4510" w:type="dxa"/>
            <w:vAlign w:val="center"/>
          </w:tcPr>
          <w:p>
            <w:pPr>
              <w:pStyle w:val="TableText"/>
            </w:pPr>
            <w:r>
              <w:t>本次 benchmark 確定性限量 20,000 筆</w:t>
            </w:r>
          </w:p>
        </w:tc>
      </w:tr>
      <w:tr>
        <w:trPr>
          <w:cantSplit/>
        </w:trPr>
        <w:tc>
          <w:tcPr>
            <w:tcW w:w="2800" w:type="dxa"/>
            <w:vAlign w:val="center"/>
          </w:tcPr>
          <w:p>
            <w:pPr>
              <w:pStyle w:val="TableText"/>
            </w:pPr>
            <w:r>
              <w:t>完整 test split</w:t>
            </w:r>
          </w:p>
        </w:tc>
        <w:tc>
          <w:tcPr>
            <w:tcW w:w="2050" w:type="dxa"/>
            <w:vAlign w:val="center"/>
          </w:tcPr>
          <w:p>
            <w:pPr>
              <w:pStyle w:val="TableNumber"/>
            </w:pPr>
            <w:r>
              <w:t>1,946,115</w:t>
            </w:r>
          </w:p>
        </w:tc>
        <w:tc>
          <w:tcPr>
            <w:tcW w:w="4510" w:type="dxa"/>
            <w:vAlign w:val="center"/>
          </w:tcPr>
          <w:p>
            <w:pPr>
              <w:pStyle w:val="TableText"/>
            </w:pPr>
            <w:r>
              <w:t>只記錄筆數；test_unlocked=false，沒有評分</w:t>
            </w:r>
          </w:p>
        </w:tc>
      </w:tr>
      <w:tr>
        <w:trPr>
          <w:cantSplit/>
        </w:trPr>
        <w:tc>
          <w:tcPr>
            <w:tcW w:w="2800" w:type="dxa"/>
            <w:vAlign w:val="center"/>
          </w:tcPr>
          <w:p>
            <w:pPr>
              <w:pStyle w:val="TableText"/>
            </w:pPr>
            <w:r>
              <w:t>每個 horizon 的 validation 樣本</w:t>
            </w:r>
          </w:p>
        </w:tc>
        <w:tc>
          <w:tcPr>
            <w:tcW w:w="2050" w:type="dxa"/>
            <w:vAlign w:val="center"/>
          </w:tcPr>
          <w:p>
            <w:pPr>
              <w:pStyle w:val="TableNumber"/>
            </w:pPr>
            <w:r>
              <w:t>20,000</w:t>
            </w:r>
          </w:p>
        </w:tc>
        <w:tc>
          <w:tcPr>
            <w:tcW w:w="4510" w:type="dxa"/>
            <w:vAlign w:val="center"/>
          </w:tcPr>
          <w:p>
            <w:pPr>
              <w:pStyle w:val="TableText"/>
            </w:pPr>
            <w:r>
              <w:t>1 至 14 日皆使用同一批次規模</w:t>
            </w:r>
          </w:p>
        </w:tc>
      </w:tr>
      <w:tr>
        <w:trPr>
          <w:cantSplit/>
        </w:trPr>
        <w:tc>
          <w:tcPr>
            <w:tcW w:w="2800" w:type="dxa"/>
            <w:vAlign w:val="center"/>
          </w:tcPr>
          <w:p>
            <w:pPr>
              <w:pStyle w:val="TableText"/>
            </w:pPr>
            <w:r>
              <w:t>橫斷面日期</w:t>
            </w:r>
          </w:p>
        </w:tc>
        <w:tc>
          <w:tcPr>
            <w:tcW w:w="2050" w:type="dxa"/>
            <w:vAlign w:val="center"/>
          </w:tcPr>
          <w:p>
            <w:pPr>
              <w:pStyle w:val="TableNumber"/>
            </w:pPr>
            <w:r>
              <w:t>155</w:t>
            </w:r>
          </w:p>
        </w:tc>
        <w:tc>
          <w:tcPr>
            <w:tcW w:w="4510" w:type="dxa"/>
            <w:vAlign w:val="center"/>
          </w:tcPr>
          <w:p>
            <w:pPr>
              <w:pStyle w:val="TableText"/>
            </w:pPr>
            <w:r>
              <w:t>每個 horizon 都由 155 個有效日期彙總</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單一 seed，尚未量測隨機波動</w:t>
            </w:r>
          </w:p>
        </w:tc>
      </w:tr>
    </w:tbl>
    <w:p>
      <w:pPr>
        <w:pStyle w:val="a"/>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return)。它回答的是『這檔股票在同一段持有期間，相對大盤多賺或少賺多少』，不是股票估值、目標價或單獨的股價漲跌。若 q=0.05，精確的相對 gross ratio 是 exp(0.05)-1=5.13%；數值很小時可近似理解為優於 benchmark 約 5%。</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的結果可能比它更低、約 90% 可能更高；不是『下跌機率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一半結果可能較低、一半可能較高；用作點預測、方向與排序訊號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的結果可能比它低、約 10% 可能更高；不是保證上限</w:t>
            </w:r>
          </w:p>
        </w:tc>
      </w:tr>
    </w:tbl>
    <w:p>
      <w:pPr>
        <w:pStyle w:val="21"/>
      </w:pPr>
      <w:r>
        <w:t>3.2 三種股票情境</w:t>
      </w:r>
    </w:p>
    <w:p>
      <w:pPr>
        <w:pStyle w:val="Decision"/>
        <w:keepNext/>
        <w:spacing w:after="80"/>
      </w:pPr>
      <w:r>
        <w:t>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連偏悲觀的 q10 都大於 0；模型認為從悲觀到樂觀情境都優於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連偏樂觀的 q90 都小於 0；模型認為整段情境都落後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中間情境接近持平或略輸，但樂觀尾端很高；代表區間很寬、上行尾部大，不代表有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看多，但 q10 仍小於 0；典型結果可能贏大盤，悲觀情境仍可能輸</w:t>
            </w:r>
          </w:p>
        </w:tc>
      </w:tr>
    </w:tbl>
    <w:p>
      <w:pPr>
        <w:pStyle w:val="Note"/>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q50，再以兩個正值距離形成 q10=q50-lower_gap 與 q90=q50+upper_gap，因此結構上維持 q10≤q50≤q90。bullish、bearish 與 strong signal 都是後處理標籤，不是分類器輸出。primary_5d/selection_score 只是 checkpoint monitor 的舊相容路徑；它的值仍是 1 至 14 日 normalized pinball 的平均，本報告不把它當成 5 日主指標。</w:t>
      </w:r>
    </w:p>
    <w:p>
      <w:pPr>
        <w:pStyle w:val="11"/>
      </w:pPr>
      <w:r>
        <w:t>4. 訓練完成度與 checkpoint</w:t>
      </w:r>
    </w:p>
    <w:p>
      <w:pPr>
        <w:pStyle w:val="21"/>
      </w:pPr>
      <w:r>
        <w:t>4.1 執行狀態</w:t>
      </w:r>
    </w:p>
    <w:p>
      <w:pPr>
        <w:pStyle w:val="Decision"/>
        <w:keepNext/>
        <w:spacing w:after="80"/>
      </w:pPr>
      <w:r>
        <w:t>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訓練狀態</w:t>
            </w:r>
          </w:p>
        </w:tc>
        <w:tc>
          <w:tcPr>
            <w:tcW w:w="6260" w:type="dxa"/>
            <w:vAlign w:val="center"/>
          </w:tcPr>
          <w:p>
            <w:pPr>
              <w:pStyle w:val="TableText"/>
            </w:pPr>
            <w:r>
              <w:t>completed；exit code 0；未逾時</w:t>
            </w:r>
          </w:p>
        </w:tc>
      </w:tr>
      <w:tr>
        <w:trPr>
          <w:cantSplit/>
        </w:trPr>
        <w:tc>
          <w:tcPr>
            <w:tcW w:w="3100" w:type="dxa"/>
            <w:vAlign w:val="center"/>
          </w:tcPr>
          <w:p>
            <w:pPr>
              <w:pStyle w:val="TableText"/>
            </w:pPr>
            <w:r>
              <w:t>epoch 與 global step</w:t>
            </w:r>
          </w:p>
        </w:tc>
        <w:tc>
          <w:tcPr>
            <w:tcW w:w="6260" w:type="dxa"/>
            <w:vAlign w:val="center"/>
          </w:tcPr>
          <w:p>
            <w:pPr>
              <w:pStyle w:val="TableText"/>
            </w:pPr>
            <w:r>
              <w:t>2.0 epochs；3,908 steps</w:t>
            </w:r>
          </w:p>
        </w:tc>
      </w:tr>
      <w:tr>
        <w:trPr>
          <w:cantSplit/>
        </w:trPr>
        <w:tc>
          <w:tcPr>
            <w:tcW w:w="3100" w:type="dxa"/>
            <w:vAlign w:val="center"/>
          </w:tcPr>
          <w:p>
            <w:pPr>
              <w:pStyle w:val="TableText"/>
            </w:pPr>
            <w:r>
              <w:t>處理訓練樣本</w:t>
            </w:r>
          </w:p>
        </w:tc>
        <w:tc>
          <w:tcPr>
            <w:tcW w:w="6260" w:type="dxa"/>
            <w:vAlign w:val="center"/>
          </w:tcPr>
          <w:p>
            <w:pPr>
              <w:pStyle w:val="TableText"/>
            </w:pPr>
            <w:r>
              <w:t>1,000,000；每 epoch 500,000</w:t>
            </w:r>
          </w:p>
        </w:tc>
      </w:tr>
      <w:tr>
        <w:trPr>
          <w:cantSplit/>
        </w:trPr>
        <w:tc>
          <w:tcPr>
            <w:tcW w:w="3100" w:type="dxa"/>
            <w:vAlign w:val="center"/>
          </w:tcPr>
          <w:p>
            <w:pPr>
              <w:pStyle w:val="TableText"/>
            </w:pPr>
            <w:r>
              <w:t>validation 次數</w:t>
            </w:r>
          </w:p>
        </w:tc>
        <w:tc>
          <w:tcPr>
            <w:tcW w:w="6260" w:type="dxa"/>
            <w:vAlign w:val="center"/>
          </w:tcPr>
          <w:p>
            <w:pPr>
              <w:pStyle w:val="TableText"/>
            </w:pPr>
            <w:r>
              <w:t>10</w:t>
            </w:r>
          </w:p>
        </w:tc>
      </w:tr>
      <w:tr>
        <w:trPr>
          <w:cantSplit/>
        </w:trPr>
        <w:tc>
          <w:tcPr>
            <w:tcW w:w="3100" w:type="dxa"/>
            <w:vAlign w:val="center"/>
          </w:tcPr>
          <w:p>
            <w:pPr>
              <w:pStyle w:val="TableText"/>
            </w:pPr>
            <w:r>
              <w:t>停止原因</w:t>
            </w:r>
          </w:p>
        </w:tc>
        <w:tc>
          <w:tcPr>
            <w:tcW w:w="6260" w:type="dxa"/>
            <w:vAlign w:val="center"/>
          </w:tcPr>
          <w:p>
            <w:pPr>
              <w:pStyle w:val="TableText"/>
            </w:pPr>
            <w:r>
              <w:t>epochs_completed；未觸發 early stopping</w:t>
            </w:r>
          </w:p>
        </w:tc>
      </w:tr>
      <w:tr>
        <w:trPr>
          <w:cantSplit/>
        </w:trPr>
        <w:tc>
          <w:tcPr>
            <w:tcW w:w="3100" w:type="dxa"/>
            <w:vAlign w:val="center"/>
          </w:tcPr>
          <w:p>
            <w:pPr>
              <w:pStyle w:val="TableText"/>
            </w:pPr>
            <w:r>
              <w:t>模型</w:t>
            </w:r>
          </w:p>
        </w:tc>
        <w:tc>
          <w:tcPr>
            <w:tcW w:w="6260" w:type="dxa"/>
            <w:vAlign w:val="center"/>
          </w:tcPr>
          <w:p>
            <w:pPr>
              <w:pStyle w:val="TableText"/>
            </w:pPr>
            <w:r>
              <w:t>Kronos-base + LoRA；shared causal resampler；benchmark conditioner；alpha head</w:t>
            </w:r>
          </w:p>
        </w:tc>
      </w:tr>
      <w:tr>
        <w:trPr>
          <w:cantSplit/>
        </w:trPr>
        <w:tc>
          <w:tcPr>
            <w:tcW w:w="3100" w:type="dxa"/>
            <w:vAlign w:val="center"/>
          </w:tcPr>
          <w:p>
            <w:pPr>
              <w:pStyle w:val="TableText"/>
            </w:pPr>
            <w:r>
              <w:t>硬體與精度</w:t>
            </w:r>
          </w:p>
        </w:tc>
        <w:tc>
          <w:tcPr>
            <w:tcW w:w="6260" w:type="dxa"/>
            <w:vAlign w:val="center"/>
          </w:tcPr>
          <w:p>
            <w:pPr>
              <w:pStyle w:val="TableText"/>
            </w:pPr>
            <w:r>
              <w:t>NVIDIA GeForce RTX 5090；bfloat16</w:t>
            </w:r>
          </w:p>
        </w:tc>
      </w:tr>
    </w:tbl>
    <w:p>
      <w:pPr>
        <w:pStyle w:val="21"/>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checkpoint-003908</w:t>
            </w:r>
          </w:p>
        </w:tc>
        <w:tc>
          <w:tcPr>
            <w:tcW w:w="1800" w:type="dxa"/>
            <w:shd w:val="clear" w:fill="EDF5FC"/>
            <w:vAlign w:val="center"/>
          </w:tcPr>
          <w:p>
            <w:pPr>
              <w:pStyle w:val="TableNumber"/>
            </w:pPr>
            <w:r>
              <w:t>3,908</w:t>
            </w:r>
          </w:p>
        </w:tc>
        <w:tc>
          <w:tcPr>
            <w:tcW w:w="3560" w:type="dxa"/>
            <w:shd w:val="clear" w:fill="EDF5FC"/>
            <w:vAlign w:val="center"/>
          </w:tcPr>
          <w:p>
            <w:pPr>
              <w:pStyle w:val="TableNumber"/>
            </w:pPr>
            <w:r>
              <w:t>0.314759</w:t>
            </w:r>
          </w:p>
        </w:tc>
      </w:tr>
      <w:tr>
        <w:trPr>
          <w:cantSplit/>
        </w:trPr>
        <w:tc>
          <w:tcPr>
            <w:tcW w:w="900" w:type="dxa"/>
            <w:vAlign w:val="center"/>
          </w:tcPr>
          <w:p>
            <w:pPr>
              <w:pStyle w:val="TableNumber"/>
            </w:pPr>
            <w:r>
              <w:t>2</w:t>
            </w:r>
          </w:p>
        </w:tc>
        <w:tc>
          <w:tcPr>
            <w:tcW w:w="3100" w:type="dxa"/>
            <w:vAlign w:val="center"/>
          </w:tcPr>
          <w:p>
            <w:pPr>
              <w:pStyle w:val="TableText"/>
            </w:pPr>
            <w:r>
              <w:t>checkpoint-003518</w:t>
            </w:r>
          </w:p>
        </w:tc>
        <w:tc>
          <w:tcPr>
            <w:tcW w:w="1800" w:type="dxa"/>
            <w:vAlign w:val="center"/>
          </w:tcPr>
          <w:p>
            <w:pPr>
              <w:pStyle w:val="TableNumber"/>
            </w:pPr>
            <w:r>
              <w:t>3,518</w:t>
            </w:r>
          </w:p>
        </w:tc>
        <w:tc>
          <w:tcPr>
            <w:tcW w:w="3560" w:type="dxa"/>
            <w:vAlign w:val="center"/>
          </w:tcPr>
          <w:p>
            <w:pPr>
              <w:pStyle w:val="TableNumber"/>
            </w:pPr>
            <w:r>
              <w:t>0.314827</w:t>
            </w:r>
          </w:p>
        </w:tc>
      </w:tr>
      <w:tr>
        <w:trPr>
          <w:cantSplit/>
        </w:trPr>
        <w:tc>
          <w:tcPr>
            <w:tcW w:w="900" w:type="dxa"/>
            <w:vAlign w:val="center"/>
          </w:tcPr>
          <w:p>
            <w:pPr>
              <w:pStyle w:val="TableNumber"/>
            </w:pPr>
            <w:r>
              <w:t>3</w:t>
            </w:r>
          </w:p>
        </w:tc>
        <w:tc>
          <w:tcPr>
            <w:tcW w:w="3100" w:type="dxa"/>
            <w:vAlign w:val="center"/>
          </w:tcPr>
          <w:p>
            <w:pPr>
              <w:pStyle w:val="TableText"/>
            </w:pPr>
            <w:r>
              <w:t>checkpoint-003127</w:t>
            </w:r>
          </w:p>
        </w:tc>
        <w:tc>
          <w:tcPr>
            <w:tcW w:w="1800" w:type="dxa"/>
            <w:vAlign w:val="center"/>
          </w:tcPr>
          <w:p>
            <w:pPr>
              <w:pStyle w:val="TableNumber"/>
            </w:pPr>
            <w:r>
              <w:t>3,127</w:t>
            </w:r>
          </w:p>
        </w:tc>
        <w:tc>
          <w:tcPr>
            <w:tcW w:w="3560" w:type="dxa"/>
            <w:vAlign w:val="center"/>
          </w:tcPr>
          <w:p>
            <w:pPr>
              <w:pStyle w:val="TableNumber"/>
            </w:pPr>
            <w:r>
              <w:t>0.316034</w:t>
            </w:r>
          </w:p>
        </w:tc>
      </w:tr>
      <w:tr>
        <w:trPr>
          <w:cantSplit/>
        </w:trPr>
        <w:tc>
          <w:tcPr>
            <w:tcW w:w="900" w:type="dxa"/>
            <w:vAlign w:val="center"/>
          </w:tcPr>
          <w:p>
            <w:pPr>
              <w:pStyle w:val="TableNumber"/>
            </w:pPr>
            <w:r>
              <w:t>4</w:t>
            </w:r>
          </w:p>
        </w:tc>
        <w:tc>
          <w:tcPr>
            <w:tcW w:w="3100" w:type="dxa"/>
            <w:vAlign w:val="center"/>
          </w:tcPr>
          <w:p>
            <w:pPr>
              <w:pStyle w:val="TableText"/>
            </w:pPr>
            <w:r>
              <w:t>checkpoint-002736</w:t>
            </w:r>
          </w:p>
        </w:tc>
        <w:tc>
          <w:tcPr>
            <w:tcW w:w="1800" w:type="dxa"/>
            <w:vAlign w:val="center"/>
          </w:tcPr>
          <w:p>
            <w:pPr>
              <w:pStyle w:val="TableNumber"/>
            </w:pPr>
            <w:r>
              <w:t>2,736</w:t>
            </w:r>
          </w:p>
        </w:tc>
        <w:tc>
          <w:tcPr>
            <w:tcW w:w="3560" w:type="dxa"/>
            <w:vAlign w:val="center"/>
          </w:tcPr>
          <w:p>
            <w:pPr>
              <w:pStyle w:val="TableNumber"/>
            </w:pPr>
            <w:r>
              <w:t>0.316307</w:t>
            </w:r>
          </w:p>
        </w:tc>
      </w:tr>
      <w:tr>
        <w:trPr>
          <w:cantSplit/>
        </w:trPr>
        <w:tc>
          <w:tcPr>
            <w:tcW w:w="900" w:type="dxa"/>
            <w:vAlign w:val="center"/>
          </w:tcPr>
          <w:p>
            <w:pPr>
              <w:pStyle w:val="TableNumber"/>
            </w:pPr>
            <w:r>
              <w:t>5</w:t>
            </w:r>
          </w:p>
        </w:tc>
        <w:tc>
          <w:tcPr>
            <w:tcW w:w="3100" w:type="dxa"/>
            <w:vAlign w:val="center"/>
          </w:tcPr>
          <w:p>
            <w:pPr>
              <w:pStyle w:val="TableText"/>
            </w:pPr>
            <w:r>
              <w:t>checkpoint-002345</w:t>
            </w:r>
          </w:p>
        </w:tc>
        <w:tc>
          <w:tcPr>
            <w:tcW w:w="1800" w:type="dxa"/>
            <w:vAlign w:val="center"/>
          </w:tcPr>
          <w:p>
            <w:pPr>
              <w:pStyle w:val="TableNumber"/>
            </w:pPr>
            <w:r>
              <w:t>2,345</w:t>
            </w:r>
          </w:p>
        </w:tc>
        <w:tc>
          <w:tcPr>
            <w:tcW w:w="3560" w:type="dxa"/>
            <w:vAlign w:val="center"/>
          </w:tcPr>
          <w:p>
            <w:pPr>
              <w:pStyle w:val="TableNumber"/>
            </w:pPr>
            <w:r>
              <w:t>0.322441</w:t>
            </w:r>
          </w:p>
        </w:tc>
      </w:tr>
    </w:tbl>
    <w:p>
      <w:pPr>
        <w:pStyle w:val="a"/>
      </w:pPr>
      <w:r>
        <w:t>checkpoint-003908 的 score 為 0.314759，僅比 checkpoint-003518 的 0.314827 再低約 0.0215%。後段改善很小，顯示接近平臺；是否過度擬合仍需多 seed、Stage 2 與一次性 test 驗證。</w:t>
      </w:r>
    </w:p>
    <w:p>
      <w:pPr>
        <w:pStyle w:val="11"/>
      </w:pPr>
      <w:r>
        <w:t>5. 十三個模型的全 horizon 比較</w:t>
      </w:r>
    </w:p>
    <w:p>
      <w:pPr>
        <w:pStyle w:val="Decision"/>
        <w:keepNext/>
        <w:spacing w:after="80"/>
      </w:pPr>
      <w:r>
        <w:t>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1至14日 score</w:t>
            </w:r>
          </w:p>
        </w:tc>
        <w:tc>
          <w:tcPr>
            <w:tcW w:w="1330" w:type="dxa"/>
            <w:shd w:val="clear" w:fill="DCE6F1"/>
            <w:vAlign w:val="center"/>
          </w:tcPr>
          <w:p>
            <w:pPr>
              <w:pStyle w:val="TableHeader"/>
            </w:pPr>
            <w:r>
              <w:t>1日</w:t>
            </w:r>
          </w:p>
        </w:tc>
        <w:tc>
          <w:tcPr>
            <w:tcW w:w="1330" w:type="dxa"/>
            <w:shd w:val="clear" w:fill="DCE6F1"/>
            <w:vAlign w:val="center"/>
          </w:tcPr>
          <w:p>
            <w:pPr>
              <w:pStyle w:val="TableHeader"/>
            </w:pPr>
            <w:r>
              <w:t>7日</w:t>
            </w:r>
          </w:p>
        </w:tc>
        <w:tc>
          <w:tcPr>
            <w:tcW w:w="1350" w:type="dxa"/>
            <w:shd w:val="clear" w:fill="DCE6F1"/>
            <w:vAlign w:val="center"/>
          </w:tcPr>
          <w:p>
            <w:pPr>
              <w:pStyle w:val="TableHeader"/>
            </w:pPr>
            <w:r>
              <w:t>14日</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0.314759</w:t>
            </w:r>
          </w:p>
        </w:tc>
        <w:tc>
          <w:tcPr>
            <w:tcW w:w="1330" w:type="dxa"/>
            <w:shd w:val="clear" w:fill="EDF5FC"/>
            <w:vAlign w:val="center"/>
          </w:tcPr>
          <w:p>
            <w:pPr>
              <w:pStyle w:val="TableNumber"/>
            </w:pPr>
            <w:r>
              <w:t>0.3748</w:t>
            </w:r>
          </w:p>
        </w:tc>
        <w:tc>
          <w:tcPr>
            <w:tcW w:w="1330" w:type="dxa"/>
            <w:shd w:val="clear" w:fill="EDF5FC"/>
            <w:vAlign w:val="center"/>
          </w:tcPr>
          <w:p>
            <w:pPr>
              <w:pStyle w:val="TableNumber"/>
            </w:pPr>
            <w:r>
              <w:t>0.3117</w:t>
            </w:r>
          </w:p>
        </w:tc>
        <w:tc>
          <w:tcPr>
            <w:tcW w:w="1350" w:type="dxa"/>
            <w:shd w:val="clear" w:fill="EDF5FC"/>
            <w:vAlign w:val="center"/>
          </w:tcPr>
          <w:p>
            <w:pPr>
              <w:pStyle w:val="TableNumber"/>
            </w:pPr>
            <w:r>
              <w:t>0.2921</w:t>
            </w:r>
          </w:p>
        </w:tc>
      </w:tr>
      <w:tr>
        <w:trPr>
          <w:cantSplit/>
        </w:trPr>
        <w:tc>
          <w:tcPr>
            <w:tcW w:w="650" w:type="dxa"/>
            <w:vAlign w:val="center"/>
          </w:tcPr>
          <w:p>
            <w:pPr>
              <w:pStyle w:val="TableNumber"/>
            </w:pPr>
            <w:r>
              <w:t>2</w:t>
            </w:r>
          </w:p>
        </w:tc>
        <w:tc>
          <w:tcPr>
            <w:tcW w:w="2800" w:type="dxa"/>
            <w:vAlign w:val="center"/>
          </w:tcPr>
          <w:p>
            <w:pPr>
              <w:pStyle w:val="TableText"/>
            </w:pPr>
            <w:r>
              <w:t>成對 GRU</w:t>
            </w:r>
          </w:p>
        </w:tc>
        <w:tc>
          <w:tcPr>
            <w:tcW w:w="1900" w:type="dxa"/>
            <w:vAlign w:val="center"/>
          </w:tcPr>
          <w:p>
            <w:pPr>
              <w:pStyle w:val="TableNumber"/>
            </w:pPr>
            <w:r>
              <w:t>0.336588</w:t>
            </w:r>
          </w:p>
        </w:tc>
        <w:tc>
          <w:tcPr>
            <w:tcW w:w="1330" w:type="dxa"/>
            <w:vAlign w:val="center"/>
          </w:tcPr>
          <w:p>
            <w:pPr>
              <w:pStyle w:val="TableNumber"/>
            </w:pPr>
            <w:r>
              <w:t>0.3762</w:t>
            </w:r>
          </w:p>
        </w:tc>
        <w:tc>
          <w:tcPr>
            <w:tcW w:w="1330" w:type="dxa"/>
            <w:vAlign w:val="center"/>
          </w:tcPr>
          <w:p>
            <w:pPr>
              <w:pStyle w:val="TableNumber"/>
            </w:pPr>
            <w:r>
              <w:t>0.3335</w:t>
            </w:r>
          </w:p>
        </w:tc>
        <w:tc>
          <w:tcPr>
            <w:tcW w:w="1350" w:type="dxa"/>
            <w:vAlign w:val="center"/>
          </w:tcPr>
          <w:p>
            <w:pPr>
              <w:pStyle w:val="TableNumber"/>
            </w:pPr>
            <w:r>
              <w:t>0.3290</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0.344088</w:t>
            </w:r>
          </w:p>
        </w:tc>
        <w:tc>
          <w:tcPr>
            <w:tcW w:w="1330" w:type="dxa"/>
            <w:vAlign w:val="center"/>
          </w:tcPr>
          <w:p>
            <w:pPr>
              <w:pStyle w:val="TableNumber"/>
            </w:pPr>
            <w:r>
              <w:t>0.4054</w:t>
            </w:r>
          </w:p>
        </w:tc>
        <w:tc>
          <w:tcPr>
            <w:tcW w:w="1330" w:type="dxa"/>
            <w:vAlign w:val="center"/>
          </w:tcPr>
          <w:p>
            <w:pPr>
              <w:pStyle w:val="TableNumber"/>
            </w:pPr>
            <w:r>
              <w:t>0.3487</w:t>
            </w:r>
          </w:p>
        </w:tc>
        <w:tc>
          <w:tcPr>
            <w:tcW w:w="1350" w:type="dxa"/>
            <w:vAlign w:val="center"/>
          </w:tcPr>
          <w:p>
            <w:pPr>
              <w:pStyle w:val="TableNumber"/>
            </w:pPr>
            <w:r>
              <w:t>0.3334</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0.344933</w:t>
            </w:r>
          </w:p>
        </w:tc>
        <w:tc>
          <w:tcPr>
            <w:tcW w:w="1330" w:type="dxa"/>
            <w:vAlign w:val="center"/>
          </w:tcPr>
          <w:p>
            <w:pPr>
              <w:pStyle w:val="TableNumber"/>
            </w:pPr>
            <w:r>
              <w:t>0.3741</w:t>
            </w:r>
          </w:p>
        </w:tc>
        <w:tc>
          <w:tcPr>
            <w:tcW w:w="1330" w:type="dxa"/>
            <w:vAlign w:val="center"/>
          </w:tcPr>
          <w:p>
            <w:pPr>
              <w:pStyle w:val="TableNumber"/>
            </w:pPr>
            <w:r>
              <w:t>0.3403</w:t>
            </w:r>
          </w:p>
        </w:tc>
        <w:tc>
          <w:tcPr>
            <w:tcW w:w="1350" w:type="dxa"/>
            <w:vAlign w:val="center"/>
          </w:tcPr>
          <w:p>
            <w:pPr>
              <w:pStyle w:val="TableNumber"/>
            </w:pPr>
            <w:r>
              <w:t>0.3439</w:t>
            </w:r>
          </w:p>
        </w:tc>
      </w:tr>
      <w:tr>
        <w:trPr>
          <w:cantSplit/>
        </w:trPr>
        <w:tc>
          <w:tcPr>
            <w:tcW w:w="650" w:type="dxa"/>
            <w:vAlign w:val="center"/>
          </w:tcPr>
          <w:p>
            <w:pPr>
              <w:pStyle w:val="TableNumber"/>
            </w:pPr>
            <w:r>
              <w:t>5</w:t>
            </w:r>
          </w:p>
        </w:tc>
        <w:tc>
          <w:tcPr>
            <w:tcW w:w="2800" w:type="dxa"/>
            <w:vAlign w:val="center"/>
          </w:tcPr>
          <w:p>
            <w:pPr>
              <w:pStyle w:val="TableText"/>
            </w:pPr>
            <w:r>
              <w:t>固定偏多分布</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6</w:t>
            </w:r>
          </w:p>
        </w:tc>
        <w:tc>
          <w:tcPr>
            <w:tcW w:w="2800" w:type="dxa"/>
            <w:vAlign w:val="center"/>
          </w:tcPr>
          <w:p>
            <w:pPr>
              <w:pStyle w:val="TableText"/>
            </w:pPr>
            <w:r>
              <w:t>零報酬分布</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bl>
    <w:p>
      <w:pPr>
        <w:pStyle w:val="a"/>
      </w:pPr>
      <w:r>
        <w:t>Kronos 並不是只靠某一個固定天期取得第一。它在 2 至 14 日 normalized pinball 都排名第一，1 日排名第二。這個結果與全 horizon selection score 的第一名一致。</w:t>
      </w:r>
    </w:p>
    <w:p>
      <w:pPr>
        <w:pStyle w:val="11"/>
      </w:pPr>
      <w:r>
        <w:t>6. 一至十四日完整結果</w:t>
      </w:r>
    </w:p>
    <w:p>
      <w:pPr>
        <w:pStyle w:val="21"/>
      </w:pPr>
      <w:r>
        <w:t>6.1 誤差與不同 horizon 的可比性</w:t>
      </w:r>
    </w:p>
    <w:p>
      <w:pPr>
        <w:pStyle w:val="Decision"/>
        <w:keepNext/>
        <w:spacing w:after="80"/>
      </w:pPr>
      <w:r>
        <w:t>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0.01868</w:t>
            </w:r>
          </w:p>
        </w:tc>
        <w:tc>
          <w:tcPr>
            <w:tcW w:w="1550" w:type="dxa"/>
            <w:vAlign w:val="center"/>
          </w:tcPr>
          <w:p>
            <w:pPr>
              <w:pStyle w:val="TableNumber"/>
            </w:pPr>
            <w:r>
              <w:t>0.00700</w:t>
            </w:r>
          </w:p>
        </w:tc>
        <w:tc>
          <w:tcPr>
            <w:tcW w:w="1550" w:type="dxa"/>
            <w:vAlign w:val="center"/>
          </w:tcPr>
          <w:p>
            <w:pPr>
              <w:pStyle w:val="TableNumber"/>
            </w:pPr>
            <w:r>
              <w:t>0.3748</w:t>
            </w:r>
          </w:p>
        </w:tc>
        <w:tc>
          <w:tcPr>
            <w:tcW w:w="1050" w:type="dxa"/>
            <w:vAlign w:val="center"/>
          </w:tcPr>
          <w:p>
            <w:pPr>
              <w:pStyle w:val="TableNumber"/>
            </w:pPr>
            <w:r>
              <w:t>2/13</w:t>
            </w:r>
          </w:p>
        </w:tc>
        <w:tc>
          <w:tcPr>
            <w:tcW w:w="1550" w:type="dxa"/>
            <w:vAlign w:val="center"/>
          </w:tcPr>
          <w:p>
            <w:pPr>
              <w:pStyle w:val="TableNumber"/>
            </w:pPr>
            <w:r>
              <w:t>0.01962</w:t>
            </w:r>
          </w:p>
        </w:tc>
        <w:tc>
          <w:tcPr>
            <w:tcW w:w="1610" w:type="dxa"/>
            <w:vAlign w:val="center"/>
          </w:tcPr>
          <w:p>
            <w:pPr>
              <w:pStyle w:val="TableNumber"/>
            </w:pPr>
            <w:r>
              <w:t>1.0508</w:t>
            </w:r>
          </w:p>
        </w:tc>
      </w:tr>
      <w:tr>
        <w:trPr>
          <w:cantSplit/>
        </w:trPr>
        <w:tc>
          <w:tcPr>
            <w:tcW w:w="650" w:type="dxa"/>
            <w:vAlign w:val="center"/>
          </w:tcPr>
          <w:p>
            <w:pPr>
              <w:pStyle w:val="TableText"/>
            </w:pPr>
            <w:r>
              <w:t>2d</w:t>
            </w:r>
          </w:p>
        </w:tc>
        <w:tc>
          <w:tcPr>
            <w:tcW w:w="1400" w:type="dxa"/>
            <w:vAlign w:val="center"/>
          </w:tcPr>
          <w:p>
            <w:pPr>
              <w:pStyle w:val="TableNumber"/>
            </w:pPr>
            <w:r>
              <w:t>0.03052</w:t>
            </w:r>
          </w:p>
        </w:tc>
        <w:tc>
          <w:tcPr>
            <w:tcW w:w="1550" w:type="dxa"/>
            <w:vAlign w:val="center"/>
          </w:tcPr>
          <w:p>
            <w:pPr>
              <w:pStyle w:val="TableNumber"/>
            </w:pPr>
            <w:r>
              <w:t>0.01006</w:t>
            </w:r>
          </w:p>
        </w:tc>
        <w:tc>
          <w:tcPr>
            <w:tcW w:w="1550" w:type="dxa"/>
            <w:vAlign w:val="center"/>
          </w:tcPr>
          <w:p>
            <w:pPr>
              <w:pStyle w:val="TableNumber"/>
            </w:pPr>
            <w:r>
              <w:t>0.3295</w:t>
            </w:r>
          </w:p>
        </w:tc>
        <w:tc>
          <w:tcPr>
            <w:tcW w:w="1050" w:type="dxa"/>
            <w:vAlign w:val="center"/>
          </w:tcPr>
          <w:p>
            <w:pPr>
              <w:pStyle w:val="TableNumber"/>
            </w:pPr>
            <w:r>
              <w:t>1/13</w:t>
            </w:r>
          </w:p>
        </w:tc>
        <w:tc>
          <w:tcPr>
            <w:tcW w:w="1550" w:type="dxa"/>
            <w:vAlign w:val="center"/>
          </w:tcPr>
          <w:p>
            <w:pPr>
              <w:pStyle w:val="TableNumber"/>
            </w:pPr>
            <w:r>
              <w:t>0.02892</w:t>
            </w:r>
          </w:p>
        </w:tc>
        <w:tc>
          <w:tcPr>
            <w:tcW w:w="1610" w:type="dxa"/>
            <w:vAlign w:val="center"/>
          </w:tcPr>
          <w:p>
            <w:pPr>
              <w:pStyle w:val="TableNumber"/>
            </w:pPr>
            <w:r>
              <w:t>0.9478</w:t>
            </w:r>
          </w:p>
        </w:tc>
      </w:tr>
      <w:tr>
        <w:trPr>
          <w:cantSplit/>
        </w:trPr>
        <w:tc>
          <w:tcPr>
            <w:tcW w:w="650" w:type="dxa"/>
            <w:vAlign w:val="center"/>
          </w:tcPr>
          <w:p>
            <w:pPr>
              <w:pStyle w:val="TableText"/>
            </w:pPr>
            <w:r>
              <w:t>3d</w:t>
            </w:r>
          </w:p>
        </w:tc>
        <w:tc>
          <w:tcPr>
            <w:tcW w:w="1400" w:type="dxa"/>
            <w:vAlign w:val="center"/>
          </w:tcPr>
          <w:p>
            <w:pPr>
              <w:pStyle w:val="TableNumber"/>
            </w:pPr>
            <w:r>
              <w:t>0.03809</w:t>
            </w:r>
          </w:p>
        </w:tc>
        <w:tc>
          <w:tcPr>
            <w:tcW w:w="1550" w:type="dxa"/>
            <w:vAlign w:val="center"/>
          </w:tcPr>
          <w:p>
            <w:pPr>
              <w:pStyle w:val="TableNumber"/>
            </w:pPr>
            <w:r>
              <w:t>0.01258</w:t>
            </w:r>
          </w:p>
        </w:tc>
        <w:tc>
          <w:tcPr>
            <w:tcW w:w="1550" w:type="dxa"/>
            <w:vAlign w:val="center"/>
          </w:tcPr>
          <w:p>
            <w:pPr>
              <w:pStyle w:val="TableNumber"/>
            </w:pPr>
            <w:r>
              <w:t>0.3304</w:t>
            </w:r>
          </w:p>
        </w:tc>
        <w:tc>
          <w:tcPr>
            <w:tcW w:w="1050" w:type="dxa"/>
            <w:vAlign w:val="center"/>
          </w:tcPr>
          <w:p>
            <w:pPr>
              <w:pStyle w:val="TableNumber"/>
            </w:pPr>
            <w:r>
              <w:t>1/13</w:t>
            </w:r>
          </w:p>
        </w:tc>
        <w:tc>
          <w:tcPr>
            <w:tcW w:w="1550" w:type="dxa"/>
            <w:vAlign w:val="center"/>
          </w:tcPr>
          <w:p>
            <w:pPr>
              <w:pStyle w:val="TableNumber"/>
            </w:pPr>
            <w:r>
              <w:t>0.03626</w:t>
            </w:r>
          </w:p>
        </w:tc>
        <w:tc>
          <w:tcPr>
            <w:tcW w:w="1610" w:type="dxa"/>
            <w:vAlign w:val="center"/>
          </w:tcPr>
          <w:p>
            <w:pPr>
              <w:pStyle w:val="TableNumber"/>
            </w:pPr>
            <w:r>
              <w:t>0.9522</w:t>
            </w:r>
          </w:p>
        </w:tc>
      </w:tr>
      <w:tr>
        <w:trPr>
          <w:cantSplit/>
        </w:trPr>
        <w:tc>
          <w:tcPr>
            <w:tcW w:w="650" w:type="dxa"/>
            <w:vAlign w:val="center"/>
          </w:tcPr>
          <w:p>
            <w:pPr>
              <w:pStyle w:val="TableText"/>
            </w:pPr>
            <w:r>
              <w:t>4d</w:t>
            </w:r>
          </w:p>
        </w:tc>
        <w:tc>
          <w:tcPr>
            <w:tcW w:w="1400" w:type="dxa"/>
            <w:vAlign w:val="center"/>
          </w:tcPr>
          <w:p>
            <w:pPr>
              <w:pStyle w:val="TableNumber"/>
            </w:pPr>
            <w:r>
              <w:t>0.04517</w:t>
            </w:r>
          </w:p>
        </w:tc>
        <w:tc>
          <w:tcPr>
            <w:tcW w:w="1550" w:type="dxa"/>
            <w:vAlign w:val="center"/>
          </w:tcPr>
          <w:p>
            <w:pPr>
              <w:pStyle w:val="TableNumber"/>
            </w:pPr>
            <w:r>
              <w:t>0.01458</w:t>
            </w:r>
          </w:p>
        </w:tc>
        <w:tc>
          <w:tcPr>
            <w:tcW w:w="1550" w:type="dxa"/>
            <w:vAlign w:val="center"/>
          </w:tcPr>
          <w:p>
            <w:pPr>
              <w:pStyle w:val="TableNumber"/>
            </w:pPr>
            <w:r>
              <w:t>0.3228</w:t>
            </w:r>
          </w:p>
        </w:tc>
        <w:tc>
          <w:tcPr>
            <w:tcW w:w="1050" w:type="dxa"/>
            <w:vAlign w:val="center"/>
          </w:tcPr>
          <w:p>
            <w:pPr>
              <w:pStyle w:val="TableNumber"/>
            </w:pPr>
            <w:r>
              <w:t>1/13</w:t>
            </w:r>
          </w:p>
        </w:tc>
        <w:tc>
          <w:tcPr>
            <w:tcW w:w="1550" w:type="dxa"/>
            <w:vAlign w:val="center"/>
          </w:tcPr>
          <w:p>
            <w:pPr>
              <w:pStyle w:val="TableNumber"/>
            </w:pPr>
            <w:r>
              <w:t>0.04231</w:t>
            </w:r>
          </w:p>
        </w:tc>
        <w:tc>
          <w:tcPr>
            <w:tcW w:w="1610" w:type="dxa"/>
            <w:vAlign w:val="center"/>
          </w:tcPr>
          <w:p>
            <w:pPr>
              <w:pStyle w:val="TableNumber"/>
            </w:pPr>
            <w:r>
              <w:t>0.9368</w:t>
            </w:r>
          </w:p>
        </w:tc>
      </w:tr>
      <w:tr>
        <w:trPr>
          <w:cantSplit/>
        </w:trPr>
        <w:tc>
          <w:tcPr>
            <w:tcW w:w="650" w:type="dxa"/>
            <w:vAlign w:val="center"/>
          </w:tcPr>
          <w:p>
            <w:pPr>
              <w:pStyle w:val="TableText"/>
            </w:pPr>
            <w:r>
              <w:t>5d</w:t>
            </w:r>
          </w:p>
        </w:tc>
        <w:tc>
          <w:tcPr>
            <w:tcW w:w="1400" w:type="dxa"/>
            <w:vAlign w:val="center"/>
          </w:tcPr>
          <w:p>
            <w:pPr>
              <w:pStyle w:val="TableNumber"/>
            </w:pPr>
            <w:r>
              <w:t>0.05078</w:t>
            </w:r>
          </w:p>
        </w:tc>
        <w:tc>
          <w:tcPr>
            <w:tcW w:w="1550" w:type="dxa"/>
            <w:vAlign w:val="center"/>
          </w:tcPr>
          <w:p>
            <w:pPr>
              <w:pStyle w:val="TableNumber"/>
            </w:pPr>
            <w:r>
              <w:t>0.01629</w:t>
            </w:r>
          </w:p>
        </w:tc>
        <w:tc>
          <w:tcPr>
            <w:tcW w:w="1550" w:type="dxa"/>
            <w:vAlign w:val="center"/>
          </w:tcPr>
          <w:p>
            <w:pPr>
              <w:pStyle w:val="TableNumber"/>
            </w:pPr>
            <w:r>
              <w:t>0.3208</w:t>
            </w:r>
          </w:p>
        </w:tc>
        <w:tc>
          <w:tcPr>
            <w:tcW w:w="1050" w:type="dxa"/>
            <w:vAlign w:val="center"/>
          </w:tcPr>
          <w:p>
            <w:pPr>
              <w:pStyle w:val="TableNumber"/>
            </w:pPr>
            <w:r>
              <w:t>1/13</w:t>
            </w:r>
          </w:p>
        </w:tc>
        <w:tc>
          <w:tcPr>
            <w:tcW w:w="1550" w:type="dxa"/>
            <w:vAlign w:val="center"/>
          </w:tcPr>
          <w:p>
            <w:pPr>
              <w:pStyle w:val="TableNumber"/>
            </w:pPr>
            <w:r>
              <w:t>0.04728</w:t>
            </w:r>
          </w:p>
        </w:tc>
        <w:tc>
          <w:tcPr>
            <w:tcW w:w="1610" w:type="dxa"/>
            <w:vAlign w:val="center"/>
          </w:tcPr>
          <w:p>
            <w:pPr>
              <w:pStyle w:val="TableNumber"/>
            </w:pPr>
            <w:r>
              <w:t>0.9311</w:t>
            </w:r>
          </w:p>
        </w:tc>
      </w:tr>
      <w:tr>
        <w:trPr>
          <w:cantSplit/>
        </w:trPr>
        <w:tc>
          <w:tcPr>
            <w:tcW w:w="650" w:type="dxa"/>
            <w:vAlign w:val="center"/>
          </w:tcPr>
          <w:p>
            <w:pPr>
              <w:pStyle w:val="TableText"/>
            </w:pPr>
            <w:r>
              <w:t>6d</w:t>
            </w:r>
          </w:p>
        </w:tc>
        <w:tc>
          <w:tcPr>
            <w:tcW w:w="1400" w:type="dxa"/>
            <w:vAlign w:val="center"/>
          </w:tcPr>
          <w:p>
            <w:pPr>
              <w:pStyle w:val="TableNumber"/>
            </w:pPr>
            <w:r>
              <w:t>0.05615</w:t>
            </w:r>
          </w:p>
        </w:tc>
        <w:tc>
          <w:tcPr>
            <w:tcW w:w="1550" w:type="dxa"/>
            <w:vAlign w:val="center"/>
          </w:tcPr>
          <w:p>
            <w:pPr>
              <w:pStyle w:val="TableNumber"/>
            </w:pPr>
            <w:r>
              <w:t>0.01777</w:t>
            </w:r>
          </w:p>
        </w:tc>
        <w:tc>
          <w:tcPr>
            <w:tcW w:w="1550" w:type="dxa"/>
            <w:vAlign w:val="center"/>
          </w:tcPr>
          <w:p>
            <w:pPr>
              <w:pStyle w:val="TableNumber"/>
            </w:pPr>
            <w:r>
              <w:t>0.3165</w:t>
            </w:r>
          </w:p>
        </w:tc>
        <w:tc>
          <w:tcPr>
            <w:tcW w:w="1050" w:type="dxa"/>
            <w:vAlign w:val="center"/>
          </w:tcPr>
          <w:p>
            <w:pPr>
              <w:pStyle w:val="TableNumber"/>
            </w:pPr>
            <w:r>
              <w:t>1/13</w:t>
            </w:r>
          </w:p>
        </w:tc>
        <w:tc>
          <w:tcPr>
            <w:tcW w:w="1550" w:type="dxa"/>
            <w:vAlign w:val="center"/>
          </w:tcPr>
          <w:p>
            <w:pPr>
              <w:pStyle w:val="TableNumber"/>
            </w:pPr>
            <w:r>
              <w:t>0.05165</w:t>
            </w:r>
          </w:p>
        </w:tc>
        <w:tc>
          <w:tcPr>
            <w:tcW w:w="1610" w:type="dxa"/>
            <w:vAlign w:val="center"/>
          </w:tcPr>
          <w:p>
            <w:pPr>
              <w:pStyle w:val="TableNumber"/>
            </w:pPr>
            <w:r>
              <w:t>0.9198</w:t>
            </w:r>
          </w:p>
        </w:tc>
      </w:tr>
      <w:tr>
        <w:trPr>
          <w:cantSplit/>
        </w:trPr>
        <w:tc>
          <w:tcPr>
            <w:tcW w:w="650" w:type="dxa"/>
            <w:vAlign w:val="center"/>
          </w:tcPr>
          <w:p>
            <w:pPr>
              <w:pStyle w:val="TableText"/>
            </w:pPr>
            <w:r>
              <w:t>7d</w:t>
            </w:r>
          </w:p>
        </w:tc>
        <w:tc>
          <w:tcPr>
            <w:tcW w:w="1400" w:type="dxa"/>
            <w:vAlign w:val="center"/>
          </w:tcPr>
          <w:p>
            <w:pPr>
              <w:pStyle w:val="TableNumber"/>
            </w:pPr>
            <w:r>
              <w:t>0.06152</w:t>
            </w:r>
          </w:p>
        </w:tc>
        <w:tc>
          <w:tcPr>
            <w:tcW w:w="1550" w:type="dxa"/>
            <w:vAlign w:val="center"/>
          </w:tcPr>
          <w:p>
            <w:pPr>
              <w:pStyle w:val="TableNumber"/>
            </w:pPr>
            <w:r>
              <w:t>0.01918</w:t>
            </w:r>
          </w:p>
        </w:tc>
        <w:tc>
          <w:tcPr>
            <w:tcW w:w="1550" w:type="dxa"/>
            <w:vAlign w:val="center"/>
          </w:tcPr>
          <w:p>
            <w:pPr>
              <w:pStyle w:val="TableNumber"/>
            </w:pPr>
            <w:r>
              <w:t>0.3117</w:t>
            </w:r>
          </w:p>
        </w:tc>
        <w:tc>
          <w:tcPr>
            <w:tcW w:w="1050" w:type="dxa"/>
            <w:vAlign w:val="center"/>
          </w:tcPr>
          <w:p>
            <w:pPr>
              <w:pStyle w:val="TableNumber"/>
            </w:pPr>
            <w:r>
              <w:t>1/13</w:t>
            </w:r>
          </w:p>
        </w:tc>
        <w:tc>
          <w:tcPr>
            <w:tcW w:w="1550" w:type="dxa"/>
            <w:vAlign w:val="center"/>
          </w:tcPr>
          <w:p>
            <w:pPr>
              <w:pStyle w:val="TableNumber"/>
            </w:pPr>
            <w:r>
              <w:t>0.05589</w:t>
            </w:r>
          </w:p>
        </w:tc>
        <w:tc>
          <w:tcPr>
            <w:tcW w:w="1610" w:type="dxa"/>
            <w:vAlign w:val="center"/>
          </w:tcPr>
          <w:p>
            <w:pPr>
              <w:pStyle w:val="TableNumber"/>
            </w:pPr>
            <w:r>
              <w:t>0.9085</w:t>
            </w:r>
          </w:p>
        </w:tc>
      </w:tr>
      <w:tr>
        <w:trPr>
          <w:cantSplit/>
        </w:trPr>
        <w:tc>
          <w:tcPr>
            <w:tcW w:w="650" w:type="dxa"/>
            <w:vAlign w:val="center"/>
          </w:tcPr>
          <w:p>
            <w:pPr>
              <w:pStyle w:val="TableText"/>
            </w:pPr>
            <w:r>
              <w:t>8d</w:t>
            </w:r>
          </w:p>
        </w:tc>
        <w:tc>
          <w:tcPr>
            <w:tcW w:w="1400" w:type="dxa"/>
            <w:vAlign w:val="center"/>
          </w:tcPr>
          <w:p>
            <w:pPr>
              <w:pStyle w:val="TableNumber"/>
            </w:pPr>
            <w:r>
              <w:t>0.06592</w:t>
            </w:r>
          </w:p>
        </w:tc>
        <w:tc>
          <w:tcPr>
            <w:tcW w:w="1550" w:type="dxa"/>
            <w:vAlign w:val="center"/>
          </w:tcPr>
          <w:p>
            <w:pPr>
              <w:pStyle w:val="TableNumber"/>
            </w:pPr>
            <w:r>
              <w:t>0.02045</w:t>
            </w:r>
          </w:p>
        </w:tc>
        <w:tc>
          <w:tcPr>
            <w:tcW w:w="1550" w:type="dxa"/>
            <w:vAlign w:val="center"/>
          </w:tcPr>
          <w:p>
            <w:pPr>
              <w:pStyle w:val="TableNumber"/>
            </w:pPr>
            <w:r>
              <w:t>0.3102</w:t>
            </w:r>
          </w:p>
        </w:tc>
        <w:tc>
          <w:tcPr>
            <w:tcW w:w="1050" w:type="dxa"/>
            <w:vAlign w:val="center"/>
          </w:tcPr>
          <w:p>
            <w:pPr>
              <w:pStyle w:val="TableNumber"/>
            </w:pPr>
            <w:r>
              <w:t>1/13</w:t>
            </w:r>
          </w:p>
        </w:tc>
        <w:tc>
          <w:tcPr>
            <w:tcW w:w="1550" w:type="dxa"/>
            <w:vAlign w:val="center"/>
          </w:tcPr>
          <w:p>
            <w:pPr>
              <w:pStyle w:val="TableNumber"/>
            </w:pPr>
            <w:r>
              <w:t>0.05960</w:t>
            </w:r>
          </w:p>
        </w:tc>
        <w:tc>
          <w:tcPr>
            <w:tcW w:w="1610" w:type="dxa"/>
            <w:vAlign w:val="center"/>
          </w:tcPr>
          <w:p>
            <w:pPr>
              <w:pStyle w:val="TableNumber"/>
            </w:pPr>
            <w:r>
              <w:t>0.9042</w:t>
            </w:r>
          </w:p>
        </w:tc>
      </w:tr>
      <w:tr>
        <w:trPr>
          <w:cantSplit/>
        </w:trPr>
        <w:tc>
          <w:tcPr>
            <w:tcW w:w="650" w:type="dxa"/>
            <w:vAlign w:val="center"/>
          </w:tcPr>
          <w:p>
            <w:pPr>
              <w:pStyle w:val="TableText"/>
            </w:pPr>
            <w:r>
              <w:t>9d</w:t>
            </w:r>
          </w:p>
        </w:tc>
        <w:tc>
          <w:tcPr>
            <w:tcW w:w="1400" w:type="dxa"/>
            <w:vAlign w:val="center"/>
          </w:tcPr>
          <w:p>
            <w:pPr>
              <w:pStyle w:val="TableNumber"/>
            </w:pPr>
            <w:r>
              <w:t>0.07080</w:t>
            </w:r>
          </w:p>
        </w:tc>
        <w:tc>
          <w:tcPr>
            <w:tcW w:w="1550" w:type="dxa"/>
            <w:vAlign w:val="center"/>
          </w:tcPr>
          <w:p>
            <w:pPr>
              <w:pStyle w:val="TableNumber"/>
            </w:pPr>
            <w:r>
              <w:t>0.02159</w:t>
            </w:r>
          </w:p>
        </w:tc>
        <w:tc>
          <w:tcPr>
            <w:tcW w:w="1550" w:type="dxa"/>
            <w:vAlign w:val="center"/>
          </w:tcPr>
          <w:p>
            <w:pPr>
              <w:pStyle w:val="TableNumber"/>
            </w:pPr>
            <w:r>
              <w:t>0.3049</w:t>
            </w:r>
          </w:p>
        </w:tc>
        <w:tc>
          <w:tcPr>
            <w:tcW w:w="1050" w:type="dxa"/>
            <w:vAlign w:val="center"/>
          </w:tcPr>
          <w:p>
            <w:pPr>
              <w:pStyle w:val="TableNumber"/>
            </w:pPr>
            <w:r>
              <w:t>1/13</w:t>
            </w:r>
          </w:p>
        </w:tc>
        <w:tc>
          <w:tcPr>
            <w:tcW w:w="1550" w:type="dxa"/>
            <w:vAlign w:val="center"/>
          </w:tcPr>
          <w:p>
            <w:pPr>
              <w:pStyle w:val="TableNumber"/>
            </w:pPr>
            <w:r>
              <w:t>0.06307</w:t>
            </w:r>
          </w:p>
        </w:tc>
        <w:tc>
          <w:tcPr>
            <w:tcW w:w="1610" w:type="dxa"/>
            <w:vAlign w:val="center"/>
          </w:tcPr>
          <w:p>
            <w:pPr>
              <w:pStyle w:val="TableNumber"/>
            </w:pPr>
            <w:r>
              <w:t>0.8908</w:t>
            </w:r>
          </w:p>
        </w:tc>
      </w:tr>
      <w:tr>
        <w:trPr>
          <w:cantSplit/>
        </w:trPr>
        <w:tc>
          <w:tcPr>
            <w:tcW w:w="650" w:type="dxa"/>
            <w:vAlign w:val="center"/>
          </w:tcPr>
          <w:p>
            <w:pPr>
              <w:pStyle w:val="TableText"/>
            </w:pPr>
            <w:r>
              <w:t>10d</w:t>
            </w:r>
          </w:p>
        </w:tc>
        <w:tc>
          <w:tcPr>
            <w:tcW w:w="1400" w:type="dxa"/>
            <w:vAlign w:val="center"/>
          </w:tcPr>
          <w:p>
            <w:pPr>
              <w:pStyle w:val="TableNumber"/>
            </w:pPr>
            <w:r>
              <w:t>0.07520</w:t>
            </w:r>
          </w:p>
        </w:tc>
        <w:tc>
          <w:tcPr>
            <w:tcW w:w="1550" w:type="dxa"/>
            <w:vAlign w:val="center"/>
          </w:tcPr>
          <w:p>
            <w:pPr>
              <w:pStyle w:val="TableNumber"/>
            </w:pPr>
            <w:r>
              <w:t>0.02265</w:t>
            </w:r>
          </w:p>
        </w:tc>
        <w:tc>
          <w:tcPr>
            <w:tcW w:w="1550" w:type="dxa"/>
            <w:vAlign w:val="center"/>
          </w:tcPr>
          <w:p>
            <w:pPr>
              <w:pStyle w:val="TableNumber"/>
            </w:pPr>
            <w:r>
              <w:t>0.3012</w:t>
            </w:r>
          </w:p>
        </w:tc>
        <w:tc>
          <w:tcPr>
            <w:tcW w:w="1050" w:type="dxa"/>
            <w:vAlign w:val="center"/>
          </w:tcPr>
          <w:p>
            <w:pPr>
              <w:pStyle w:val="TableNumber"/>
            </w:pPr>
            <w:r>
              <w:t>1/13</w:t>
            </w:r>
          </w:p>
        </w:tc>
        <w:tc>
          <w:tcPr>
            <w:tcW w:w="1550" w:type="dxa"/>
            <w:vAlign w:val="center"/>
          </w:tcPr>
          <w:p>
            <w:pPr>
              <w:pStyle w:val="TableNumber"/>
            </w:pPr>
            <w:r>
              <w:t>0.06630</w:t>
            </w:r>
          </w:p>
        </w:tc>
        <w:tc>
          <w:tcPr>
            <w:tcW w:w="1610" w:type="dxa"/>
            <w:vAlign w:val="center"/>
          </w:tcPr>
          <w:p>
            <w:pPr>
              <w:pStyle w:val="TableNumber"/>
            </w:pPr>
            <w:r>
              <w:t>0.8817</w:t>
            </w:r>
          </w:p>
        </w:tc>
      </w:tr>
      <w:tr>
        <w:trPr>
          <w:cantSplit/>
        </w:trPr>
        <w:tc>
          <w:tcPr>
            <w:tcW w:w="650" w:type="dxa"/>
            <w:vAlign w:val="center"/>
          </w:tcPr>
          <w:p>
            <w:pPr>
              <w:pStyle w:val="TableText"/>
            </w:pPr>
            <w:r>
              <w:t>11d</w:t>
            </w:r>
          </w:p>
        </w:tc>
        <w:tc>
          <w:tcPr>
            <w:tcW w:w="1400" w:type="dxa"/>
            <w:vAlign w:val="center"/>
          </w:tcPr>
          <w:p>
            <w:pPr>
              <w:pStyle w:val="TableNumber"/>
            </w:pPr>
            <w:r>
              <w:t>0.07861</w:t>
            </w:r>
          </w:p>
        </w:tc>
        <w:tc>
          <w:tcPr>
            <w:tcW w:w="1550" w:type="dxa"/>
            <w:vAlign w:val="center"/>
          </w:tcPr>
          <w:p>
            <w:pPr>
              <w:pStyle w:val="TableNumber"/>
            </w:pPr>
            <w:r>
              <w:t>0.02375</w:t>
            </w:r>
          </w:p>
        </w:tc>
        <w:tc>
          <w:tcPr>
            <w:tcW w:w="1550" w:type="dxa"/>
            <w:vAlign w:val="center"/>
          </w:tcPr>
          <w:p>
            <w:pPr>
              <w:pStyle w:val="TableNumber"/>
            </w:pPr>
            <w:r>
              <w:t>0.3021</w:t>
            </w:r>
          </w:p>
        </w:tc>
        <w:tc>
          <w:tcPr>
            <w:tcW w:w="1050" w:type="dxa"/>
            <w:vAlign w:val="center"/>
          </w:tcPr>
          <w:p>
            <w:pPr>
              <w:pStyle w:val="TableNumber"/>
            </w:pPr>
            <w:r>
              <w:t>1/13</w:t>
            </w:r>
          </w:p>
        </w:tc>
        <w:tc>
          <w:tcPr>
            <w:tcW w:w="1550" w:type="dxa"/>
            <w:vAlign w:val="center"/>
          </w:tcPr>
          <w:p>
            <w:pPr>
              <w:pStyle w:val="TableNumber"/>
            </w:pPr>
            <w:r>
              <w:t>0.06970</w:t>
            </w:r>
          </w:p>
        </w:tc>
        <w:tc>
          <w:tcPr>
            <w:tcW w:w="1610" w:type="dxa"/>
            <w:vAlign w:val="center"/>
          </w:tcPr>
          <w:p>
            <w:pPr>
              <w:pStyle w:val="TableNumber"/>
            </w:pPr>
            <w:r>
              <w:t>0.8867</w:t>
            </w:r>
          </w:p>
        </w:tc>
      </w:tr>
      <w:tr>
        <w:trPr>
          <w:cantSplit/>
        </w:trPr>
        <w:tc>
          <w:tcPr>
            <w:tcW w:w="650" w:type="dxa"/>
            <w:vAlign w:val="center"/>
          </w:tcPr>
          <w:p>
            <w:pPr>
              <w:pStyle w:val="TableText"/>
            </w:pPr>
            <w:r>
              <w:t>12d</w:t>
            </w:r>
          </w:p>
        </w:tc>
        <w:tc>
          <w:tcPr>
            <w:tcW w:w="1400" w:type="dxa"/>
            <w:vAlign w:val="center"/>
          </w:tcPr>
          <w:p>
            <w:pPr>
              <w:pStyle w:val="TableNumber"/>
            </w:pPr>
            <w:r>
              <w:t>0.08350</w:t>
            </w:r>
          </w:p>
        </w:tc>
        <w:tc>
          <w:tcPr>
            <w:tcW w:w="1550" w:type="dxa"/>
            <w:vAlign w:val="center"/>
          </w:tcPr>
          <w:p>
            <w:pPr>
              <w:pStyle w:val="TableNumber"/>
            </w:pPr>
            <w:r>
              <w:t>0.02475</w:t>
            </w:r>
          </w:p>
        </w:tc>
        <w:tc>
          <w:tcPr>
            <w:tcW w:w="1550" w:type="dxa"/>
            <w:vAlign w:val="center"/>
          </w:tcPr>
          <w:p>
            <w:pPr>
              <w:pStyle w:val="TableNumber"/>
            </w:pPr>
            <w:r>
              <w:t>0.2964</w:t>
            </w:r>
          </w:p>
        </w:tc>
        <w:tc>
          <w:tcPr>
            <w:tcW w:w="1050" w:type="dxa"/>
            <w:vAlign w:val="center"/>
          </w:tcPr>
          <w:p>
            <w:pPr>
              <w:pStyle w:val="TableNumber"/>
            </w:pPr>
            <w:r>
              <w:t>1/13</w:t>
            </w:r>
          </w:p>
        </w:tc>
        <w:tc>
          <w:tcPr>
            <w:tcW w:w="1550" w:type="dxa"/>
            <w:vAlign w:val="center"/>
          </w:tcPr>
          <w:p>
            <w:pPr>
              <w:pStyle w:val="TableNumber"/>
            </w:pPr>
            <w:r>
              <w:t>0.07274</w:t>
            </w:r>
          </w:p>
        </w:tc>
        <w:tc>
          <w:tcPr>
            <w:tcW w:w="1610" w:type="dxa"/>
            <w:vAlign w:val="center"/>
          </w:tcPr>
          <w:p>
            <w:pPr>
              <w:pStyle w:val="TableNumber"/>
            </w:pPr>
            <w:r>
              <w:t>0.8712</w:t>
            </w:r>
          </w:p>
        </w:tc>
      </w:tr>
      <w:tr>
        <w:trPr>
          <w:cantSplit/>
        </w:trPr>
        <w:tc>
          <w:tcPr>
            <w:tcW w:w="650" w:type="dxa"/>
            <w:vAlign w:val="center"/>
          </w:tcPr>
          <w:p>
            <w:pPr>
              <w:pStyle w:val="TableText"/>
            </w:pPr>
            <w:r>
              <w:t>13d</w:t>
            </w:r>
          </w:p>
        </w:tc>
        <w:tc>
          <w:tcPr>
            <w:tcW w:w="1400" w:type="dxa"/>
            <w:vAlign w:val="center"/>
          </w:tcPr>
          <w:p>
            <w:pPr>
              <w:pStyle w:val="TableNumber"/>
            </w:pPr>
            <w:r>
              <w:t>0.08789</w:t>
            </w:r>
          </w:p>
        </w:tc>
        <w:tc>
          <w:tcPr>
            <w:tcW w:w="1550" w:type="dxa"/>
            <w:vAlign w:val="center"/>
          </w:tcPr>
          <w:p>
            <w:pPr>
              <w:pStyle w:val="TableNumber"/>
            </w:pPr>
            <w:r>
              <w:t>0.02577</w:t>
            </w:r>
          </w:p>
        </w:tc>
        <w:tc>
          <w:tcPr>
            <w:tcW w:w="1550" w:type="dxa"/>
            <w:vAlign w:val="center"/>
          </w:tcPr>
          <w:p>
            <w:pPr>
              <w:pStyle w:val="TableNumber"/>
            </w:pPr>
            <w:r>
              <w:t>0.2932</w:t>
            </w:r>
          </w:p>
        </w:tc>
        <w:tc>
          <w:tcPr>
            <w:tcW w:w="1050" w:type="dxa"/>
            <w:vAlign w:val="center"/>
          </w:tcPr>
          <w:p>
            <w:pPr>
              <w:pStyle w:val="TableNumber"/>
            </w:pPr>
            <w:r>
              <w:t>1/13</w:t>
            </w:r>
          </w:p>
        </w:tc>
        <w:tc>
          <w:tcPr>
            <w:tcW w:w="1550" w:type="dxa"/>
            <w:vAlign w:val="center"/>
          </w:tcPr>
          <w:p>
            <w:pPr>
              <w:pStyle w:val="TableNumber"/>
            </w:pPr>
            <w:r>
              <w:t>0.07582</w:t>
            </w:r>
          </w:p>
        </w:tc>
        <w:tc>
          <w:tcPr>
            <w:tcW w:w="1610" w:type="dxa"/>
            <w:vAlign w:val="center"/>
          </w:tcPr>
          <w:p>
            <w:pPr>
              <w:pStyle w:val="TableNumber"/>
            </w:pPr>
            <w:r>
              <w:t>0.8626</w:t>
            </w:r>
          </w:p>
        </w:tc>
      </w:tr>
      <w:tr>
        <w:trPr>
          <w:cantSplit/>
        </w:trPr>
        <w:tc>
          <w:tcPr>
            <w:tcW w:w="650" w:type="dxa"/>
            <w:vAlign w:val="center"/>
          </w:tcPr>
          <w:p>
            <w:pPr>
              <w:pStyle w:val="TableText"/>
            </w:pPr>
            <w:r>
              <w:t>14d</w:t>
            </w:r>
          </w:p>
        </w:tc>
        <w:tc>
          <w:tcPr>
            <w:tcW w:w="1400" w:type="dxa"/>
            <w:vAlign w:val="center"/>
          </w:tcPr>
          <w:p>
            <w:pPr>
              <w:pStyle w:val="TableNumber"/>
            </w:pPr>
            <w:r>
              <w:t>0.09131</w:t>
            </w:r>
          </w:p>
        </w:tc>
        <w:tc>
          <w:tcPr>
            <w:tcW w:w="1550" w:type="dxa"/>
            <w:vAlign w:val="center"/>
          </w:tcPr>
          <w:p>
            <w:pPr>
              <w:pStyle w:val="TableNumber"/>
            </w:pPr>
            <w:r>
              <w:t>0.02667</w:t>
            </w:r>
          </w:p>
        </w:tc>
        <w:tc>
          <w:tcPr>
            <w:tcW w:w="1550" w:type="dxa"/>
            <w:vAlign w:val="center"/>
          </w:tcPr>
          <w:p>
            <w:pPr>
              <w:pStyle w:val="TableNumber"/>
            </w:pPr>
            <w:r>
              <w:t>0.2921</w:t>
            </w:r>
          </w:p>
        </w:tc>
        <w:tc>
          <w:tcPr>
            <w:tcW w:w="1050" w:type="dxa"/>
            <w:vAlign w:val="center"/>
          </w:tcPr>
          <w:p>
            <w:pPr>
              <w:pStyle w:val="TableNumber"/>
            </w:pPr>
            <w:r>
              <w:t>1/13</w:t>
            </w:r>
          </w:p>
        </w:tc>
        <w:tc>
          <w:tcPr>
            <w:tcW w:w="1550" w:type="dxa"/>
            <w:vAlign w:val="center"/>
          </w:tcPr>
          <w:p>
            <w:pPr>
              <w:pStyle w:val="TableNumber"/>
            </w:pPr>
            <w:r>
              <w:t>0.07854</w:t>
            </w:r>
          </w:p>
        </w:tc>
        <w:tc>
          <w:tcPr>
            <w:tcW w:w="1610" w:type="dxa"/>
            <w:vAlign w:val="center"/>
          </w:tcPr>
          <w:p>
            <w:pPr>
              <w:pStyle w:val="TableNumber"/>
            </w:pPr>
            <w:r>
              <w:t>0.8602</w:t>
            </w:r>
          </w:p>
        </w:tc>
      </w:tr>
    </w:tbl>
    <w:p>
      <w:pPr>
        <w:pStyle w:val="a"/>
      </w:pPr>
      <w:r>
        <w:t>raw pinball 與 MAE 隨 horizon 變長而增加，主要因長期真值本身波動較大。除以 train-only robust scale 後，normalized pinball 從 1 日 0.3748 下降到 14 日 0.2921；這表示模型相對於各 horizon 自身尺度的分布誤差較低，不表示 14 日的原始金額誤差較小。</w:t>
      </w:r>
    </w:p>
    <w:p>
      <w:pPr>
        <w:pStyle w:val="21"/>
      </w:pPr>
      <w:r>
        <w:t>6.2 q50 與區間校準</w:t>
      </w:r>
    </w:p>
    <w:p>
      <w:pPr>
        <w:pStyle w:val="Decision"/>
        <w:keepNext/>
        <w:spacing w:after="80"/>
      </w:pPr>
      <w:r>
        <w:t>表 8｜每個 horizon 的點預測與區間</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離80%差距</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1d</w:t>
            </w:r>
          </w:p>
        </w:tc>
        <w:tc>
          <w:tcPr>
            <w:tcW w:w="1600" w:type="dxa"/>
            <w:vAlign w:val="center"/>
          </w:tcPr>
          <w:p>
            <w:pPr>
              <w:pStyle w:val="TableNumber"/>
            </w:pPr>
            <w:r>
              <w:t>0.0507</w:t>
            </w:r>
          </w:p>
        </w:tc>
        <w:tc>
          <w:tcPr>
            <w:tcW w:w="1650" w:type="dxa"/>
            <w:vAlign w:val="center"/>
          </w:tcPr>
          <w:p>
            <w:pPr>
              <w:pStyle w:val="TableNumber"/>
            </w:pPr>
            <w:r>
              <w:t>49.40%</w:t>
            </w:r>
          </w:p>
        </w:tc>
        <w:tc>
          <w:tcPr>
            <w:tcW w:w="1650" w:type="dxa"/>
            <w:vAlign w:val="center"/>
          </w:tcPr>
          <w:p>
            <w:pPr>
              <w:pStyle w:val="TableNumber"/>
            </w:pPr>
            <w:r>
              <w:t>83.59%</w:t>
            </w:r>
          </w:p>
        </w:tc>
        <w:tc>
          <w:tcPr>
            <w:tcW w:w="1800" w:type="dxa"/>
            <w:vAlign w:val="center"/>
          </w:tcPr>
          <w:p>
            <w:pPr>
              <w:pStyle w:val="TableNumber"/>
            </w:pPr>
            <w:r>
              <w:t>3.59 pp</w:t>
            </w:r>
          </w:p>
        </w:tc>
        <w:tc>
          <w:tcPr>
            <w:tcW w:w="1960" w:type="dxa"/>
            <w:vAlign w:val="center"/>
          </w:tcPr>
          <w:p>
            <w:pPr>
              <w:pStyle w:val="TableNumber"/>
            </w:pPr>
            <w:r>
              <w:t>0.0604</w:t>
            </w:r>
          </w:p>
        </w:tc>
      </w:tr>
      <w:tr>
        <w:trPr>
          <w:cantSplit/>
        </w:trPr>
        <w:tc>
          <w:tcPr>
            <w:tcW w:w="700" w:type="dxa"/>
            <w:vAlign w:val="center"/>
          </w:tcPr>
          <w:p>
            <w:pPr>
              <w:pStyle w:val="TableText"/>
            </w:pPr>
            <w:r>
              <w:t>2d</w:t>
            </w:r>
          </w:p>
        </w:tc>
        <w:tc>
          <w:tcPr>
            <w:tcW w:w="1600" w:type="dxa"/>
            <w:vAlign w:val="center"/>
          </w:tcPr>
          <w:p>
            <w:pPr>
              <w:pStyle w:val="TableNumber"/>
            </w:pPr>
            <w:r>
              <w:t>0.0598</w:t>
            </w:r>
          </w:p>
        </w:tc>
        <w:tc>
          <w:tcPr>
            <w:tcW w:w="1650" w:type="dxa"/>
            <w:vAlign w:val="center"/>
          </w:tcPr>
          <w:p>
            <w:pPr>
              <w:pStyle w:val="TableNumber"/>
            </w:pPr>
            <w:r>
              <w:t>50.36%</w:t>
            </w:r>
          </w:p>
        </w:tc>
        <w:tc>
          <w:tcPr>
            <w:tcW w:w="1650" w:type="dxa"/>
            <w:vAlign w:val="center"/>
          </w:tcPr>
          <w:p>
            <w:pPr>
              <w:pStyle w:val="TableNumber"/>
            </w:pPr>
            <w:r>
              <w:t>82.11%</w:t>
            </w:r>
          </w:p>
        </w:tc>
        <w:tc>
          <w:tcPr>
            <w:tcW w:w="1800" w:type="dxa"/>
            <w:vAlign w:val="center"/>
          </w:tcPr>
          <w:p>
            <w:pPr>
              <w:pStyle w:val="TableNumber"/>
            </w:pPr>
            <w:r>
              <w:t>2.11 pp</w:t>
            </w:r>
          </w:p>
        </w:tc>
        <w:tc>
          <w:tcPr>
            <w:tcW w:w="1960" w:type="dxa"/>
            <w:vAlign w:val="center"/>
          </w:tcPr>
          <w:p>
            <w:pPr>
              <w:pStyle w:val="TableNumber"/>
            </w:pPr>
            <w:r>
              <w:t>0.0880</w:t>
            </w:r>
          </w:p>
        </w:tc>
      </w:tr>
      <w:tr>
        <w:trPr>
          <w:cantSplit/>
        </w:trPr>
        <w:tc>
          <w:tcPr>
            <w:tcW w:w="700" w:type="dxa"/>
            <w:vAlign w:val="center"/>
          </w:tcPr>
          <w:p>
            <w:pPr>
              <w:pStyle w:val="TableText"/>
            </w:pPr>
            <w:r>
              <w:t>3d</w:t>
            </w:r>
          </w:p>
        </w:tc>
        <w:tc>
          <w:tcPr>
            <w:tcW w:w="1600" w:type="dxa"/>
            <w:vAlign w:val="center"/>
          </w:tcPr>
          <w:p>
            <w:pPr>
              <w:pStyle w:val="TableNumber"/>
            </w:pPr>
            <w:r>
              <w:t>0.0694</w:t>
            </w:r>
          </w:p>
        </w:tc>
        <w:tc>
          <w:tcPr>
            <w:tcW w:w="1650" w:type="dxa"/>
            <w:vAlign w:val="center"/>
          </w:tcPr>
          <w:p>
            <w:pPr>
              <w:pStyle w:val="TableNumber"/>
            </w:pPr>
            <w:r>
              <w:t>51.73%</w:t>
            </w:r>
          </w:p>
        </w:tc>
        <w:tc>
          <w:tcPr>
            <w:tcW w:w="1650" w:type="dxa"/>
            <w:vAlign w:val="center"/>
          </w:tcPr>
          <w:p>
            <w:pPr>
              <w:pStyle w:val="TableNumber"/>
            </w:pPr>
            <w:r>
              <w:t>80.69%</w:t>
            </w:r>
          </w:p>
        </w:tc>
        <w:tc>
          <w:tcPr>
            <w:tcW w:w="1800" w:type="dxa"/>
            <w:vAlign w:val="center"/>
          </w:tcPr>
          <w:p>
            <w:pPr>
              <w:pStyle w:val="TableNumber"/>
            </w:pPr>
            <w:r>
              <w:t>0.69 pp</w:t>
            </w:r>
          </w:p>
        </w:tc>
        <w:tc>
          <w:tcPr>
            <w:tcW w:w="1960" w:type="dxa"/>
            <w:vAlign w:val="center"/>
          </w:tcPr>
          <w:p>
            <w:pPr>
              <w:pStyle w:val="TableNumber"/>
            </w:pPr>
            <w:r>
              <w:t>0.1072</w:t>
            </w:r>
          </w:p>
        </w:tc>
      </w:tr>
      <w:tr>
        <w:trPr>
          <w:cantSplit/>
        </w:trPr>
        <w:tc>
          <w:tcPr>
            <w:tcW w:w="700" w:type="dxa"/>
            <w:vAlign w:val="center"/>
          </w:tcPr>
          <w:p>
            <w:pPr>
              <w:pStyle w:val="TableText"/>
            </w:pPr>
            <w:r>
              <w:t>4d</w:t>
            </w:r>
          </w:p>
        </w:tc>
        <w:tc>
          <w:tcPr>
            <w:tcW w:w="1600" w:type="dxa"/>
            <w:vAlign w:val="center"/>
          </w:tcPr>
          <w:p>
            <w:pPr>
              <w:pStyle w:val="TableNumber"/>
            </w:pPr>
            <w:r>
              <w:t>0.0733</w:t>
            </w:r>
          </w:p>
        </w:tc>
        <w:tc>
          <w:tcPr>
            <w:tcW w:w="1650" w:type="dxa"/>
            <w:vAlign w:val="center"/>
          </w:tcPr>
          <w:p>
            <w:pPr>
              <w:pStyle w:val="TableNumber"/>
            </w:pPr>
            <w:r>
              <w:t>53.13%</w:t>
            </w:r>
          </w:p>
        </w:tc>
        <w:tc>
          <w:tcPr>
            <w:tcW w:w="1650" w:type="dxa"/>
            <w:vAlign w:val="center"/>
          </w:tcPr>
          <w:p>
            <w:pPr>
              <w:pStyle w:val="TableNumber"/>
            </w:pPr>
            <w:r>
              <w:t>79.62%</w:t>
            </w:r>
          </w:p>
        </w:tc>
        <w:tc>
          <w:tcPr>
            <w:tcW w:w="1800" w:type="dxa"/>
            <w:vAlign w:val="center"/>
          </w:tcPr>
          <w:p>
            <w:pPr>
              <w:pStyle w:val="TableNumber"/>
            </w:pPr>
            <w:r>
              <w:t>0.38 pp</w:t>
            </w:r>
          </w:p>
        </w:tc>
        <w:tc>
          <w:tcPr>
            <w:tcW w:w="1960" w:type="dxa"/>
            <w:vAlign w:val="center"/>
          </w:tcPr>
          <w:p>
            <w:pPr>
              <w:pStyle w:val="TableNumber"/>
            </w:pPr>
            <w:r>
              <w:t>0.1218</w:t>
            </w:r>
          </w:p>
        </w:tc>
      </w:tr>
      <w:tr>
        <w:trPr>
          <w:cantSplit/>
        </w:trPr>
        <w:tc>
          <w:tcPr>
            <w:tcW w:w="700" w:type="dxa"/>
            <w:vAlign w:val="center"/>
          </w:tcPr>
          <w:p>
            <w:pPr>
              <w:pStyle w:val="TableText"/>
            </w:pPr>
            <w:r>
              <w:t>5d</w:t>
            </w:r>
          </w:p>
        </w:tc>
        <w:tc>
          <w:tcPr>
            <w:tcW w:w="1600" w:type="dxa"/>
            <w:vAlign w:val="center"/>
          </w:tcPr>
          <w:p>
            <w:pPr>
              <w:pStyle w:val="TableNumber"/>
            </w:pPr>
            <w:r>
              <w:t>0.0788</w:t>
            </w:r>
          </w:p>
        </w:tc>
        <w:tc>
          <w:tcPr>
            <w:tcW w:w="1650" w:type="dxa"/>
            <w:vAlign w:val="center"/>
          </w:tcPr>
          <w:p>
            <w:pPr>
              <w:pStyle w:val="TableNumber"/>
            </w:pPr>
            <w:r>
              <w:t>53.55%</w:t>
            </w:r>
          </w:p>
        </w:tc>
        <w:tc>
          <w:tcPr>
            <w:tcW w:w="1650" w:type="dxa"/>
            <w:vAlign w:val="center"/>
          </w:tcPr>
          <w:p>
            <w:pPr>
              <w:pStyle w:val="TableNumber"/>
            </w:pPr>
            <w:r>
              <w:t>79.12%</w:t>
            </w:r>
          </w:p>
        </w:tc>
        <w:tc>
          <w:tcPr>
            <w:tcW w:w="1800" w:type="dxa"/>
            <w:vAlign w:val="center"/>
          </w:tcPr>
          <w:p>
            <w:pPr>
              <w:pStyle w:val="TableNumber"/>
            </w:pPr>
            <w:r>
              <w:t>0.89 pp</w:t>
            </w:r>
          </w:p>
        </w:tc>
        <w:tc>
          <w:tcPr>
            <w:tcW w:w="1960" w:type="dxa"/>
            <w:vAlign w:val="center"/>
          </w:tcPr>
          <w:p>
            <w:pPr>
              <w:pStyle w:val="TableNumber"/>
            </w:pPr>
            <w:r>
              <w:t>0.1353</w:t>
            </w:r>
          </w:p>
        </w:tc>
      </w:tr>
      <w:tr>
        <w:trPr>
          <w:cantSplit/>
        </w:trPr>
        <w:tc>
          <w:tcPr>
            <w:tcW w:w="700" w:type="dxa"/>
            <w:vAlign w:val="center"/>
          </w:tcPr>
          <w:p>
            <w:pPr>
              <w:pStyle w:val="TableText"/>
            </w:pPr>
            <w:r>
              <w:t>6d</w:t>
            </w:r>
          </w:p>
        </w:tc>
        <w:tc>
          <w:tcPr>
            <w:tcW w:w="1600" w:type="dxa"/>
            <w:vAlign w:val="center"/>
          </w:tcPr>
          <w:p>
            <w:pPr>
              <w:pStyle w:val="TableNumber"/>
            </w:pPr>
            <w:r>
              <w:t>0.0809</w:t>
            </w:r>
          </w:p>
        </w:tc>
        <w:tc>
          <w:tcPr>
            <w:tcW w:w="1650" w:type="dxa"/>
            <w:vAlign w:val="center"/>
          </w:tcPr>
          <w:p>
            <w:pPr>
              <w:pStyle w:val="TableNumber"/>
            </w:pPr>
            <w:r>
              <w:t>54.50%</w:t>
            </w:r>
          </w:p>
        </w:tc>
        <w:tc>
          <w:tcPr>
            <w:tcW w:w="1650" w:type="dxa"/>
            <w:vAlign w:val="center"/>
          </w:tcPr>
          <w:p>
            <w:pPr>
              <w:pStyle w:val="TableNumber"/>
            </w:pPr>
            <w:r>
              <w:t>79.17%</w:t>
            </w:r>
          </w:p>
        </w:tc>
        <w:tc>
          <w:tcPr>
            <w:tcW w:w="1800" w:type="dxa"/>
            <w:vAlign w:val="center"/>
          </w:tcPr>
          <w:p>
            <w:pPr>
              <w:pStyle w:val="TableNumber"/>
            </w:pPr>
            <w:r>
              <w:t>0.83 pp</w:t>
            </w:r>
          </w:p>
        </w:tc>
        <w:tc>
          <w:tcPr>
            <w:tcW w:w="1960" w:type="dxa"/>
            <w:vAlign w:val="center"/>
          </w:tcPr>
          <w:p>
            <w:pPr>
              <w:pStyle w:val="TableNumber"/>
            </w:pPr>
            <w:r>
              <w:t>0.1485</w:t>
            </w:r>
          </w:p>
        </w:tc>
      </w:tr>
      <w:tr>
        <w:trPr>
          <w:cantSplit/>
        </w:trPr>
        <w:tc>
          <w:tcPr>
            <w:tcW w:w="700" w:type="dxa"/>
            <w:vAlign w:val="center"/>
          </w:tcPr>
          <w:p>
            <w:pPr>
              <w:pStyle w:val="TableText"/>
            </w:pPr>
            <w:r>
              <w:t>7d</w:t>
            </w:r>
          </w:p>
        </w:tc>
        <w:tc>
          <w:tcPr>
            <w:tcW w:w="1600" w:type="dxa"/>
            <w:vAlign w:val="center"/>
          </w:tcPr>
          <w:p>
            <w:pPr>
              <w:pStyle w:val="TableNumber"/>
            </w:pPr>
            <w:r>
              <w:t>0.0828</w:t>
            </w:r>
          </w:p>
        </w:tc>
        <w:tc>
          <w:tcPr>
            <w:tcW w:w="1650" w:type="dxa"/>
            <w:vAlign w:val="center"/>
          </w:tcPr>
          <w:p>
            <w:pPr>
              <w:pStyle w:val="TableNumber"/>
            </w:pPr>
            <w:r>
              <w:t>53.84%</w:t>
            </w:r>
          </w:p>
        </w:tc>
        <w:tc>
          <w:tcPr>
            <w:tcW w:w="1650" w:type="dxa"/>
            <w:vAlign w:val="center"/>
          </w:tcPr>
          <w:p>
            <w:pPr>
              <w:pStyle w:val="TableNumber"/>
            </w:pPr>
            <w:r>
              <w:t>78.44%</w:t>
            </w:r>
          </w:p>
        </w:tc>
        <w:tc>
          <w:tcPr>
            <w:tcW w:w="1800" w:type="dxa"/>
            <w:vAlign w:val="center"/>
          </w:tcPr>
          <w:p>
            <w:pPr>
              <w:pStyle w:val="TableNumber"/>
            </w:pPr>
            <w:r>
              <w:t>1.57 pp</w:t>
            </w:r>
          </w:p>
        </w:tc>
        <w:tc>
          <w:tcPr>
            <w:tcW w:w="1960" w:type="dxa"/>
            <w:vAlign w:val="center"/>
          </w:tcPr>
          <w:p>
            <w:pPr>
              <w:pStyle w:val="TableNumber"/>
            </w:pPr>
            <w:r>
              <w:t>0.1588</w:t>
            </w:r>
          </w:p>
        </w:tc>
      </w:tr>
      <w:tr>
        <w:trPr>
          <w:cantSplit/>
        </w:trPr>
        <w:tc>
          <w:tcPr>
            <w:tcW w:w="700" w:type="dxa"/>
            <w:vAlign w:val="center"/>
          </w:tcPr>
          <w:p>
            <w:pPr>
              <w:pStyle w:val="TableText"/>
            </w:pPr>
            <w:r>
              <w:t>8d</w:t>
            </w:r>
          </w:p>
        </w:tc>
        <w:tc>
          <w:tcPr>
            <w:tcW w:w="1600" w:type="dxa"/>
            <w:vAlign w:val="center"/>
          </w:tcPr>
          <w:p>
            <w:pPr>
              <w:pStyle w:val="TableNumber"/>
            </w:pPr>
            <w:r>
              <w:t>0.0847</w:t>
            </w:r>
          </w:p>
        </w:tc>
        <w:tc>
          <w:tcPr>
            <w:tcW w:w="1650" w:type="dxa"/>
            <w:vAlign w:val="center"/>
          </w:tcPr>
          <w:p>
            <w:pPr>
              <w:pStyle w:val="TableNumber"/>
            </w:pPr>
            <w:r>
              <w:t>54.52%</w:t>
            </w:r>
          </w:p>
        </w:tc>
        <w:tc>
          <w:tcPr>
            <w:tcW w:w="1650" w:type="dxa"/>
            <w:vAlign w:val="center"/>
          </w:tcPr>
          <w:p>
            <w:pPr>
              <w:pStyle w:val="TableNumber"/>
            </w:pPr>
            <w:r>
              <w:t>77.90%</w:t>
            </w:r>
          </w:p>
        </w:tc>
        <w:tc>
          <w:tcPr>
            <w:tcW w:w="1800" w:type="dxa"/>
            <w:vAlign w:val="center"/>
          </w:tcPr>
          <w:p>
            <w:pPr>
              <w:pStyle w:val="TableNumber"/>
            </w:pPr>
            <w:r>
              <w:t>2.11 pp</w:t>
            </w:r>
          </w:p>
        </w:tc>
        <w:tc>
          <w:tcPr>
            <w:tcW w:w="1960" w:type="dxa"/>
            <w:vAlign w:val="center"/>
          </w:tcPr>
          <w:p>
            <w:pPr>
              <w:pStyle w:val="TableNumber"/>
            </w:pPr>
            <w:r>
              <w:t>0.1687</w:t>
            </w:r>
          </w:p>
        </w:tc>
      </w:tr>
      <w:tr>
        <w:trPr>
          <w:cantSplit/>
        </w:trPr>
        <w:tc>
          <w:tcPr>
            <w:tcW w:w="700" w:type="dxa"/>
            <w:vAlign w:val="center"/>
          </w:tcPr>
          <w:p>
            <w:pPr>
              <w:pStyle w:val="TableText"/>
            </w:pPr>
            <w:r>
              <w:t>9d</w:t>
            </w:r>
          </w:p>
        </w:tc>
        <w:tc>
          <w:tcPr>
            <w:tcW w:w="1600" w:type="dxa"/>
            <w:vAlign w:val="center"/>
          </w:tcPr>
          <w:p>
            <w:pPr>
              <w:pStyle w:val="TableNumber"/>
            </w:pPr>
            <w:r>
              <w:t>0.0950</w:t>
            </w:r>
          </w:p>
        </w:tc>
        <w:tc>
          <w:tcPr>
            <w:tcW w:w="1650" w:type="dxa"/>
            <w:vAlign w:val="center"/>
          </w:tcPr>
          <w:p>
            <w:pPr>
              <w:pStyle w:val="TableNumber"/>
            </w:pPr>
            <w:r>
              <w:t>55.09%</w:t>
            </w:r>
          </w:p>
        </w:tc>
        <w:tc>
          <w:tcPr>
            <w:tcW w:w="1650" w:type="dxa"/>
            <w:vAlign w:val="center"/>
          </w:tcPr>
          <w:p>
            <w:pPr>
              <w:pStyle w:val="TableNumber"/>
            </w:pPr>
            <w:r>
              <w:t>77.53%</w:t>
            </w:r>
          </w:p>
        </w:tc>
        <w:tc>
          <w:tcPr>
            <w:tcW w:w="1800" w:type="dxa"/>
            <w:vAlign w:val="center"/>
          </w:tcPr>
          <w:p>
            <w:pPr>
              <w:pStyle w:val="TableNumber"/>
            </w:pPr>
            <w:r>
              <w:t>2.47 pp</w:t>
            </w:r>
          </w:p>
        </w:tc>
        <w:tc>
          <w:tcPr>
            <w:tcW w:w="1960" w:type="dxa"/>
            <w:vAlign w:val="center"/>
          </w:tcPr>
          <w:p>
            <w:pPr>
              <w:pStyle w:val="TableNumber"/>
            </w:pPr>
            <w:r>
              <w:t>0.1782</w:t>
            </w:r>
          </w:p>
        </w:tc>
      </w:tr>
      <w:tr>
        <w:trPr>
          <w:cantSplit/>
        </w:trPr>
        <w:tc>
          <w:tcPr>
            <w:tcW w:w="700" w:type="dxa"/>
            <w:vAlign w:val="center"/>
          </w:tcPr>
          <w:p>
            <w:pPr>
              <w:pStyle w:val="TableText"/>
            </w:pPr>
            <w:r>
              <w:t>10d</w:t>
            </w:r>
          </w:p>
        </w:tc>
        <w:tc>
          <w:tcPr>
            <w:tcW w:w="1600" w:type="dxa"/>
            <w:vAlign w:val="center"/>
          </w:tcPr>
          <w:p>
            <w:pPr>
              <w:pStyle w:val="TableNumber"/>
            </w:pPr>
            <w:r>
              <w:t>0.0971</w:t>
            </w:r>
          </w:p>
        </w:tc>
        <w:tc>
          <w:tcPr>
            <w:tcW w:w="1650" w:type="dxa"/>
            <w:vAlign w:val="center"/>
          </w:tcPr>
          <w:p>
            <w:pPr>
              <w:pStyle w:val="TableNumber"/>
            </w:pPr>
            <w:r>
              <w:t>55.62%</w:t>
            </w:r>
          </w:p>
        </w:tc>
        <w:tc>
          <w:tcPr>
            <w:tcW w:w="1650" w:type="dxa"/>
            <w:vAlign w:val="center"/>
          </w:tcPr>
          <w:p>
            <w:pPr>
              <w:pStyle w:val="TableNumber"/>
            </w:pPr>
            <w:r>
              <w:t>78.00%</w:t>
            </w:r>
          </w:p>
        </w:tc>
        <w:tc>
          <w:tcPr>
            <w:tcW w:w="1800" w:type="dxa"/>
            <w:vAlign w:val="center"/>
          </w:tcPr>
          <w:p>
            <w:pPr>
              <w:pStyle w:val="TableNumber"/>
            </w:pPr>
            <w:r>
              <w:t>2.00 pp</w:t>
            </w:r>
          </w:p>
        </w:tc>
        <w:tc>
          <w:tcPr>
            <w:tcW w:w="1960" w:type="dxa"/>
            <w:vAlign w:val="center"/>
          </w:tcPr>
          <w:p>
            <w:pPr>
              <w:pStyle w:val="TableNumber"/>
            </w:pPr>
            <w:r>
              <w:t>0.1880</w:t>
            </w:r>
          </w:p>
        </w:tc>
      </w:tr>
      <w:tr>
        <w:trPr>
          <w:cantSplit/>
        </w:trPr>
        <w:tc>
          <w:tcPr>
            <w:tcW w:w="700" w:type="dxa"/>
            <w:vAlign w:val="center"/>
          </w:tcPr>
          <w:p>
            <w:pPr>
              <w:pStyle w:val="TableText"/>
            </w:pPr>
            <w:r>
              <w:t>11d</w:t>
            </w:r>
          </w:p>
        </w:tc>
        <w:tc>
          <w:tcPr>
            <w:tcW w:w="1600" w:type="dxa"/>
            <w:vAlign w:val="center"/>
          </w:tcPr>
          <w:p>
            <w:pPr>
              <w:pStyle w:val="TableNumber"/>
            </w:pPr>
            <w:r>
              <w:t>0.1008</w:t>
            </w:r>
          </w:p>
        </w:tc>
        <w:tc>
          <w:tcPr>
            <w:tcW w:w="1650" w:type="dxa"/>
            <w:vAlign w:val="center"/>
          </w:tcPr>
          <w:p>
            <w:pPr>
              <w:pStyle w:val="TableNumber"/>
            </w:pPr>
            <w:r>
              <w:t>56.19%</w:t>
            </w:r>
          </w:p>
        </w:tc>
        <w:tc>
          <w:tcPr>
            <w:tcW w:w="1650" w:type="dxa"/>
            <w:vAlign w:val="center"/>
          </w:tcPr>
          <w:p>
            <w:pPr>
              <w:pStyle w:val="TableNumber"/>
            </w:pPr>
            <w:r>
              <w:t>77.13%</w:t>
            </w:r>
          </w:p>
        </w:tc>
        <w:tc>
          <w:tcPr>
            <w:tcW w:w="1800" w:type="dxa"/>
            <w:vAlign w:val="center"/>
          </w:tcPr>
          <w:p>
            <w:pPr>
              <w:pStyle w:val="TableNumber"/>
            </w:pPr>
            <w:r>
              <w:t>2.87 pp</w:t>
            </w:r>
          </w:p>
        </w:tc>
        <w:tc>
          <w:tcPr>
            <w:tcW w:w="1960" w:type="dxa"/>
            <w:vAlign w:val="center"/>
          </w:tcPr>
          <w:p>
            <w:pPr>
              <w:pStyle w:val="TableNumber"/>
            </w:pPr>
            <w:r>
              <w:t>0.1975</w:t>
            </w:r>
          </w:p>
        </w:tc>
      </w:tr>
      <w:tr>
        <w:trPr>
          <w:cantSplit/>
        </w:trPr>
        <w:tc>
          <w:tcPr>
            <w:tcW w:w="700" w:type="dxa"/>
            <w:vAlign w:val="center"/>
          </w:tcPr>
          <w:p>
            <w:pPr>
              <w:pStyle w:val="TableText"/>
            </w:pPr>
            <w:r>
              <w:t>12d</w:t>
            </w:r>
          </w:p>
        </w:tc>
        <w:tc>
          <w:tcPr>
            <w:tcW w:w="1600" w:type="dxa"/>
            <w:vAlign w:val="center"/>
          </w:tcPr>
          <w:p>
            <w:pPr>
              <w:pStyle w:val="TableNumber"/>
            </w:pPr>
            <w:r>
              <w:t>0.1046</w:t>
            </w:r>
          </w:p>
        </w:tc>
        <w:tc>
          <w:tcPr>
            <w:tcW w:w="1650" w:type="dxa"/>
            <w:vAlign w:val="center"/>
          </w:tcPr>
          <w:p>
            <w:pPr>
              <w:pStyle w:val="TableNumber"/>
            </w:pPr>
            <w:r>
              <w:t>56.29%</w:t>
            </w:r>
          </w:p>
        </w:tc>
        <w:tc>
          <w:tcPr>
            <w:tcW w:w="1650" w:type="dxa"/>
            <w:vAlign w:val="center"/>
          </w:tcPr>
          <w:p>
            <w:pPr>
              <w:pStyle w:val="TableNumber"/>
            </w:pPr>
            <w:r>
              <w:t>76.55%</w:t>
            </w:r>
          </w:p>
        </w:tc>
        <w:tc>
          <w:tcPr>
            <w:tcW w:w="1800" w:type="dxa"/>
            <w:vAlign w:val="center"/>
          </w:tcPr>
          <w:p>
            <w:pPr>
              <w:pStyle w:val="TableNumber"/>
            </w:pPr>
            <w:r>
              <w:t>3.45 pp</w:t>
            </w:r>
          </w:p>
        </w:tc>
        <w:tc>
          <w:tcPr>
            <w:tcW w:w="1960" w:type="dxa"/>
            <w:vAlign w:val="center"/>
          </w:tcPr>
          <w:p>
            <w:pPr>
              <w:pStyle w:val="TableNumber"/>
            </w:pPr>
            <w:r>
              <w:t>0.2050</w:t>
            </w:r>
          </w:p>
        </w:tc>
      </w:tr>
      <w:tr>
        <w:trPr>
          <w:cantSplit/>
        </w:trPr>
        <w:tc>
          <w:tcPr>
            <w:tcW w:w="700" w:type="dxa"/>
            <w:vAlign w:val="center"/>
          </w:tcPr>
          <w:p>
            <w:pPr>
              <w:pStyle w:val="TableText"/>
            </w:pPr>
            <w:r>
              <w:t>13d</w:t>
            </w:r>
          </w:p>
        </w:tc>
        <w:tc>
          <w:tcPr>
            <w:tcW w:w="1600" w:type="dxa"/>
            <w:vAlign w:val="center"/>
          </w:tcPr>
          <w:p>
            <w:pPr>
              <w:pStyle w:val="TableNumber"/>
            </w:pPr>
            <w:r>
              <w:t>0.1000</w:t>
            </w:r>
          </w:p>
        </w:tc>
        <w:tc>
          <w:tcPr>
            <w:tcW w:w="1650" w:type="dxa"/>
            <w:vAlign w:val="center"/>
          </w:tcPr>
          <w:p>
            <w:pPr>
              <w:pStyle w:val="TableNumber"/>
            </w:pPr>
            <w:r>
              <w:t>55.24%</w:t>
            </w:r>
          </w:p>
        </w:tc>
        <w:tc>
          <w:tcPr>
            <w:tcW w:w="1650" w:type="dxa"/>
            <w:vAlign w:val="center"/>
          </w:tcPr>
          <w:p>
            <w:pPr>
              <w:pStyle w:val="TableNumber"/>
            </w:pPr>
            <w:r>
              <w:t>76.05%</w:t>
            </w:r>
          </w:p>
        </w:tc>
        <w:tc>
          <w:tcPr>
            <w:tcW w:w="1800" w:type="dxa"/>
            <w:vAlign w:val="center"/>
          </w:tcPr>
          <w:p>
            <w:pPr>
              <w:pStyle w:val="TableNumber"/>
            </w:pPr>
            <w:r>
              <w:t>3.95 pp</w:t>
            </w:r>
          </w:p>
        </w:tc>
        <w:tc>
          <w:tcPr>
            <w:tcW w:w="1960" w:type="dxa"/>
            <w:vAlign w:val="center"/>
          </w:tcPr>
          <w:p>
            <w:pPr>
              <w:pStyle w:val="TableNumber"/>
            </w:pPr>
            <w:r>
              <w:t>0.2129</w:t>
            </w:r>
          </w:p>
        </w:tc>
      </w:tr>
      <w:tr>
        <w:trPr>
          <w:cantSplit/>
        </w:trPr>
        <w:tc>
          <w:tcPr>
            <w:tcW w:w="700" w:type="dxa"/>
            <w:vAlign w:val="center"/>
          </w:tcPr>
          <w:p>
            <w:pPr>
              <w:pStyle w:val="TableText"/>
            </w:pPr>
            <w:r>
              <w:t>14d</w:t>
            </w:r>
          </w:p>
        </w:tc>
        <w:tc>
          <w:tcPr>
            <w:tcW w:w="1600" w:type="dxa"/>
            <w:vAlign w:val="center"/>
          </w:tcPr>
          <w:p>
            <w:pPr>
              <w:pStyle w:val="TableNumber"/>
            </w:pPr>
            <w:r>
              <w:t>0.1065</w:t>
            </w:r>
          </w:p>
        </w:tc>
        <w:tc>
          <w:tcPr>
            <w:tcW w:w="1650" w:type="dxa"/>
            <w:vAlign w:val="center"/>
          </w:tcPr>
          <w:p>
            <w:pPr>
              <w:pStyle w:val="TableNumber"/>
            </w:pPr>
            <w:r>
              <w:t>55.30%</w:t>
            </w:r>
          </w:p>
        </w:tc>
        <w:tc>
          <w:tcPr>
            <w:tcW w:w="1650" w:type="dxa"/>
            <w:vAlign w:val="center"/>
          </w:tcPr>
          <w:p>
            <w:pPr>
              <w:pStyle w:val="TableNumber"/>
            </w:pPr>
            <w:r>
              <w:t>76.81%</w:t>
            </w:r>
          </w:p>
        </w:tc>
        <w:tc>
          <w:tcPr>
            <w:tcW w:w="1800" w:type="dxa"/>
            <w:vAlign w:val="center"/>
          </w:tcPr>
          <w:p>
            <w:pPr>
              <w:pStyle w:val="TableNumber"/>
            </w:pPr>
            <w:r>
              <w:t>3.19 pp</w:t>
            </w:r>
          </w:p>
        </w:tc>
        <w:tc>
          <w:tcPr>
            <w:tcW w:w="1960" w:type="dxa"/>
            <w:vAlign w:val="center"/>
          </w:tcPr>
          <w:p>
            <w:pPr>
              <w:pStyle w:val="TableNumber"/>
            </w:pPr>
            <w:r>
              <w:t>0.2224</w:t>
            </w:r>
          </w:p>
        </w:tc>
      </w:tr>
    </w:tbl>
    <w:p>
      <w:pPr>
        <w:pStyle w:val="a"/>
      </w:pPr>
      <w:r>
        <w:t>q50 correlation 從 1 日 0.0507 整體提高到 14 日 0.1065；方向一致率除 1 日 49.40% 外，其餘都高於 50%。coverage 在 1 日為 83.59%，3 至 6 日最接近 80%，7 日後多為低覆蓋，13 日最低 76.05%。區間寬度由 0.0604 增至 0.2224，符合持有期越長、可能結果越分散的直覺。</w:t>
      </w:r>
    </w:p>
    <w:p>
      <w:pPr>
        <w:pStyle w:val="21"/>
      </w:pPr>
      <w:r>
        <w:t>6.3 橫斷面排序與資金路徑</w:t>
      </w:r>
    </w:p>
    <w:p>
      <w:pPr>
        <w:pStyle w:val="Decision"/>
        <w:keepNext/>
        <w:spacing w:after="80"/>
      </w:pPr>
      <w:r>
        <w:t>表 9｜每個 horizon 的經濟診斷</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0.0521 (1/13)</w:t>
            </w:r>
          </w:p>
        </w:tc>
        <w:tc>
          <w:tcPr>
            <w:tcW w:w="1100" w:type="dxa"/>
            <w:vAlign w:val="center"/>
          </w:tcPr>
          <w:p>
            <w:pPr>
              <w:pStyle w:val="TableNumber"/>
            </w:pPr>
            <w:r>
              <w:t>0.397</w:t>
            </w:r>
          </w:p>
        </w:tc>
        <w:tc>
          <w:tcPr>
            <w:tcW w:w="1500" w:type="dxa"/>
            <w:vAlign w:val="center"/>
          </w:tcPr>
          <w:p>
            <w:pPr>
              <w:pStyle w:val="TableNumber"/>
            </w:pPr>
            <w:r>
              <w:t>+0.33%</w:t>
            </w:r>
          </w:p>
        </w:tc>
        <w:tc>
          <w:tcPr>
            <w:tcW w:w="1650" w:type="dxa"/>
            <w:vAlign w:val="center"/>
          </w:tcPr>
          <w:p>
            <w:pPr>
              <w:pStyle w:val="TableNumber"/>
            </w:pPr>
            <w:r>
              <w:t>3.04 (1/13)</w:t>
            </w:r>
          </w:p>
        </w:tc>
        <w:tc>
          <w:tcPr>
            <w:tcW w:w="1600" w:type="dxa"/>
            <w:vAlign w:val="center"/>
          </w:tcPr>
          <w:p>
            <w:pPr>
              <w:pStyle w:val="TableNumber"/>
            </w:pPr>
            <w:r>
              <w:t>-15.4% (6/13)</w:t>
            </w:r>
          </w:p>
        </w:tc>
        <w:tc>
          <w:tcPr>
            <w:tcW w:w="960" w:type="dxa"/>
            <w:vAlign w:val="center"/>
          </w:tcPr>
          <w:p>
            <w:pPr>
              <w:pStyle w:val="TableNumber"/>
            </w:pPr>
            <w:r>
              <w:t>0.466</w:t>
            </w:r>
          </w:p>
        </w:tc>
      </w:tr>
      <w:tr>
        <w:trPr>
          <w:cantSplit/>
        </w:trPr>
        <w:tc>
          <w:tcPr>
            <w:tcW w:w="650" w:type="dxa"/>
            <w:vAlign w:val="center"/>
          </w:tcPr>
          <w:p>
            <w:pPr>
              <w:pStyle w:val="TableText"/>
            </w:pPr>
            <w:r>
              <w:t>2d</w:t>
            </w:r>
          </w:p>
        </w:tc>
        <w:tc>
          <w:tcPr>
            <w:tcW w:w="1900" w:type="dxa"/>
            <w:vAlign w:val="center"/>
          </w:tcPr>
          <w:p>
            <w:pPr>
              <w:pStyle w:val="TableNumber"/>
            </w:pPr>
            <w:r>
              <w:t>0.0585 (1/13)</w:t>
            </w:r>
          </w:p>
        </w:tc>
        <w:tc>
          <w:tcPr>
            <w:tcW w:w="1100" w:type="dxa"/>
            <w:vAlign w:val="center"/>
          </w:tcPr>
          <w:p>
            <w:pPr>
              <w:pStyle w:val="TableNumber"/>
            </w:pPr>
            <w:r>
              <w:t>0.388</w:t>
            </w:r>
          </w:p>
        </w:tc>
        <w:tc>
          <w:tcPr>
            <w:tcW w:w="1500" w:type="dxa"/>
            <w:vAlign w:val="center"/>
          </w:tcPr>
          <w:p>
            <w:pPr>
              <w:pStyle w:val="TableNumber"/>
            </w:pPr>
            <w:r>
              <w:t>+0.60%</w:t>
            </w:r>
          </w:p>
        </w:tc>
        <w:tc>
          <w:tcPr>
            <w:tcW w:w="1650" w:type="dxa"/>
            <w:vAlign w:val="center"/>
          </w:tcPr>
          <w:p>
            <w:pPr>
              <w:pStyle w:val="TableNumber"/>
            </w:pPr>
            <w:r>
              <w:t>2.83 (2/13)</w:t>
            </w:r>
          </w:p>
        </w:tc>
        <w:tc>
          <w:tcPr>
            <w:tcW w:w="1600" w:type="dxa"/>
            <w:vAlign w:val="center"/>
          </w:tcPr>
          <w:p>
            <w:pPr>
              <w:pStyle w:val="TableNumber"/>
            </w:pPr>
            <w:r>
              <w:t>-20.4% (5/13)</w:t>
            </w:r>
          </w:p>
        </w:tc>
        <w:tc>
          <w:tcPr>
            <w:tcW w:w="960" w:type="dxa"/>
            <w:vAlign w:val="center"/>
          </w:tcPr>
          <w:p>
            <w:pPr>
              <w:pStyle w:val="TableNumber"/>
            </w:pPr>
            <w:r>
              <w:t>0.420</w:t>
            </w:r>
          </w:p>
        </w:tc>
      </w:tr>
      <w:tr>
        <w:trPr>
          <w:cantSplit/>
        </w:trPr>
        <w:tc>
          <w:tcPr>
            <w:tcW w:w="650" w:type="dxa"/>
            <w:vAlign w:val="center"/>
          </w:tcPr>
          <w:p>
            <w:pPr>
              <w:pStyle w:val="TableText"/>
            </w:pPr>
            <w:r>
              <w:t>3d</w:t>
            </w:r>
          </w:p>
        </w:tc>
        <w:tc>
          <w:tcPr>
            <w:tcW w:w="1900" w:type="dxa"/>
            <w:vAlign w:val="center"/>
          </w:tcPr>
          <w:p>
            <w:pPr>
              <w:pStyle w:val="TableNumber"/>
            </w:pPr>
            <w:r>
              <w:t>0.0720 (1/13)</w:t>
            </w:r>
          </w:p>
        </w:tc>
        <w:tc>
          <w:tcPr>
            <w:tcW w:w="1100" w:type="dxa"/>
            <w:vAlign w:val="center"/>
          </w:tcPr>
          <w:p>
            <w:pPr>
              <w:pStyle w:val="TableNumber"/>
            </w:pPr>
            <w:r>
              <w:t>0.465</w:t>
            </w:r>
          </w:p>
        </w:tc>
        <w:tc>
          <w:tcPr>
            <w:tcW w:w="1500" w:type="dxa"/>
            <w:vAlign w:val="center"/>
          </w:tcPr>
          <w:p>
            <w:pPr>
              <w:pStyle w:val="TableNumber"/>
            </w:pPr>
            <w:r>
              <w:t>+0.99%</w:t>
            </w:r>
          </w:p>
        </w:tc>
        <w:tc>
          <w:tcPr>
            <w:tcW w:w="1650" w:type="dxa"/>
            <w:vAlign w:val="center"/>
          </w:tcPr>
          <w:p>
            <w:pPr>
              <w:pStyle w:val="TableNumber"/>
            </w:pPr>
            <w:r>
              <w:t>2.92 (1/13)</w:t>
            </w:r>
          </w:p>
        </w:tc>
        <w:tc>
          <w:tcPr>
            <w:tcW w:w="1600" w:type="dxa"/>
            <w:vAlign w:val="center"/>
          </w:tcPr>
          <w:p>
            <w:pPr>
              <w:pStyle w:val="TableNumber"/>
            </w:pPr>
            <w:r>
              <w:t>-26.3% (6/13)</w:t>
            </w:r>
          </w:p>
        </w:tc>
        <w:tc>
          <w:tcPr>
            <w:tcW w:w="960" w:type="dxa"/>
            <w:vAlign w:val="center"/>
          </w:tcPr>
          <w:p>
            <w:pPr>
              <w:pStyle w:val="TableNumber"/>
            </w:pPr>
            <w:r>
              <w:t>0.435</w:t>
            </w:r>
          </w:p>
        </w:tc>
      </w:tr>
      <w:tr>
        <w:trPr>
          <w:cantSplit/>
        </w:trPr>
        <w:tc>
          <w:tcPr>
            <w:tcW w:w="650" w:type="dxa"/>
            <w:vAlign w:val="center"/>
          </w:tcPr>
          <w:p>
            <w:pPr>
              <w:pStyle w:val="TableText"/>
            </w:pPr>
            <w:r>
              <w:t>4d</w:t>
            </w:r>
          </w:p>
        </w:tc>
        <w:tc>
          <w:tcPr>
            <w:tcW w:w="1900" w:type="dxa"/>
            <w:vAlign w:val="center"/>
          </w:tcPr>
          <w:p>
            <w:pPr>
              <w:pStyle w:val="TableNumber"/>
            </w:pPr>
            <w:r>
              <w:t>0.0704 (1/13)</w:t>
            </w:r>
          </w:p>
        </w:tc>
        <w:tc>
          <w:tcPr>
            <w:tcW w:w="1100" w:type="dxa"/>
            <w:vAlign w:val="center"/>
          </w:tcPr>
          <w:p>
            <w:pPr>
              <w:pStyle w:val="TableNumber"/>
            </w:pPr>
            <w:r>
              <w:t>0.430</w:t>
            </w:r>
          </w:p>
        </w:tc>
        <w:tc>
          <w:tcPr>
            <w:tcW w:w="1500" w:type="dxa"/>
            <w:vAlign w:val="center"/>
          </w:tcPr>
          <w:p>
            <w:pPr>
              <w:pStyle w:val="TableNumber"/>
            </w:pPr>
            <w:r>
              <w:t>+1.12%</w:t>
            </w:r>
          </w:p>
        </w:tc>
        <w:tc>
          <w:tcPr>
            <w:tcW w:w="1650" w:type="dxa"/>
            <w:vAlign w:val="center"/>
          </w:tcPr>
          <w:p>
            <w:pPr>
              <w:pStyle w:val="TableNumber"/>
            </w:pPr>
            <w:r>
              <w:t>2.37 (2/13)</w:t>
            </w:r>
          </w:p>
        </w:tc>
        <w:tc>
          <w:tcPr>
            <w:tcW w:w="1600" w:type="dxa"/>
            <w:vAlign w:val="center"/>
          </w:tcPr>
          <w:p>
            <w:pPr>
              <w:pStyle w:val="TableNumber"/>
            </w:pPr>
            <w:r>
              <w:t>-34.2% (6/13)</w:t>
            </w:r>
          </w:p>
        </w:tc>
        <w:tc>
          <w:tcPr>
            <w:tcW w:w="960" w:type="dxa"/>
            <w:vAlign w:val="center"/>
          </w:tcPr>
          <w:p>
            <w:pPr>
              <w:pStyle w:val="TableNumber"/>
            </w:pPr>
            <w:r>
              <w:t>0.428</w:t>
            </w:r>
          </w:p>
        </w:tc>
      </w:tr>
      <w:tr>
        <w:trPr>
          <w:cantSplit/>
        </w:trPr>
        <w:tc>
          <w:tcPr>
            <w:tcW w:w="650" w:type="dxa"/>
            <w:vAlign w:val="center"/>
          </w:tcPr>
          <w:p>
            <w:pPr>
              <w:pStyle w:val="TableText"/>
            </w:pPr>
            <w:r>
              <w:t>5d</w:t>
            </w:r>
          </w:p>
        </w:tc>
        <w:tc>
          <w:tcPr>
            <w:tcW w:w="1900" w:type="dxa"/>
            <w:vAlign w:val="center"/>
          </w:tcPr>
          <w:p>
            <w:pPr>
              <w:pStyle w:val="TableNumber"/>
            </w:pPr>
            <w:r>
              <w:t>0.0759 (1/13)</w:t>
            </w:r>
          </w:p>
        </w:tc>
        <w:tc>
          <w:tcPr>
            <w:tcW w:w="1100" w:type="dxa"/>
            <w:vAlign w:val="center"/>
          </w:tcPr>
          <w:p>
            <w:pPr>
              <w:pStyle w:val="TableNumber"/>
            </w:pPr>
            <w:r>
              <w:t>0.457</w:t>
            </w:r>
          </w:p>
        </w:tc>
        <w:tc>
          <w:tcPr>
            <w:tcW w:w="1500" w:type="dxa"/>
            <w:vAlign w:val="center"/>
          </w:tcPr>
          <w:p>
            <w:pPr>
              <w:pStyle w:val="TableNumber"/>
            </w:pPr>
            <w:r>
              <w:t>+1.28%</w:t>
            </w:r>
          </w:p>
        </w:tc>
        <w:tc>
          <w:tcPr>
            <w:tcW w:w="1650" w:type="dxa"/>
            <w:vAlign w:val="center"/>
          </w:tcPr>
          <w:p>
            <w:pPr>
              <w:pStyle w:val="TableNumber"/>
            </w:pPr>
            <w:r>
              <w:t>2.23 (1/13)</w:t>
            </w:r>
          </w:p>
        </w:tc>
        <w:tc>
          <w:tcPr>
            <w:tcW w:w="1600" w:type="dxa"/>
            <w:vAlign w:val="center"/>
          </w:tcPr>
          <w:p>
            <w:pPr>
              <w:pStyle w:val="TableNumber"/>
            </w:pPr>
            <w:r>
              <w:t>-39.3% (7/13)</w:t>
            </w:r>
          </w:p>
        </w:tc>
        <w:tc>
          <w:tcPr>
            <w:tcW w:w="960" w:type="dxa"/>
            <w:vAlign w:val="center"/>
          </w:tcPr>
          <w:p>
            <w:pPr>
              <w:pStyle w:val="TableNumber"/>
            </w:pPr>
            <w:r>
              <w:t>0.421</w:t>
            </w:r>
          </w:p>
        </w:tc>
      </w:tr>
      <w:tr>
        <w:trPr>
          <w:cantSplit/>
        </w:trPr>
        <w:tc>
          <w:tcPr>
            <w:tcW w:w="650" w:type="dxa"/>
            <w:vAlign w:val="center"/>
          </w:tcPr>
          <w:p>
            <w:pPr>
              <w:pStyle w:val="TableText"/>
            </w:pPr>
            <w:r>
              <w:t>6d</w:t>
            </w:r>
          </w:p>
        </w:tc>
        <w:tc>
          <w:tcPr>
            <w:tcW w:w="1900" w:type="dxa"/>
            <w:vAlign w:val="center"/>
          </w:tcPr>
          <w:p>
            <w:pPr>
              <w:pStyle w:val="TableNumber"/>
            </w:pPr>
            <w:r>
              <w:t>0.0679 (1/13)</w:t>
            </w:r>
          </w:p>
        </w:tc>
        <w:tc>
          <w:tcPr>
            <w:tcW w:w="1100" w:type="dxa"/>
            <w:vAlign w:val="center"/>
          </w:tcPr>
          <w:p>
            <w:pPr>
              <w:pStyle w:val="TableNumber"/>
            </w:pPr>
            <w:r>
              <w:t>0.385</w:t>
            </w:r>
          </w:p>
        </w:tc>
        <w:tc>
          <w:tcPr>
            <w:tcW w:w="1500" w:type="dxa"/>
            <w:vAlign w:val="center"/>
          </w:tcPr>
          <w:p>
            <w:pPr>
              <w:pStyle w:val="TableNumber"/>
            </w:pPr>
            <w:r>
              <w:t>+1.23%</w:t>
            </w:r>
          </w:p>
        </w:tc>
        <w:tc>
          <w:tcPr>
            <w:tcW w:w="1650" w:type="dxa"/>
            <w:vAlign w:val="center"/>
          </w:tcPr>
          <w:p>
            <w:pPr>
              <w:pStyle w:val="TableNumber"/>
            </w:pPr>
            <w:r>
              <w:t>1.72 (1/13)</w:t>
            </w:r>
          </w:p>
        </w:tc>
        <w:tc>
          <w:tcPr>
            <w:tcW w:w="1600" w:type="dxa"/>
            <w:vAlign w:val="center"/>
          </w:tcPr>
          <w:p>
            <w:pPr>
              <w:pStyle w:val="TableNumber"/>
            </w:pPr>
            <w:r>
              <w:t>-44.7% (6/13)</w:t>
            </w:r>
          </w:p>
        </w:tc>
        <w:tc>
          <w:tcPr>
            <w:tcW w:w="960" w:type="dxa"/>
            <w:vAlign w:val="center"/>
          </w:tcPr>
          <w:p>
            <w:pPr>
              <w:pStyle w:val="TableNumber"/>
            </w:pPr>
            <w:r>
              <w:t>0.426</w:t>
            </w:r>
          </w:p>
        </w:tc>
      </w:tr>
      <w:tr>
        <w:trPr>
          <w:cantSplit/>
        </w:trPr>
        <w:tc>
          <w:tcPr>
            <w:tcW w:w="650" w:type="dxa"/>
            <w:vAlign w:val="center"/>
          </w:tcPr>
          <w:p>
            <w:pPr>
              <w:pStyle w:val="TableText"/>
            </w:pPr>
            <w:r>
              <w:t>7d</w:t>
            </w:r>
          </w:p>
        </w:tc>
        <w:tc>
          <w:tcPr>
            <w:tcW w:w="1900" w:type="dxa"/>
            <w:vAlign w:val="center"/>
          </w:tcPr>
          <w:p>
            <w:pPr>
              <w:pStyle w:val="TableNumber"/>
            </w:pPr>
            <w:r>
              <w:t>0.0676 (1/13)</w:t>
            </w:r>
          </w:p>
        </w:tc>
        <w:tc>
          <w:tcPr>
            <w:tcW w:w="1100" w:type="dxa"/>
            <w:vAlign w:val="center"/>
          </w:tcPr>
          <w:p>
            <w:pPr>
              <w:pStyle w:val="TableNumber"/>
            </w:pPr>
            <w:r>
              <w:t>0.379</w:t>
            </w:r>
          </w:p>
        </w:tc>
        <w:tc>
          <w:tcPr>
            <w:tcW w:w="1500" w:type="dxa"/>
            <w:vAlign w:val="center"/>
          </w:tcPr>
          <w:p>
            <w:pPr>
              <w:pStyle w:val="TableNumber"/>
            </w:pPr>
            <w:r>
              <w:t>+1.72%</w:t>
            </w:r>
          </w:p>
        </w:tc>
        <w:tc>
          <w:tcPr>
            <w:tcW w:w="1650" w:type="dxa"/>
            <w:vAlign w:val="center"/>
          </w:tcPr>
          <w:p>
            <w:pPr>
              <w:pStyle w:val="TableNumber"/>
            </w:pPr>
            <w:r>
              <w:t>2.05 (1/13)</w:t>
            </w:r>
          </w:p>
        </w:tc>
        <w:tc>
          <w:tcPr>
            <w:tcW w:w="1600" w:type="dxa"/>
            <w:vAlign w:val="center"/>
          </w:tcPr>
          <w:p>
            <w:pPr>
              <w:pStyle w:val="TableNumber"/>
            </w:pPr>
            <w:r>
              <w:t>-40.6% (4/13)</w:t>
            </w:r>
          </w:p>
        </w:tc>
        <w:tc>
          <w:tcPr>
            <w:tcW w:w="960" w:type="dxa"/>
            <w:vAlign w:val="center"/>
          </w:tcPr>
          <w:p>
            <w:pPr>
              <w:pStyle w:val="TableNumber"/>
            </w:pPr>
            <w:r>
              <w:t>0.413</w:t>
            </w:r>
          </w:p>
        </w:tc>
      </w:tr>
      <w:tr>
        <w:trPr>
          <w:cantSplit/>
        </w:trPr>
        <w:tc>
          <w:tcPr>
            <w:tcW w:w="650" w:type="dxa"/>
            <w:vAlign w:val="center"/>
          </w:tcPr>
          <w:p>
            <w:pPr>
              <w:pStyle w:val="TableText"/>
            </w:pPr>
            <w:r>
              <w:t>8d</w:t>
            </w:r>
          </w:p>
        </w:tc>
        <w:tc>
          <w:tcPr>
            <w:tcW w:w="1900" w:type="dxa"/>
            <w:vAlign w:val="center"/>
          </w:tcPr>
          <w:p>
            <w:pPr>
              <w:pStyle w:val="TableNumber"/>
            </w:pPr>
            <w:r>
              <w:t>0.0569 (1/13)</w:t>
            </w:r>
          </w:p>
        </w:tc>
        <w:tc>
          <w:tcPr>
            <w:tcW w:w="1100" w:type="dxa"/>
            <w:vAlign w:val="center"/>
          </w:tcPr>
          <w:p>
            <w:pPr>
              <w:pStyle w:val="TableNumber"/>
            </w:pPr>
            <w:r>
              <w:t>0.300</w:t>
            </w:r>
          </w:p>
        </w:tc>
        <w:tc>
          <w:tcPr>
            <w:tcW w:w="1500" w:type="dxa"/>
            <w:vAlign w:val="center"/>
          </w:tcPr>
          <w:p>
            <w:pPr>
              <w:pStyle w:val="TableNumber"/>
            </w:pPr>
            <w:r>
              <w:t>+1.86%</w:t>
            </w:r>
          </w:p>
        </w:tc>
        <w:tc>
          <w:tcPr>
            <w:tcW w:w="1650" w:type="dxa"/>
            <w:vAlign w:val="center"/>
          </w:tcPr>
          <w:p>
            <w:pPr>
              <w:pStyle w:val="TableNumber"/>
            </w:pPr>
            <w:r>
              <w:t>1.90 (1/13)</w:t>
            </w:r>
          </w:p>
        </w:tc>
        <w:tc>
          <w:tcPr>
            <w:tcW w:w="1600" w:type="dxa"/>
            <w:vAlign w:val="center"/>
          </w:tcPr>
          <w:p>
            <w:pPr>
              <w:pStyle w:val="TableNumber"/>
            </w:pPr>
            <w:r>
              <w:t>-46.1% (5/13)</w:t>
            </w:r>
          </w:p>
        </w:tc>
        <w:tc>
          <w:tcPr>
            <w:tcW w:w="960" w:type="dxa"/>
            <w:vAlign w:val="center"/>
          </w:tcPr>
          <w:p>
            <w:pPr>
              <w:pStyle w:val="TableNumber"/>
            </w:pPr>
            <w:r>
              <w:t>0.419</w:t>
            </w:r>
          </w:p>
        </w:tc>
      </w:tr>
      <w:tr>
        <w:trPr>
          <w:cantSplit/>
        </w:trPr>
        <w:tc>
          <w:tcPr>
            <w:tcW w:w="650" w:type="dxa"/>
            <w:vAlign w:val="center"/>
          </w:tcPr>
          <w:p>
            <w:pPr>
              <w:pStyle w:val="TableText"/>
            </w:pPr>
            <w:r>
              <w:t>9d</w:t>
            </w:r>
          </w:p>
        </w:tc>
        <w:tc>
          <w:tcPr>
            <w:tcW w:w="1900" w:type="dxa"/>
            <w:vAlign w:val="center"/>
          </w:tcPr>
          <w:p>
            <w:pPr>
              <w:pStyle w:val="TableNumber"/>
            </w:pPr>
            <w:r>
              <w:t>0.0610 (1/13)</w:t>
            </w:r>
          </w:p>
        </w:tc>
        <w:tc>
          <w:tcPr>
            <w:tcW w:w="1100" w:type="dxa"/>
            <w:vAlign w:val="center"/>
          </w:tcPr>
          <w:p>
            <w:pPr>
              <w:pStyle w:val="TableNumber"/>
            </w:pPr>
            <w:r>
              <w:t>0.318</w:t>
            </w:r>
          </w:p>
        </w:tc>
        <w:tc>
          <w:tcPr>
            <w:tcW w:w="1500" w:type="dxa"/>
            <w:vAlign w:val="center"/>
          </w:tcPr>
          <w:p>
            <w:pPr>
              <w:pStyle w:val="TableNumber"/>
            </w:pPr>
            <w:r>
              <w:t>+2.17%</w:t>
            </w:r>
          </w:p>
        </w:tc>
        <w:tc>
          <w:tcPr>
            <w:tcW w:w="1650" w:type="dxa"/>
            <w:vAlign w:val="center"/>
          </w:tcPr>
          <w:p>
            <w:pPr>
              <w:pStyle w:val="TableNumber"/>
            </w:pPr>
            <w:r>
              <w:t>1.99 (1/13)</w:t>
            </w:r>
          </w:p>
        </w:tc>
        <w:tc>
          <w:tcPr>
            <w:tcW w:w="1600" w:type="dxa"/>
            <w:vAlign w:val="center"/>
          </w:tcPr>
          <w:p>
            <w:pPr>
              <w:pStyle w:val="TableNumber"/>
            </w:pPr>
            <w:r>
              <w:t>-47.9% (5/13)</w:t>
            </w:r>
          </w:p>
        </w:tc>
        <w:tc>
          <w:tcPr>
            <w:tcW w:w="960" w:type="dxa"/>
            <w:vAlign w:val="center"/>
          </w:tcPr>
          <w:p>
            <w:pPr>
              <w:pStyle w:val="TableNumber"/>
            </w:pPr>
            <w:r>
              <w:t>0.416</w:t>
            </w:r>
          </w:p>
        </w:tc>
      </w:tr>
      <w:tr>
        <w:trPr>
          <w:cantSplit/>
        </w:trPr>
        <w:tc>
          <w:tcPr>
            <w:tcW w:w="650" w:type="dxa"/>
            <w:vAlign w:val="center"/>
          </w:tcPr>
          <w:p>
            <w:pPr>
              <w:pStyle w:val="TableText"/>
            </w:pPr>
            <w:r>
              <w:t>10d</w:t>
            </w:r>
          </w:p>
        </w:tc>
        <w:tc>
          <w:tcPr>
            <w:tcW w:w="1900" w:type="dxa"/>
            <w:vAlign w:val="center"/>
          </w:tcPr>
          <w:p>
            <w:pPr>
              <w:pStyle w:val="TableNumber"/>
            </w:pPr>
            <w:r>
              <w:t>0.0630 (2/13)</w:t>
            </w:r>
          </w:p>
        </w:tc>
        <w:tc>
          <w:tcPr>
            <w:tcW w:w="1100" w:type="dxa"/>
            <w:vAlign w:val="center"/>
          </w:tcPr>
          <w:p>
            <w:pPr>
              <w:pStyle w:val="TableNumber"/>
            </w:pPr>
            <w:r>
              <w:t>0.339</w:t>
            </w:r>
          </w:p>
        </w:tc>
        <w:tc>
          <w:tcPr>
            <w:tcW w:w="1500" w:type="dxa"/>
            <w:vAlign w:val="center"/>
          </w:tcPr>
          <w:p>
            <w:pPr>
              <w:pStyle w:val="TableNumber"/>
            </w:pPr>
            <w:r>
              <w:t>+2.56%</w:t>
            </w:r>
          </w:p>
        </w:tc>
        <w:tc>
          <w:tcPr>
            <w:tcW w:w="1650" w:type="dxa"/>
            <w:vAlign w:val="center"/>
          </w:tcPr>
          <w:p>
            <w:pPr>
              <w:pStyle w:val="TableNumber"/>
            </w:pPr>
            <w:r>
              <w:t>2.08 (1/13)</w:t>
            </w:r>
          </w:p>
        </w:tc>
        <w:tc>
          <w:tcPr>
            <w:tcW w:w="1600" w:type="dxa"/>
            <w:vAlign w:val="center"/>
          </w:tcPr>
          <w:p>
            <w:pPr>
              <w:pStyle w:val="TableNumber"/>
            </w:pPr>
            <w:r>
              <w:t>-48.3% (6/13)</w:t>
            </w:r>
          </w:p>
        </w:tc>
        <w:tc>
          <w:tcPr>
            <w:tcW w:w="960" w:type="dxa"/>
            <w:vAlign w:val="center"/>
          </w:tcPr>
          <w:p>
            <w:pPr>
              <w:pStyle w:val="TableNumber"/>
            </w:pPr>
            <w:r>
              <w:t>0.420</w:t>
            </w:r>
          </w:p>
        </w:tc>
      </w:tr>
      <w:tr>
        <w:trPr>
          <w:cantSplit/>
        </w:trPr>
        <w:tc>
          <w:tcPr>
            <w:tcW w:w="650" w:type="dxa"/>
            <w:vAlign w:val="center"/>
          </w:tcPr>
          <w:p>
            <w:pPr>
              <w:pStyle w:val="TableText"/>
            </w:pPr>
            <w:r>
              <w:t>11d</w:t>
            </w:r>
          </w:p>
        </w:tc>
        <w:tc>
          <w:tcPr>
            <w:tcW w:w="1900" w:type="dxa"/>
            <w:vAlign w:val="center"/>
          </w:tcPr>
          <w:p>
            <w:pPr>
              <w:pStyle w:val="TableNumber"/>
            </w:pPr>
            <w:r>
              <w:t>0.0610 (2/13)</w:t>
            </w:r>
          </w:p>
        </w:tc>
        <w:tc>
          <w:tcPr>
            <w:tcW w:w="1100" w:type="dxa"/>
            <w:vAlign w:val="center"/>
          </w:tcPr>
          <w:p>
            <w:pPr>
              <w:pStyle w:val="TableNumber"/>
            </w:pPr>
            <w:r>
              <w:t>0.328</w:t>
            </w:r>
          </w:p>
        </w:tc>
        <w:tc>
          <w:tcPr>
            <w:tcW w:w="1500" w:type="dxa"/>
            <w:vAlign w:val="center"/>
          </w:tcPr>
          <w:p>
            <w:pPr>
              <w:pStyle w:val="TableNumber"/>
            </w:pPr>
            <w:r>
              <w:t>+2.75%</w:t>
            </w:r>
          </w:p>
        </w:tc>
        <w:tc>
          <w:tcPr>
            <w:tcW w:w="1650" w:type="dxa"/>
            <w:vAlign w:val="center"/>
          </w:tcPr>
          <w:p>
            <w:pPr>
              <w:pStyle w:val="TableNumber"/>
            </w:pPr>
            <w:r>
              <w:t>2.03 (1/13)</w:t>
            </w:r>
          </w:p>
        </w:tc>
        <w:tc>
          <w:tcPr>
            <w:tcW w:w="1600" w:type="dxa"/>
            <w:vAlign w:val="center"/>
          </w:tcPr>
          <w:p>
            <w:pPr>
              <w:pStyle w:val="TableNumber"/>
            </w:pPr>
            <w:r>
              <w:t>-49.7% (4/13)</w:t>
            </w:r>
          </w:p>
        </w:tc>
        <w:tc>
          <w:tcPr>
            <w:tcW w:w="960" w:type="dxa"/>
            <w:vAlign w:val="center"/>
          </w:tcPr>
          <w:p>
            <w:pPr>
              <w:pStyle w:val="TableNumber"/>
            </w:pPr>
            <w:r>
              <w:t>0.411</w:t>
            </w:r>
          </w:p>
        </w:tc>
      </w:tr>
      <w:tr>
        <w:trPr>
          <w:cantSplit/>
        </w:trPr>
        <w:tc>
          <w:tcPr>
            <w:tcW w:w="650" w:type="dxa"/>
            <w:vAlign w:val="center"/>
          </w:tcPr>
          <w:p>
            <w:pPr>
              <w:pStyle w:val="TableText"/>
            </w:pPr>
            <w:r>
              <w:t>12d</w:t>
            </w:r>
          </w:p>
        </w:tc>
        <w:tc>
          <w:tcPr>
            <w:tcW w:w="1900" w:type="dxa"/>
            <w:vAlign w:val="center"/>
          </w:tcPr>
          <w:p>
            <w:pPr>
              <w:pStyle w:val="TableNumber"/>
            </w:pPr>
            <w:r>
              <w:t>0.0593 (3/13)</w:t>
            </w:r>
          </w:p>
        </w:tc>
        <w:tc>
          <w:tcPr>
            <w:tcW w:w="1100" w:type="dxa"/>
            <w:vAlign w:val="center"/>
          </w:tcPr>
          <w:p>
            <w:pPr>
              <w:pStyle w:val="TableNumber"/>
            </w:pPr>
            <w:r>
              <w:t>0.323</w:t>
            </w:r>
          </w:p>
        </w:tc>
        <w:tc>
          <w:tcPr>
            <w:tcW w:w="1500" w:type="dxa"/>
            <w:vAlign w:val="center"/>
          </w:tcPr>
          <w:p>
            <w:pPr>
              <w:pStyle w:val="TableNumber"/>
            </w:pPr>
            <w:r>
              <w:t>+2.75%</w:t>
            </w:r>
          </w:p>
        </w:tc>
        <w:tc>
          <w:tcPr>
            <w:tcW w:w="1650" w:type="dxa"/>
            <w:vAlign w:val="center"/>
          </w:tcPr>
          <w:p>
            <w:pPr>
              <w:pStyle w:val="TableNumber"/>
            </w:pPr>
            <w:r>
              <w:t>1.89 (2/13)</w:t>
            </w:r>
          </w:p>
        </w:tc>
        <w:tc>
          <w:tcPr>
            <w:tcW w:w="1600" w:type="dxa"/>
            <w:vAlign w:val="center"/>
          </w:tcPr>
          <w:p>
            <w:pPr>
              <w:pStyle w:val="TableNumber"/>
            </w:pPr>
            <w:r>
              <w:t>-54.8% (6/13)</w:t>
            </w:r>
          </w:p>
        </w:tc>
        <w:tc>
          <w:tcPr>
            <w:tcW w:w="960" w:type="dxa"/>
            <w:vAlign w:val="center"/>
          </w:tcPr>
          <w:p>
            <w:pPr>
              <w:pStyle w:val="TableNumber"/>
            </w:pPr>
            <w:r>
              <w:t>0.408</w:t>
            </w:r>
          </w:p>
        </w:tc>
      </w:tr>
      <w:tr>
        <w:trPr>
          <w:cantSplit/>
        </w:trPr>
        <w:tc>
          <w:tcPr>
            <w:tcW w:w="650" w:type="dxa"/>
            <w:vAlign w:val="center"/>
          </w:tcPr>
          <w:p>
            <w:pPr>
              <w:pStyle w:val="TableText"/>
            </w:pPr>
            <w:r>
              <w:t>13d</w:t>
            </w:r>
          </w:p>
        </w:tc>
        <w:tc>
          <w:tcPr>
            <w:tcW w:w="1900" w:type="dxa"/>
            <w:vAlign w:val="center"/>
          </w:tcPr>
          <w:p>
            <w:pPr>
              <w:pStyle w:val="TableNumber"/>
            </w:pPr>
            <w:r>
              <w:t>0.0464 (3/13)</w:t>
            </w:r>
          </w:p>
        </w:tc>
        <w:tc>
          <w:tcPr>
            <w:tcW w:w="1100" w:type="dxa"/>
            <w:vAlign w:val="center"/>
          </w:tcPr>
          <w:p>
            <w:pPr>
              <w:pStyle w:val="TableNumber"/>
            </w:pPr>
            <w:r>
              <w:t>0.245</w:t>
            </w:r>
          </w:p>
        </w:tc>
        <w:tc>
          <w:tcPr>
            <w:tcW w:w="1500" w:type="dxa"/>
            <w:vAlign w:val="center"/>
          </w:tcPr>
          <w:p>
            <w:pPr>
              <w:pStyle w:val="TableNumber"/>
            </w:pPr>
            <w:r>
              <w:t>+2.59%</w:t>
            </w:r>
          </w:p>
        </w:tc>
        <w:tc>
          <w:tcPr>
            <w:tcW w:w="1650" w:type="dxa"/>
            <w:vAlign w:val="center"/>
          </w:tcPr>
          <w:p>
            <w:pPr>
              <w:pStyle w:val="TableNumber"/>
            </w:pPr>
            <w:r>
              <w:t>1.63 (3/13)</w:t>
            </w:r>
          </w:p>
        </w:tc>
        <w:tc>
          <w:tcPr>
            <w:tcW w:w="1600" w:type="dxa"/>
            <w:vAlign w:val="center"/>
          </w:tcPr>
          <w:p>
            <w:pPr>
              <w:pStyle w:val="TableNumber"/>
            </w:pPr>
            <w:r>
              <w:t>-66.7% (7/13)</w:t>
            </w:r>
          </w:p>
        </w:tc>
        <w:tc>
          <w:tcPr>
            <w:tcW w:w="960" w:type="dxa"/>
            <w:vAlign w:val="center"/>
          </w:tcPr>
          <w:p>
            <w:pPr>
              <w:pStyle w:val="TableNumber"/>
            </w:pPr>
            <w:r>
              <w:t>0.402</w:t>
            </w:r>
          </w:p>
        </w:tc>
      </w:tr>
      <w:tr>
        <w:trPr>
          <w:cantSplit/>
        </w:trPr>
        <w:tc>
          <w:tcPr>
            <w:tcW w:w="650" w:type="dxa"/>
            <w:vAlign w:val="center"/>
          </w:tcPr>
          <w:p>
            <w:pPr>
              <w:pStyle w:val="TableText"/>
            </w:pPr>
            <w:r>
              <w:t>14d</w:t>
            </w:r>
          </w:p>
        </w:tc>
        <w:tc>
          <w:tcPr>
            <w:tcW w:w="1900" w:type="dxa"/>
            <w:vAlign w:val="center"/>
          </w:tcPr>
          <w:p>
            <w:pPr>
              <w:pStyle w:val="TableNumber"/>
            </w:pPr>
            <w:r>
              <w:t>0.0483 (3/13)</w:t>
            </w:r>
          </w:p>
        </w:tc>
        <w:tc>
          <w:tcPr>
            <w:tcW w:w="1100" w:type="dxa"/>
            <w:vAlign w:val="center"/>
          </w:tcPr>
          <w:p>
            <w:pPr>
              <w:pStyle w:val="TableNumber"/>
            </w:pPr>
            <w:r>
              <w:t>0.260</w:t>
            </w:r>
          </w:p>
        </w:tc>
        <w:tc>
          <w:tcPr>
            <w:tcW w:w="1500" w:type="dxa"/>
            <w:vAlign w:val="center"/>
          </w:tcPr>
          <w:p>
            <w:pPr>
              <w:pStyle w:val="TableNumber"/>
            </w:pPr>
            <w:r>
              <w:t>+2.74%</w:t>
            </w:r>
          </w:p>
        </w:tc>
        <w:tc>
          <w:tcPr>
            <w:tcW w:w="1650" w:type="dxa"/>
            <w:vAlign w:val="center"/>
          </w:tcPr>
          <w:p>
            <w:pPr>
              <w:pStyle w:val="TableNumber"/>
            </w:pPr>
            <w:r>
              <w:t>1.62 (1/13)</w:t>
            </w:r>
          </w:p>
        </w:tc>
        <w:tc>
          <w:tcPr>
            <w:tcW w:w="1600" w:type="dxa"/>
            <w:vAlign w:val="center"/>
          </w:tcPr>
          <w:p>
            <w:pPr>
              <w:pStyle w:val="TableNumber"/>
            </w:pPr>
            <w:r>
              <w:t>-66.7% (6/13)</w:t>
            </w:r>
          </w:p>
        </w:tc>
        <w:tc>
          <w:tcPr>
            <w:tcW w:w="960" w:type="dxa"/>
            <w:vAlign w:val="center"/>
          </w:tcPr>
          <w:p>
            <w:pPr>
              <w:pStyle w:val="TableNumber"/>
            </w:pPr>
            <w:r>
              <w:t>0.403</w:t>
            </w:r>
          </w:p>
        </w:tc>
      </w:tr>
    </w:tbl>
    <w:p>
      <w:pPr>
        <w:pStyle w:val="a"/>
      </w:pPr>
      <w:r>
        <w:t>RankIC 在 14 個 horizon 全為正：1 至 9 日均排名第一，10 至 11 日第二，12 至 14 日第三。成本後 Sharpe 也全為正，其中 10 個 horizon 排名第一。相對地，最大回撤只落在第 4 至第 7 名，並由 1 日 -15.4% 擴大到 14 日 -66.7%。模型的橫斷面排序訊號具有一致性，但長 horizon 的資金路徑風險沒有同步改善。</w:t>
      </w:r>
    </w:p>
    <w:p>
      <w:pPr>
        <w:pStyle w:val="Note"/>
      </w:pPr>
      <w:r>
        <w:t>不同 horizon 的 forward return 可能重疊；Sharpe 的 sqrt(252/h) 年化沒有校正重疊造成的自相關，也沒有完整市場衝擊、借券、容量、滑價與稅費。</w:t>
      </w:r>
    </w:p>
    <w:p>
      <w:pPr>
        <w:pStyle w:val="11"/>
      </w:pPr>
      <w:r>
        <w:t>7. 一至十四日衍生訊號分布</w:t>
      </w:r>
    </w:p>
    <w:p>
      <w:pPr>
        <w:pStyle w:val="Decision"/>
        <w:keepNext/>
        <w:spacing w:after="80"/>
      </w:pPr>
      <w:r>
        <w:t>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空／多</w:t>
            </w:r>
          </w:p>
        </w:tc>
      </w:tr>
      <w:tr>
        <w:trPr>
          <w:cantSplit/>
        </w:trPr>
        <w:tc>
          <w:tcPr>
            <w:tcW w:w="900" w:type="dxa"/>
            <w:vAlign w:val="center"/>
          </w:tcPr>
          <w:p>
            <w:pPr>
              <w:pStyle w:val="TableText"/>
            </w:pPr>
            <w:r>
              <w:t>1d</w:t>
            </w:r>
          </w:p>
        </w:tc>
        <w:tc>
          <w:tcPr>
            <w:tcW w:w="1800" w:type="dxa"/>
            <w:vAlign w:val="center"/>
          </w:tcPr>
          <w:p>
            <w:pPr>
              <w:pStyle w:val="TableNumber"/>
            </w:pPr>
            <w:r>
              <w:t>56.33%</w:t>
            </w:r>
          </w:p>
        </w:tc>
        <w:tc>
          <w:tcPr>
            <w:tcW w:w="1800" w:type="dxa"/>
            <w:vAlign w:val="center"/>
          </w:tcPr>
          <w:p>
            <w:pPr>
              <w:pStyle w:val="TableNumber"/>
            </w:pPr>
            <w:r>
              <w:t>6.57%</w:t>
            </w:r>
          </w:p>
        </w:tc>
        <w:tc>
          <w:tcPr>
            <w:tcW w:w="1800" w:type="dxa"/>
            <w:vAlign w:val="center"/>
          </w:tcPr>
          <w:p>
            <w:pPr>
              <w:pStyle w:val="TableNumber"/>
            </w:pPr>
            <w:r>
              <w:t>37.10%</w:t>
            </w:r>
          </w:p>
        </w:tc>
        <w:tc>
          <w:tcPr>
            <w:tcW w:w="3060" w:type="dxa"/>
            <w:vAlign w:val="center"/>
          </w:tcPr>
          <w:p>
            <w:pPr>
              <w:pStyle w:val="TableNumber"/>
            </w:pPr>
            <w:r>
              <w:t>0/0</w:t>
            </w:r>
          </w:p>
        </w:tc>
      </w:tr>
      <w:tr>
        <w:trPr>
          <w:cantSplit/>
        </w:trPr>
        <w:tc>
          <w:tcPr>
            <w:tcW w:w="900" w:type="dxa"/>
            <w:vAlign w:val="center"/>
          </w:tcPr>
          <w:p>
            <w:pPr>
              <w:pStyle w:val="TableText"/>
            </w:pPr>
            <w:r>
              <w:t>2d</w:t>
            </w:r>
          </w:p>
        </w:tc>
        <w:tc>
          <w:tcPr>
            <w:tcW w:w="1800" w:type="dxa"/>
            <w:vAlign w:val="center"/>
          </w:tcPr>
          <w:p>
            <w:pPr>
              <w:pStyle w:val="TableNumber"/>
            </w:pPr>
            <w:r>
              <w:t>64.67%</w:t>
            </w:r>
          </w:p>
        </w:tc>
        <w:tc>
          <w:tcPr>
            <w:tcW w:w="1800" w:type="dxa"/>
            <w:vAlign w:val="center"/>
          </w:tcPr>
          <w:p>
            <w:pPr>
              <w:pStyle w:val="TableNumber"/>
            </w:pPr>
            <w:r>
              <w:t>4.58%</w:t>
            </w:r>
          </w:p>
        </w:tc>
        <w:tc>
          <w:tcPr>
            <w:tcW w:w="1800" w:type="dxa"/>
            <w:vAlign w:val="center"/>
          </w:tcPr>
          <w:p>
            <w:pPr>
              <w:pStyle w:val="TableNumber"/>
            </w:pPr>
            <w:r>
              <w:t>30.75%</w:t>
            </w:r>
          </w:p>
        </w:tc>
        <w:tc>
          <w:tcPr>
            <w:tcW w:w="3060" w:type="dxa"/>
            <w:vAlign w:val="center"/>
          </w:tcPr>
          <w:p>
            <w:pPr>
              <w:pStyle w:val="TableNumber"/>
            </w:pPr>
            <w:r>
              <w:t>0/0</w:t>
            </w:r>
          </w:p>
        </w:tc>
      </w:tr>
      <w:tr>
        <w:trPr>
          <w:cantSplit/>
        </w:trPr>
        <w:tc>
          <w:tcPr>
            <w:tcW w:w="900" w:type="dxa"/>
            <w:vAlign w:val="center"/>
          </w:tcPr>
          <w:p>
            <w:pPr>
              <w:pStyle w:val="TableText"/>
            </w:pPr>
            <w:r>
              <w:t>3d</w:t>
            </w:r>
          </w:p>
        </w:tc>
        <w:tc>
          <w:tcPr>
            <w:tcW w:w="1800" w:type="dxa"/>
            <w:vAlign w:val="center"/>
          </w:tcPr>
          <w:p>
            <w:pPr>
              <w:pStyle w:val="TableNumber"/>
            </w:pPr>
            <w:r>
              <w:t>77.09%</w:t>
            </w:r>
          </w:p>
        </w:tc>
        <w:tc>
          <w:tcPr>
            <w:tcW w:w="1800" w:type="dxa"/>
            <w:vAlign w:val="center"/>
          </w:tcPr>
          <w:p>
            <w:pPr>
              <w:pStyle w:val="TableNumber"/>
            </w:pPr>
            <w:r>
              <w:t>3.48%</w:t>
            </w:r>
          </w:p>
        </w:tc>
        <w:tc>
          <w:tcPr>
            <w:tcW w:w="1800" w:type="dxa"/>
            <w:vAlign w:val="center"/>
          </w:tcPr>
          <w:p>
            <w:pPr>
              <w:pStyle w:val="TableNumber"/>
            </w:pPr>
            <w:r>
              <w:t>19.43%</w:t>
            </w:r>
          </w:p>
        </w:tc>
        <w:tc>
          <w:tcPr>
            <w:tcW w:w="3060" w:type="dxa"/>
            <w:vAlign w:val="center"/>
          </w:tcPr>
          <w:p>
            <w:pPr>
              <w:pStyle w:val="TableNumber"/>
            </w:pPr>
            <w:r>
              <w:t>0/0</w:t>
            </w:r>
          </w:p>
        </w:tc>
      </w:tr>
      <w:tr>
        <w:trPr>
          <w:cantSplit/>
        </w:trPr>
        <w:tc>
          <w:tcPr>
            <w:tcW w:w="900" w:type="dxa"/>
            <w:vAlign w:val="center"/>
          </w:tcPr>
          <w:p>
            <w:pPr>
              <w:pStyle w:val="TableText"/>
            </w:pPr>
            <w:r>
              <w:t>4d</w:t>
            </w:r>
          </w:p>
        </w:tc>
        <w:tc>
          <w:tcPr>
            <w:tcW w:w="1800" w:type="dxa"/>
            <w:vAlign w:val="center"/>
          </w:tcPr>
          <w:p>
            <w:pPr>
              <w:pStyle w:val="TableNumber"/>
            </w:pPr>
            <w:r>
              <w:t>82.49%</w:t>
            </w:r>
          </w:p>
        </w:tc>
        <w:tc>
          <w:tcPr>
            <w:tcW w:w="1800" w:type="dxa"/>
            <w:vAlign w:val="center"/>
          </w:tcPr>
          <w:p>
            <w:pPr>
              <w:pStyle w:val="TableNumber"/>
            </w:pPr>
            <w:r>
              <w:t>2.79%</w:t>
            </w:r>
          </w:p>
        </w:tc>
        <w:tc>
          <w:tcPr>
            <w:tcW w:w="1800" w:type="dxa"/>
            <w:vAlign w:val="center"/>
          </w:tcPr>
          <w:p>
            <w:pPr>
              <w:pStyle w:val="TableNumber"/>
            </w:pPr>
            <w:r>
              <w:t>14.71%</w:t>
            </w:r>
          </w:p>
        </w:tc>
        <w:tc>
          <w:tcPr>
            <w:tcW w:w="3060" w:type="dxa"/>
            <w:vAlign w:val="center"/>
          </w:tcPr>
          <w:p>
            <w:pPr>
              <w:pStyle w:val="TableNumber"/>
            </w:pPr>
            <w:r>
              <w:t>0/0</w:t>
            </w:r>
          </w:p>
        </w:tc>
      </w:tr>
      <w:tr>
        <w:trPr>
          <w:cantSplit/>
        </w:trPr>
        <w:tc>
          <w:tcPr>
            <w:tcW w:w="900" w:type="dxa"/>
            <w:vAlign w:val="center"/>
          </w:tcPr>
          <w:p>
            <w:pPr>
              <w:pStyle w:val="TableText"/>
            </w:pPr>
            <w:r>
              <w:t>5d</w:t>
            </w:r>
          </w:p>
        </w:tc>
        <w:tc>
          <w:tcPr>
            <w:tcW w:w="1800" w:type="dxa"/>
            <w:vAlign w:val="center"/>
          </w:tcPr>
          <w:p>
            <w:pPr>
              <w:pStyle w:val="TableNumber"/>
            </w:pPr>
            <w:r>
              <w:t>87.74%</w:t>
            </w:r>
          </w:p>
        </w:tc>
        <w:tc>
          <w:tcPr>
            <w:tcW w:w="1800" w:type="dxa"/>
            <w:vAlign w:val="center"/>
          </w:tcPr>
          <w:p>
            <w:pPr>
              <w:pStyle w:val="TableNumber"/>
            </w:pPr>
            <w:r>
              <w:t>1.83%</w:t>
            </w:r>
          </w:p>
        </w:tc>
        <w:tc>
          <w:tcPr>
            <w:tcW w:w="1800" w:type="dxa"/>
            <w:vAlign w:val="center"/>
          </w:tcPr>
          <w:p>
            <w:pPr>
              <w:pStyle w:val="TableNumber"/>
            </w:pPr>
            <w:r>
              <w:t>10.42%</w:t>
            </w:r>
          </w:p>
        </w:tc>
        <w:tc>
          <w:tcPr>
            <w:tcW w:w="3060" w:type="dxa"/>
            <w:vAlign w:val="center"/>
          </w:tcPr>
          <w:p>
            <w:pPr>
              <w:pStyle w:val="TableNumber"/>
            </w:pPr>
            <w:r>
              <w:t>0/0</w:t>
            </w:r>
          </w:p>
        </w:tc>
      </w:tr>
      <w:tr>
        <w:trPr>
          <w:cantSplit/>
        </w:trPr>
        <w:tc>
          <w:tcPr>
            <w:tcW w:w="900" w:type="dxa"/>
            <w:vAlign w:val="center"/>
          </w:tcPr>
          <w:p>
            <w:pPr>
              <w:pStyle w:val="TableText"/>
            </w:pPr>
            <w:r>
              <w:t>6d</w:t>
            </w:r>
          </w:p>
        </w:tc>
        <w:tc>
          <w:tcPr>
            <w:tcW w:w="1800" w:type="dxa"/>
            <w:vAlign w:val="center"/>
          </w:tcPr>
          <w:p>
            <w:pPr>
              <w:pStyle w:val="TableNumber"/>
            </w:pPr>
            <w:r>
              <w:t>91.94%</w:t>
            </w:r>
          </w:p>
        </w:tc>
        <w:tc>
          <w:tcPr>
            <w:tcW w:w="1800" w:type="dxa"/>
            <w:vAlign w:val="center"/>
          </w:tcPr>
          <w:p>
            <w:pPr>
              <w:pStyle w:val="TableNumber"/>
            </w:pPr>
            <w:r>
              <w:t>1.31%</w:t>
            </w:r>
          </w:p>
        </w:tc>
        <w:tc>
          <w:tcPr>
            <w:tcW w:w="1800" w:type="dxa"/>
            <w:vAlign w:val="center"/>
          </w:tcPr>
          <w:p>
            <w:pPr>
              <w:pStyle w:val="TableNumber"/>
            </w:pPr>
            <w:r>
              <w:t>6.74%</w:t>
            </w:r>
          </w:p>
        </w:tc>
        <w:tc>
          <w:tcPr>
            <w:tcW w:w="3060" w:type="dxa"/>
            <w:vAlign w:val="center"/>
          </w:tcPr>
          <w:p>
            <w:pPr>
              <w:pStyle w:val="TableNumber"/>
            </w:pPr>
            <w:r>
              <w:t>0/0</w:t>
            </w:r>
          </w:p>
        </w:tc>
      </w:tr>
      <w:tr>
        <w:trPr>
          <w:cantSplit/>
        </w:trPr>
        <w:tc>
          <w:tcPr>
            <w:tcW w:w="900" w:type="dxa"/>
            <w:vAlign w:val="center"/>
          </w:tcPr>
          <w:p>
            <w:pPr>
              <w:pStyle w:val="TableText"/>
            </w:pPr>
            <w:r>
              <w:t>7d</w:t>
            </w:r>
          </w:p>
        </w:tc>
        <w:tc>
          <w:tcPr>
            <w:tcW w:w="1800" w:type="dxa"/>
            <w:vAlign w:val="center"/>
          </w:tcPr>
          <w:p>
            <w:pPr>
              <w:pStyle w:val="TableNumber"/>
            </w:pPr>
            <w:r>
              <w:t>94.67%</w:t>
            </w:r>
          </w:p>
        </w:tc>
        <w:tc>
          <w:tcPr>
            <w:tcW w:w="1800" w:type="dxa"/>
            <w:vAlign w:val="center"/>
          </w:tcPr>
          <w:p>
            <w:pPr>
              <w:pStyle w:val="TableNumber"/>
            </w:pPr>
            <w:r>
              <w:t>0.92%</w:t>
            </w:r>
          </w:p>
        </w:tc>
        <w:tc>
          <w:tcPr>
            <w:tcW w:w="1800" w:type="dxa"/>
            <w:vAlign w:val="center"/>
          </w:tcPr>
          <w:p>
            <w:pPr>
              <w:pStyle w:val="TableNumber"/>
            </w:pPr>
            <w:r>
              <w:t>4.42%</w:t>
            </w:r>
          </w:p>
        </w:tc>
        <w:tc>
          <w:tcPr>
            <w:tcW w:w="3060" w:type="dxa"/>
            <w:vAlign w:val="center"/>
          </w:tcPr>
          <w:p>
            <w:pPr>
              <w:pStyle w:val="TableNumber"/>
            </w:pPr>
            <w:r>
              <w:t>0/0</w:t>
            </w:r>
          </w:p>
        </w:tc>
      </w:tr>
      <w:tr>
        <w:trPr>
          <w:cantSplit/>
        </w:trPr>
        <w:tc>
          <w:tcPr>
            <w:tcW w:w="900" w:type="dxa"/>
            <w:vAlign w:val="center"/>
          </w:tcPr>
          <w:p>
            <w:pPr>
              <w:pStyle w:val="TableText"/>
            </w:pPr>
            <w:r>
              <w:t>8d</w:t>
            </w:r>
          </w:p>
        </w:tc>
        <w:tc>
          <w:tcPr>
            <w:tcW w:w="1800" w:type="dxa"/>
            <w:vAlign w:val="center"/>
          </w:tcPr>
          <w:p>
            <w:pPr>
              <w:pStyle w:val="TableNumber"/>
            </w:pPr>
            <w:r>
              <w:t>94.27%</w:t>
            </w:r>
          </w:p>
        </w:tc>
        <w:tc>
          <w:tcPr>
            <w:tcW w:w="1800" w:type="dxa"/>
            <w:vAlign w:val="center"/>
          </w:tcPr>
          <w:p>
            <w:pPr>
              <w:pStyle w:val="TableNumber"/>
            </w:pPr>
            <w:r>
              <w:t>0.97%</w:t>
            </w:r>
          </w:p>
        </w:tc>
        <w:tc>
          <w:tcPr>
            <w:tcW w:w="1800" w:type="dxa"/>
            <w:vAlign w:val="center"/>
          </w:tcPr>
          <w:p>
            <w:pPr>
              <w:pStyle w:val="TableNumber"/>
            </w:pPr>
            <w:r>
              <w:t>4.75%</w:t>
            </w:r>
          </w:p>
        </w:tc>
        <w:tc>
          <w:tcPr>
            <w:tcW w:w="3060" w:type="dxa"/>
            <w:vAlign w:val="center"/>
          </w:tcPr>
          <w:p>
            <w:pPr>
              <w:pStyle w:val="TableNumber"/>
            </w:pPr>
            <w:r>
              <w:t>0/0</w:t>
            </w:r>
          </w:p>
        </w:tc>
      </w:tr>
      <w:tr>
        <w:trPr>
          <w:cantSplit/>
        </w:trPr>
        <w:tc>
          <w:tcPr>
            <w:tcW w:w="900" w:type="dxa"/>
            <w:vAlign w:val="center"/>
          </w:tcPr>
          <w:p>
            <w:pPr>
              <w:pStyle w:val="TableText"/>
            </w:pPr>
            <w:r>
              <w:t>9d</w:t>
            </w:r>
          </w:p>
        </w:tc>
        <w:tc>
          <w:tcPr>
            <w:tcW w:w="1800" w:type="dxa"/>
            <w:vAlign w:val="center"/>
          </w:tcPr>
          <w:p>
            <w:pPr>
              <w:pStyle w:val="TableNumber"/>
            </w:pPr>
            <w:r>
              <w:t>95.23%</w:t>
            </w:r>
          </w:p>
        </w:tc>
        <w:tc>
          <w:tcPr>
            <w:tcW w:w="1800" w:type="dxa"/>
            <w:vAlign w:val="center"/>
          </w:tcPr>
          <w:p>
            <w:pPr>
              <w:pStyle w:val="TableNumber"/>
            </w:pPr>
            <w:r>
              <w:t>0.92%</w:t>
            </w:r>
          </w:p>
        </w:tc>
        <w:tc>
          <w:tcPr>
            <w:tcW w:w="1800" w:type="dxa"/>
            <w:vAlign w:val="center"/>
          </w:tcPr>
          <w:p>
            <w:pPr>
              <w:pStyle w:val="TableNumber"/>
            </w:pPr>
            <w:r>
              <w:t>3.84%</w:t>
            </w:r>
          </w:p>
        </w:tc>
        <w:tc>
          <w:tcPr>
            <w:tcW w:w="3060" w:type="dxa"/>
            <w:vAlign w:val="center"/>
          </w:tcPr>
          <w:p>
            <w:pPr>
              <w:pStyle w:val="TableNumber"/>
            </w:pPr>
            <w:r>
              <w:t>0/0</w:t>
            </w:r>
          </w:p>
        </w:tc>
      </w:tr>
      <w:tr>
        <w:trPr>
          <w:cantSplit/>
        </w:trPr>
        <w:tc>
          <w:tcPr>
            <w:tcW w:w="900" w:type="dxa"/>
            <w:vAlign w:val="center"/>
          </w:tcPr>
          <w:p>
            <w:pPr>
              <w:pStyle w:val="TableText"/>
            </w:pPr>
            <w:r>
              <w:t>10d</w:t>
            </w:r>
          </w:p>
        </w:tc>
        <w:tc>
          <w:tcPr>
            <w:tcW w:w="1800" w:type="dxa"/>
            <w:vAlign w:val="center"/>
          </w:tcPr>
          <w:p>
            <w:pPr>
              <w:pStyle w:val="TableNumber"/>
            </w:pPr>
            <w:r>
              <w:t>95.22%</w:t>
            </w:r>
          </w:p>
        </w:tc>
        <w:tc>
          <w:tcPr>
            <w:tcW w:w="1800" w:type="dxa"/>
            <w:vAlign w:val="center"/>
          </w:tcPr>
          <w:p>
            <w:pPr>
              <w:pStyle w:val="TableNumber"/>
            </w:pPr>
            <w:r>
              <w:t>0.64%</w:t>
            </w:r>
          </w:p>
        </w:tc>
        <w:tc>
          <w:tcPr>
            <w:tcW w:w="1800" w:type="dxa"/>
            <w:vAlign w:val="center"/>
          </w:tcPr>
          <w:p>
            <w:pPr>
              <w:pStyle w:val="TableNumber"/>
            </w:pPr>
            <w:r>
              <w:t>4.15%</w:t>
            </w:r>
          </w:p>
        </w:tc>
        <w:tc>
          <w:tcPr>
            <w:tcW w:w="3060" w:type="dxa"/>
            <w:vAlign w:val="center"/>
          </w:tcPr>
          <w:p>
            <w:pPr>
              <w:pStyle w:val="TableNumber"/>
            </w:pPr>
            <w:r>
              <w:t>0/0</w:t>
            </w:r>
          </w:p>
        </w:tc>
      </w:tr>
      <w:tr>
        <w:trPr>
          <w:cantSplit/>
        </w:trPr>
        <w:tc>
          <w:tcPr>
            <w:tcW w:w="900" w:type="dxa"/>
            <w:vAlign w:val="center"/>
          </w:tcPr>
          <w:p>
            <w:pPr>
              <w:pStyle w:val="TableText"/>
            </w:pPr>
            <w:r>
              <w:t>11d</w:t>
            </w:r>
          </w:p>
        </w:tc>
        <w:tc>
          <w:tcPr>
            <w:tcW w:w="1800" w:type="dxa"/>
            <w:vAlign w:val="center"/>
          </w:tcPr>
          <w:p>
            <w:pPr>
              <w:pStyle w:val="TableNumber"/>
            </w:pPr>
            <w:r>
              <w:t>93.64%</w:t>
            </w:r>
          </w:p>
        </w:tc>
        <w:tc>
          <w:tcPr>
            <w:tcW w:w="1800" w:type="dxa"/>
            <w:vAlign w:val="center"/>
          </w:tcPr>
          <w:p>
            <w:pPr>
              <w:pStyle w:val="TableNumber"/>
            </w:pPr>
            <w:r>
              <w:t>0.91%</w:t>
            </w:r>
          </w:p>
        </w:tc>
        <w:tc>
          <w:tcPr>
            <w:tcW w:w="1800" w:type="dxa"/>
            <w:vAlign w:val="center"/>
          </w:tcPr>
          <w:p>
            <w:pPr>
              <w:pStyle w:val="TableNumber"/>
            </w:pPr>
            <w:r>
              <w:t>5.46%</w:t>
            </w:r>
          </w:p>
        </w:tc>
        <w:tc>
          <w:tcPr>
            <w:tcW w:w="3060" w:type="dxa"/>
            <w:vAlign w:val="center"/>
          </w:tcPr>
          <w:p>
            <w:pPr>
              <w:pStyle w:val="TableNumber"/>
            </w:pPr>
            <w:r>
              <w:t>0/0</w:t>
            </w:r>
          </w:p>
        </w:tc>
      </w:tr>
      <w:tr>
        <w:trPr>
          <w:cantSplit/>
        </w:trPr>
        <w:tc>
          <w:tcPr>
            <w:tcW w:w="900" w:type="dxa"/>
            <w:vAlign w:val="center"/>
          </w:tcPr>
          <w:p>
            <w:pPr>
              <w:pStyle w:val="TableText"/>
            </w:pPr>
            <w:r>
              <w:t>12d</w:t>
            </w:r>
          </w:p>
        </w:tc>
        <w:tc>
          <w:tcPr>
            <w:tcW w:w="1800" w:type="dxa"/>
            <w:vAlign w:val="center"/>
          </w:tcPr>
          <w:p>
            <w:pPr>
              <w:pStyle w:val="TableNumber"/>
            </w:pPr>
            <w:r>
              <w:t>97.27%</w:t>
            </w:r>
          </w:p>
        </w:tc>
        <w:tc>
          <w:tcPr>
            <w:tcW w:w="1800" w:type="dxa"/>
            <w:vAlign w:val="center"/>
          </w:tcPr>
          <w:p>
            <w:pPr>
              <w:pStyle w:val="TableNumber"/>
            </w:pPr>
            <w:r>
              <w:t>0.60%</w:t>
            </w:r>
          </w:p>
        </w:tc>
        <w:tc>
          <w:tcPr>
            <w:tcW w:w="1800" w:type="dxa"/>
            <w:vAlign w:val="center"/>
          </w:tcPr>
          <w:p>
            <w:pPr>
              <w:pStyle w:val="TableNumber"/>
            </w:pPr>
            <w:r>
              <w:t>2.12%</w:t>
            </w:r>
          </w:p>
        </w:tc>
        <w:tc>
          <w:tcPr>
            <w:tcW w:w="3060" w:type="dxa"/>
            <w:vAlign w:val="center"/>
          </w:tcPr>
          <w:p>
            <w:pPr>
              <w:pStyle w:val="TableNumber"/>
            </w:pPr>
            <w:r>
              <w:t>0/0</w:t>
            </w:r>
          </w:p>
        </w:tc>
      </w:tr>
      <w:tr>
        <w:trPr>
          <w:cantSplit/>
        </w:trPr>
        <w:tc>
          <w:tcPr>
            <w:tcW w:w="900" w:type="dxa"/>
            <w:vAlign w:val="center"/>
          </w:tcPr>
          <w:p>
            <w:pPr>
              <w:pStyle w:val="TableText"/>
            </w:pPr>
            <w:r>
              <w:t>13d</w:t>
            </w:r>
          </w:p>
        </w:tc>
        <w:tc>
          <w:tcPr>
            <w:tcW w:w="1800" w:type="dxa"/>
            <w:vAlign w:val="center"/>
          </w:tcPr>
          <w:p>
            <w:pPr>
              <w:pStyle w:val="TableNumber"/>
            </w:pPr>
            <w:r>
              <w:t>95.77%</w:t>
            </w:r>
          </w:p>
        </w:tc>
        <w:tc>
          <w:tcPr>
            <w:tcW w:w="1800" w:type="dxa"/>
            <w:vAlign w:val="center"/>
          </w:tcPr>
          <w:p>
            <w:pPr>
              <w:pStyle w:val="TableNumber"/>
            </w:pPr>
            <w:r>
              <w:t>0.43%</w:t>
            </w:r>
          </w:p>
        </w:tc>
        <w:tc>
          <w:tcPr>
            <w:tcW w:w="1800" w:type="dxa"/>
            <w:vAlign w:val="center"/>
          </w:tcPr>
          <w:p>
            <w:pPr>
              <w:pStyle w:val="TableNumber"/>
            </w:pPr>
            <w:r>
              <w:t>3.81%</w:t>
            </w:r>
          </w:p>
        </w:tc>
        <w:tc>
          <w:tcPr>
            <w:tcW w:w="3060" w:type="dxa"/>
            <w:vAlign w:val="center"/>
          </w:tcPr>
          <w:p>
            <w:pPr>
              <w:pStyle w:val="TableNumber"/>
            </w:pPr>
            <w:r>
              <w:t>0/0</w:t>
            </w:r>
          </w:p>
        </w:tc>
      </w:tr>
      <w:tr>
        <w:trPr>
          <w:cantSplit/>
        </w:trPr>
        <w:tc>
          <w:tcPr>
            <w:tcW w:w="900" w:type="dxa"/>
            <w:vAlign w:val="center"/>
          </w:tcPr>
          <w:p>
            <w:pPr>
              <w:pStyle w:val="TableText"/>
            </w:pPr>
            <w:r>
              <w:t>14d</w:t>
            </w:r>
          </w:p>
        </w:tc>
        <w:tc>
          <w:tcPr>
            <w:tcW w:w="1800" w:type="dxa"/>
            <w:vAlign w:val="center"/>
          </w:tcPr>
          <w:p>
            <w:pPr>
              <w:pStyle w:val="TableNumber"/>
            </w:pPr>
            <w:r>
              <w:t>95.59%</w:t>
            </w:r>
          </w:p>
        </w:tc>
        <w:tc>
          <w:tcPr>
            <w:tcW w:w="1800" w:type="dxa"/>
            <w:vAlign w:val="center"/>
          </w:tcPr>
          <w:p>
            <w:pPr>
              <w:pStyle w:val="TableNumber"/>
            </w:pPr>
            <w:r>
              <w:t>0.36%</w:t>
            </w:r>
          </w:p>
        </w:tc>
        <w:tc>
          <w:tcPr>
            <w:tcW w:w="1800" w:type="dxa"/>
            <w:vAlign w:val="center"/>
          </w:tcPr>
          <w:p>
            <w:pPr>
              <w:pStyle w:val="TableNumber"/>
            </w:pPr>
            <w:r>
              <w:t>4.05%</w:t>
            </w:r>
          </w:p>
        </w:tc>
        <w:tc>
          <w:tcPr>
            <w:tcW w:w="3060" w:type="dxa"/>
            <w:vAlign w:val="center"/>
          </w:tcPr>
          <w:p>
            <w:pPr>
              <w:pStyle w:val="TableNumber"/>
            </w:pPr>
            <w:r>
              <w:t>0/0</w:t>
            </w:r>
          </w:p>
        </w:tc>
      </w:tr>
    </w:tbl>
    <w:p>
      <w:pPr>
        <w:pStyle w:val="a"/>
      </w:pPr>
      <w:r>
        <w:t>bearish 比例由 1 日 56.33% 增加到 12 日 97.27%，14 日仍為 95.59%；所有 horizon 的 strong_bearish 與 strong_bullish 都是 0。這表示大多數 q50 為負，但 q10 至 q90 區間仍跨過 0。這些是規則標籤，不是下跌機率；若直接映射成部位，長 horizon 會形成極端偏空曝險。</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EODHD / US</w:t>
            </w:r>
          </w:p>
        </w:tc>
        <w:tc>
          <w:tcPr>
            <w:tcW w:w="1100" w:type="dxa"/>
            <w:vAlign w:val="center"/>
          </w:tcPr>
          <w:p>
            <w:pPr>
              <w:pStyle w:val="TableNumber"/>
            </w:pPr>
            <w:r>
              <w:t>17,056</w:t>
            </w:r>
          </w:p>
        </w:tc>
        <w:tc>
          <w:tcPr>
            <w:tcW w:w="1300" w:type="dxa"/>
            <w:vAlign w:val="center"/>
          </w:tcPr>
          <w:p>
            <w:pPr>
              <w:pStyle w:val="TableNumber"/>
            </w:pPr>
            <w:r>
              <w:t>0.3311</w:t>
            </w:r>
          </w:p>
        </w:tc>
        <w:tc>
          <w:tcPr>
            <w:tcW w:w="1400" w:type="dxa"/>
            <w:vAlign w:val="center"/>
          </w:tcPr>
          <w:p>
            <w:pPr>
              <w:pStyle w:val="TableNumber"/>
            </w:pPr>
            <w:r>
              <w:t>0.0908</w:t>
            </w:r>
          </w:p>
        </w:tc>
        <w:tc>
          <w:tcPr>
            <w:tcW w:w="1800" w:type="dxa"/>
            <w:vAlign w:val="center"/>
          </w:tcPr>
          <w:p>
            <w:pPr>
              <w:pStyle w:val="TableNumber"/>
            </w:pPr>
            <w:r>
              <w:t>0.0571 至 0.1205</w:t>
            </w:r>
          </w:p>
        </w:tc>
        <w:tc>
          <w:tcPr>
            <w:tcW w:w="1250" w:type="dxa"/>
            <w:vAlign w:val="center"/>
          </w:tcPr>
          <w:p>
            <w:pPr>
              <w:pStyle w:val="TableNumber"/>
            </w:pPr>
            <w:r>
              <w:t>53.32%</w:t>
            </w:r>
          </w:p>
        </w:tc>
        <w:tc>
          <w:tcPr>
            <w:tcW w:w="1010" w:type="dxa"/>
            <w:vAlign w:val="center"/>
          </w:tcPr>
          <w:p>
            <w:pPr>
              <w:pStyle w:val="TableNumber"/>
            </w:pPr>
            <w:r>
              <w:t>78.47%</w:t>
            </w:r>
          </w:p>
        </w:tc>
      </w:tr>
      <w:tr>
        <w:trPr>
          <w:cantSplit/>
        </w:trPr>
        <w:tc>
          <w:tcPr>
            <w:tcW w:w="1500" w:type="dxa"/>
            <w:vAlign w:val="center"/>
          </w:tcPr>
          <w:p>
            <w:pPr>
              <w:pStyle w:val="TableText"/>
            </w:pPr>
            <w:r>
              <w:t>TPEx</w:t>
            </w:r>
          </w:p>
        </w:tc>
        <w:tc>
          <w:tcPr>
            <w:tcW w:w="1100" w:type="dxa"/>
            <w:vAlign w:val="center"/>
          </w:tcPr>
          <w:p>
            <w:pPr>
              <w:pStyle w:val="TableNumber"/>
            </w:pPr>
            <w:r>
              <w:t>1,377</w:t>
            </w:r>
          </w:p>
        </w:tc>
        <w:tc>
          <w:tcPr>
            <w:tcW w:w="1300" w:type="dxa"/>
            <w:vAlign w:val="center"/>
          </w:tcPr>
          <w:p>
            <w:pPr>
              <w:pStyle w:val="TableNumber"/>
            </w:pPr>
            <w:r>
              <w:t>0.2245</w:t>
            </w:r>
          </w:p>
        </w:tc>
        <w:tc>
          <w:tcPr>
            <w:tcW w:w="1400" w:type="dxa"/>
            <w:vAlign w:val="center"/>
          </w:tcPr>
          <w:p>
            <w:pPr>
              <w:pStyle w:val="TableNumber"/>
            </w:pPr>
            <w:r>
              <w:t>0.0934</w:t>
            </w:r>
          </w:p>
        </w:tc>
        <w:tc>
          <w:tcPr>
            <w:tcW w:w="1800" w:type="dxa"/>
            <w:vAlign w:val="center"/>
          </w:tcPr>
          <w:p>
            <w:pPr>
              <w:pStyle w:val="TableNumber"/>
            </w:pPr>
            <w:r>
              <w:t>0.0013 至 0.1396</w:t>
            </w:r>
          </w:p>
        </w:tc>
        <w:tc>
          <w:tcPr>
            <w:tcW w:w="1250" w:type="dxa"/>
            <w:vAlign w:val="center"/>
          </w:tcPr>
          <w:p>
            <w:pPr>
              <w:pStyle w:val="TableNumber"/>
            </w:pPr>
            <w:r>
              <w:t>55.19%</w:t>
            </w:r>
          </w:p>
        </w:tc>
        <w:tc>
          <w:tcPr>
            <w:tcW w:w="1010" w:type="dxa"/>
            <w:vAlign w:val="center"/>
          </w:tcPr>
          <w:p>
            <w:pPr>
              <w:pStyle w:val="TableNumber"/>
            </w:pPr>
            <w:r>
              <w:t>80.59%</w:t>
            </w:r>
          </w:p>
        </w:tc>
      </w:tr>
      <w:tr>
        <w:trPr>
          <w:cantSplit/>
        </w:trPr>
        <w:tc>
          <w:tcPr>
            <w:tcW w:w="1500" w:type="dxa"/>
            <w:vAlign w:val="center"/>
          </w:tcPr>
          <w:p>
            <w:pPr>
              <w:pStyle w:val="TableText"/>
            </w:pPr>
            <w:r>
              <w:t>TWSE</w:t>
            </w:r>
          </w:p>
        </w:tc>
        <w:tc>
          <w:tcPr>
            <w:tcW w:w="1100" w:type="dxa"/>
            <w:vAlign w:val="center"/>
          </w:tcPr>
          <w:p>
            <w:pPr>
              <w:pStyle w:val="TableNumber"/>
            </w:pPr>
            <w:r>
              <w:t>1,567</w:t>
            </w:r>
          </w:p>
        </w:tc>
        <w:tc>
          <w:tcPr>
            <w:tcW w:w="1300" w:type="dxa"/>
            <w:vAlign w:val="center"/>
          </w:tcPr>
          <w:p>
            <w:pPr>
              <w:pStyle w:val="TableNumber"/>
            </w:pPr>
            <w:r>
              <w:t>0.2167</w:t>
            </w:r>
          </w:p>
        </w:tc>
        <w:tc>
          <w:tcPr>
            <w:tcW w:w="1400" w:type="dxa"/>
            <w:vAlign w:val="center"/>
          </w:tcPr>
          <w:p>
            <w:pPr>
              <w:pStyle w:val="TableNumber"/>
            </w:pPr>
            <w:r>
              <w:t>0.0345</w:t>
            </w:r>
          </w:p>
        </w:tc>
        <w:tc>
          <w:tcPr>
            <w:tcW w:w="1800" w:type="dxa"/>
            <w:vAlign w:val="center"/>
          </w:tcPr>
          <w:p>
            <w:pPr>
              <w:pStyle w:val="TableNumber"/>
            </w:pPr>
            <w:r>
              <w:t>-0.0019 至 0.0767</w:t>
            </w:r>
          </w:p>
        </w:tc>
        <w:tc>
          <w:tcPr>
            <w:tcW w:w="1250" w:type="dxa"/>
            <w:vAlign w:val="center"/>
          </w:tcPr>
          <w:p>
            <w:pPr>
              <w:pStyle w:val="TableNumber"/>
            </w:pPr>
            <w:r>
              <w:t>59.17%</w:t>
            </w:r>
          </w:p>
        </w:tc>
        <w:tc>
          <w:tcPr>
            <w:tcW w:w="1010" w:type="dxa"/>
            <w:vAlign w:val="center"/>
          </w:tcPr>
          <w:p>
            <w:pPr>
              <w:pStyle w:val="TableNumber"/>
            </w:pPr>
            <w:r>
              <w:t>80.38%</w:t>
            </w:r>
          </w:p>
        </w:tc>
      </w:tr>
    </w:tbl>
    <w:p>
      <w:pPr>
        <w:pStyle w:val="a"/>
      </w:pPr>
      <w:r>
        <w:t>台灣切片的 14 horizon score 較低，但樣本數遠少於 EODHD／US，而且市場、期間與標的組成都不同。TWSE 的平均方向一致率較高，平均 correlation 卻較低。不能只看一個切片指標便宣稱某市場比較容易預測。</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2024</w:t>
            </w:r>
          </w:p>
        </w:tc>
        <w:tc>
          <w:tcPr>
            <w:tcW w:w="1200" w:type="dxa"/>
            <w:vAlign w:val="center"/>
          </w:tcPr>
          <w:p>
            <w:pPr>
              <w:pStyle w:val="TableNumber"/>
            </w:pPr>
            <w:r>
              <w:t>1,928</w:t>
            </w:r>
          </w:p>
        </w:tc>
        <w:tc>
          <w:tcPr>
            <w:tcW w:w="1400" w:type="dxa"/>
            <w:vAlign w:val="center"/>
          </w:tcPr>
          <w:p>
            <w:pPr>
              <w:pStyle w:val="TableNumber"/>
            </w:pPr>
            <w:r>
              <w:t>0.3178</w:t>
            </w:r>
          </w:p>
        </w:tc>
        <w:tc>
          <w:tcPr>
            <w:tcW w:w="1400" w:type="dxa"/>
            <w:vAlign w:val="center"/>
          </w:tcPr>
          <w:p>
            <w:pPr>
              <w:pStyle w:val="TableNumber"/>
            </w:pPr>
            <w:r>
              <w:t>0.0012</w:t>
            </w:r>
          </w:p>
        </w:tc>
        <w:tc>
          <w:tcPr>
            <w:tcW w:w="1800" w:type="dxa"/>
            <w:vAlign w:val="center"/>
          </w:tcPr>
          <w:p>
            <w:pPr>
              <w:pStyle w:val="TableNumber"/>
            </w:pPr>
            <w:r>
              <w:t>-0.0379 至 0.1100</w:t>
            </w:r>
          </w:p>
        </w:tc>
        <w:tc>
          <w:tcPr>
            <w:tcW w:w="1200" w:type="dxa"/>
            <w:vAlign w:val="center"/>
          </w:tcPr>
          <w:p>
            <w:pPr>
              <w:pStyle w:val="TableNumber"/>
            </w:pPr>
            <w:r>
              <w:t>46.85%</w:t>
            </w:r>
          </w:p>
        </w:tc>
        <w:tc>
          <w:tcPr>
            <w:tcW w:w="1060" w:type="dxa"/>
            <w:vAlign w:val="center"/>
          </w:tcPr>
          <w:p>
            <w:pPr>
              <w:pStyle w:val="TableNumber"/>
            </w:pPr>
            <w:r>
              <w:t>82.14%</w:t>
            </w:r>
          </w:p>
        </w:tc>
      </w:tr>
      <w:tr>
        <w:trPr>
          <w:cantSplit/>
        </w:trPr>
        <w:tc>
          <w:tcPr>
            <w:tcW w:w="1300" w:type="dxa"/>
            <w:vAlign w:val="center"/>
          </w:tcPr>
          <w:p>
            <w:pPr>
              <w:pStyle w:val="TableText"/>
            </w:pPr>
            <w:r>
              <w:t>2025</w:t>
            </w:r>
          </w:p>
        </w:tc>
        <w:tc>
          <w:tcPr>
            <w:tcW w:w="1200" w:type="dxa"/>
            <w:vAlign w:val="center"/>
          </w:tcPr>
          <w:p>
            <w:pPr>
              <w:pStyle w:val="TableNumber"/>
            </w:pPr>
            <w:r>
              <w:t>18,072</w:t>
            </w:r>
          </w:p>
        </w:tc>
        <w:tc>
          <w:tcPr>
            <w:tcW w:w="1400" w:type="dxa"/>
            <w:vAlign w:val="center"/>
          </w:tcPr>
          <w:p>
            <w:pPr>
              <w:pStyle w:val="TableNumber"/>
            </w:pPr>
            <w:r>
              <w:t>0.3144</w:t>
            </w:r>
          </w:p>
        </w:tc>
        <w:tc>
          <w:tcPr>
            <w:tcW w:w="1400" w:type="dxa"/>
            <w:vAlign w:val="center"/>
          </w:tcPr>
          <w:p>
            <w:pPr>
              <w:pStyle w:val="TableNumber"/>
            </w:pPr>
            <w:r>
              <w:t>0.0902</w:t>
            </w:r>
          </w:p>
        </w:tc>
        <w:tc>
          <w:tcPr>
            <w:tcW w:w="1800" w:type="dxa"/>
            <w:vAlign w:val="center"/>
          </w:tcPr>
          <w:p>
            <w:pPr>
              <w:pStyle w:val="TableNumber"/>
            </w:pPr>
            <w:r>
              <w:t>0.0413 至 0.1154</w:t>
            </w:r>
          </w:p>
        </w:tc>
        <w:tc>
          <w:tcPr>
            <w:tcW w:w="1200" w:type="dxa"/>
            <w:vAlign w:val="center"/>
          </w:tcPr>
          <w:p>
            <w:pPr>
              <w:pStyle w:val="TableNumber"/>
            </w:pPr>
            <w:r>
              <w:t>54.66%</w:t>
            </w:r>
          </w:p>
        </w:tc>
        <w:tc>
          <w:tcPr>
            <w:tcW w:w="1060" w:type="dxa"/>
            <w:vAlign w:val="center"/>
          </w:tcPr>
          <w:p>
            <w:pPr>
              <w:pStyle w:val="TableNumber"/>
            </w:pPr>
            <w:r>
              <w:t>78.41%</w:t>
            </w:r>
          </w:p>
        </w:tc>
      </w:tr>
    </w:tbl>
    <w:p>
      <w:pPr>
        <w:pStyle w:val="Lead"/>
      </w:pPr>
      <w:r>
        <w:t>2024 的 14 horizon 平均 correlation 只有 0.0012，範圍 -0.0379 至 0.1100，平均方向一致率 46.85%；2025 平均 correlation 為 0.0902，平均方向一致率 54.66%。2024 只有 1,928 筆，2025 有 18,072 筆；時間穩定性是 Stage 2 必須驗證的主要風險。</w:t>
      </w:r>
    </w:p>
    <w:p>
      <w:pPr>
        <w:pStyle w:val="11"/>
      </w:pPr>
      <w:r>
        <w:t>9. 風險與下一階段</w:t>
      </w:r>
    </w:p>
    <w:p>
      <w:pPr>
        <w:pStyle w:val="Decision"/>
        <w:keepNext/>
        <w:spacing w:after="80"/>
      </w:pPr>
      <w:r>
        <w:t>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Test 尚未解鎖</w:t>
            </w:r>
          </w:p>
        </w:tc>
        <w:tc>
          <w:tcPr>
            <w:tcW w:w="2900" w:type="dxa"/>
            <w:vAlign w:val="center"/>
          </w:tcPr>
          <w:p>
            <w:pPr>
              <w:pStyle w:val="TableText"/>
            </w:pPr>
            <w:r>
              <w:t>所有結論只有 validation 證據</w:t>
            </w:r>
          </w:p>
        </w:tc>
        <w:tc>
          <w:tcPr>
            <w:tcW w:w="3960" w:type="dxa"/>
            <w:vAlign w:val="center"/>
          </w:tcPr>
          <w:p>
            <w:pPr>
              <w:pStyle w:val="TableText"/>
            </w:pPr>
            <w:r>
              <w:t>預先登記 Stage 2 與一次性 test 門檻</w:t>
            </w:r>
          </w:p>
        </w:tc>
      </w:tr>
      <w:tr>
        <w:trPr>
          <w:cantSplit/>
        </w:trPr>
        <w:tc>
          <w:tcPr>
            <w:tcW w:w="2500" w:type="dxa"/>
            <w:vAlign w:val="center"/>
          </w:tcPr>
          <w:p>
            <w:pPr>
              <w:pStyle w:val="TableText"/>
            </w:pPr>
            <w:r>
              <w:t>單一 seed</w:t>
            </w:r>
          </w:p>
        </w:tc>
        <w:tc>
          <w:tcPr>
            <w:tcW w:w="2900" w:type="dxa"/>
            <w:vAlign w:val="center"/>
          </w:tcPr>
          <w:p>
            <w:pPr>
              <w:pStyle w:val="TableText"/>
            </w:pPr>
            <w:r>
              <w:t>seed=42</w:t>
            </w:r>
          </w:p>
        </w:tc>
        <w:tc>
          <w:tcPr>
            <w:tcW w:w="3960" w:type="dxa"/>
            <w:vAlign w:val="center"/>
          </w:tcPr>
          <w:p>
            <w:pPr>
              <w:pStyle w:val="TableText"/>
            </w:pPr>
            <w:r>
              <w:t>至少多 seed，報告中位數、離散度與最差值</w:t>
            </w:r>
          </w:p>
        </w:tc>
      </w:tr>
      <w:tr>
        <w:trPr>
          <w:cantSplit/>
        </w:trPr>
        <w:tc>
          <w:tcPr>
            <w:tcW w:w="2500" w:type="dxa"/>
            <w:vAlign w:val="center"/>
          </w:tcPr>
          <w:p>
            <w:pPr>
              <w:pStyle w:val="TableText"/>
            </w:pPr>
            <w:r>
              <w:t>Stage 1 子集</w:t>
            </w:r>
          </w:p>
        </w:tc>
        <w:tc>
          <w:tcPr>
            <w:tcW w:w="2900" w:type="dxa"/>
            <w:vAlign w:val="center"/>
          </w:tcPr>
          <w:p>
            <w:pPr>
              <w:pStyle w:val="TableText"/>
            </w:pPr>
            <w:r>
              <w:t>每 epoch 最多 500,000 筆</w:t>
            </w:r>
          </w:p>
        </w:tc>
        <w:tc>
          <w:tcPr>
            <w:tcW w:w="3960" w:type="dxa"/>
            <w:vAlign w:val="center"/>
          </w:tcPr>
          <w:p>
            <w:pPr>
              <w:pStyle w:val="TableText"/>
            </w:pPr>
            <w:r>
              <w:t>從原始 pretrained base 重新跑全量 Stage 2</w:t>
            </w:r>
          </w:p>
        </w:tc>
      </w:tr>
      <w:tr>
        <w:trPr>
          <w:cantSplit/>
        </w:trPr>
        <w:tc>
          <w:tcPr>
            <w:tcW w:w="2500" w:type="dxa"/>
            <w:vAlign w:val="center"/>
          </w:tcPr>
          <w:p>
            <w:pPr>
              <w:pStyle w:val="TableText"/>
            </w:pPr>
            <w:r>
              <w:t>長 horizon 回撤</w:t>
            </w:r>
          </w:p>
        </w:tc>
        <w:tc>
          <w:tcPr>
            <w:tcW w:w="2900" w:type="dxa"/>
            <w:vAlign w:val="center"/>
          </w:tcPr>
          <w:p>
            <w:pPr>
              <w:pStyle w:val="TableText"/>
            </w:pPr>
            <w:r>
              <w:t>13 至 14 日約 -66.7%</w:t>
            </w:r>
          </w:p>
        </w:tc>
        <w:tc>
          <w:tcPr>
            <w:tcW w:w="3960" w:type="dxa"/>
            <w:vAlign w:val="center"/>
          </w:tcPr>
          <w:p>
            <w:pPr>
              <w:pStyle w:val="TableText"/>
            </w:pPr>
            <w:r>
              <w:t>加入持有期、曝險與風險限制比較</w:t>
            </w:r>
          </w:p>
        </w:tc>
      </w:tr>
      <w:tr>
        <w:trPr>
          <w:cantSplit/>
        </w:trPr>
        <w:tc>
          <w:tcPr>
            <w:tcW w:w="2500" w:type="dxa"/>
            <w:vAlign w:val="center"/>
          </w:tcPr>
          <w:p>
            <w:pPr>
              <w:pStyle w:val="TableText"/>
            </w:pPr>
            <w:r>
              <w:t>長 horizon 偏空</w:t>
            </w:r>
          </w:p>
        </w:tc>
        <w:tc>
          <w:tcPr>
            <w:tcW w:w="2900" w:type="dxa"/>
            <w:vAlign w:val="center"/>
          </w:tcPr>
          <w:p>
            <w:pPr>
              <w:pStyle w:val="TableText"/>
            </w:pPr>
            <w:r>
              <w:t>12 日 bearish 97.27%</w:t>
            </w:r>
          </w:p>
        </w:tc>
        <w:tc>
          <w:tcPr>
            <w:tcW w:w="3960" w:type="dxa"/>
            <w:vAlign w:val="center"/>
          </w:tcPr>
          <w:p>
            <w:pPr>
              <w:pStyle w:val="TableText"/>
            </w:pPr>
            <w:r>
              <w:t>先在 validation 固定 threshold 與 position mapping</w:t>
            </w:r>
          </w:p>
        </w:tc>
      </w:tr>
      <w:tr>
        <w:trPr>
          <w:cantSplit/>
        </w:trPr>
        <w:tc>
          <w:tcPr>
            <w:tcW w:w="2500" w:type="dxa"/>
            <w:vAlign w:val="center"/>
          </w:tcPr>
          <w:p>
            <w:pPr>
              <w:pStyle w:val="TableText"/>
            </w:pPr>
            <w:r>
              <w:t>年度不穩定</w:t>
            </w:r>
          </w:p>
        </w:tc>
        <w:tc>
          <w:tcPr>
            <w:tcW w:w="2900" w:type="dxa"/>
            <w:vAlign w:val="center"/>
          </w:tcPr>
          <w:p>
            <w:pPr>
              <w:pStyle w:val="TableText"/>
            </w:pPr>
            <w:r>
              <w:t>2024 平均 correlation 接近 0</w:t>
            </w:r>
          </w:p>
        </w:tc>
        <w:tc>
          <w:tcPr>
            <w:tcW w:w="3960" w:type="dxa"/>
            <w:vAlign w:val="center"/>
          </w:tcPr>
          <w:p>
            <w:pPr>
              <w:pStyle w:val="TableText"/>
            </w:pPr>
            <w:r>
              <w:t>增加年度、regime、rolling 與 provider 穩定性分析</w:t>
            </w:r>
          </w:p>
        </w:tc>
      </w:tr>
      <w:tr>
        <w:trPr>
          <w:cantSplit/>
        </w:trPr>
        <w:tc>
          <w:tcPr>
            <w:tcW w:w="2500" w:type="dxa"/>
            <w:vAlign w:val="center"/>
          </w:tcPr>
          <w:p>
            <w:pPr>
              <w:pStyle w:val="TableText"/>
            </w:pPr>
            <w:r>
              <w:t>簡化交易成本</w:t>
            </w:r>
          </w:p>
        </w:tc>
        <w:tc>
          <w:tcPr>
            <w:tcW w:w="2900" w:type="dxa"/>
            <w:vAlign w:val="center"/>
          </w:tcPr>
          <w:p>
            <w:pPr>
              <w:pStyle w:val="TableText"/>
            </w:pPr>
            <w:r>
              <w:t>每單位 turnover 固定 10 bps</w:t>
            </w:r>
          </w:p>
        </w:tc>
        <w:tc>
          <w:tcPr>
            <w:tcW w:w="3960" w:type="dxa"/>
            <w:vAlign w:val="center"/>
          </w:tcPr>
          <w:p>
            <w:pPr>
              <w:pStyle w:val="TableText"/>
            </w:pPr>
            <w:r>
              <w:t>加入滑價、市場衝擊、借券、容量與稅費情境</w:t>
            </w:r>
          </w:p>
        </w:tc>
      </w:tr>
    </w:tbl>
    <w:p>
      <w:pPr>
        <w:pStyle w:val="Lead"/>
      </w:pPr>
      <w:r>
        <w:t>最終判斷：模型在完整 1 至 14 日的 validation 分布誤差與橫斷面排序都顯示一致優勢；但長 horizon 最大回撤、偏空訊號、年度差異與單一 seed 仍然阻止部署結論。</w:t>
      </w:r>
    </w:p>
    <w:p>
      <w:pPr>
        <w:pStyle w:val="a"/>
        <w:spacing w:after="0"/>
      </w:pPr>
      <w:r>
        <w:br w:type="page"/>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1至14日 score</w:t>
            </w:r>
          </w:p>
        </w:tc>
        <w:tc>
          <w:tcPr>
            <w:tcW w:w="1330" w:type="dxa"/>
            <w:shd w:val="clear" w:fill="DCE6F1"/>
            <w:vAlign w:val="center"/>
          </w:tcPr>
          <w:p>
            <w:pPr>
              <w:pStyle w:val="TableHeader"/>
            </w:pPr>
            <w:r>
              <w:t>1日</w:t>
            </w:r>
          </w:p>
        </w:tc>
        <w:tc>
          <w:tcPr>
            <w:tcW w:w="1330" w:type="dxa"/>
            <w:shd w:val="clear" w:fill="DCE6F1"/>
            <w:vAlign w:val="center"/>
          </w:tcPr>
          <w:p>
            <w:pPr>
              <w:pStyle w:val="TableHeader"/>
            </w:pPr>
            <w:r>
              <w:t>7日</w:t>
            </w:r>
          </w:p>
        </w:tc>
        <w:tc>
          <w:tcPr>
            <w:tcW w:w="1350" w:type="dxa"/>
            <w:shd w:val="clear" w:fill="DCE6F1"/>
            <w:vAlign w:val="center"/>
          </w:tcPr>
          <w:p>
            <w:pPr>
              <w:pStyle w:val="TableHeader"/>
            </w:pPr>
            <w:r>
              <w:t>14日</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0.314759</w:t>
            </w:r>
          </w:p>
        </w:tc>
        <w:tc>
          <w:tcPr>
            <w:tcW w:w="1330" w:type="dxa"/>
            <w:shd w:val="clear" w:fill="EDF5FC"/>
            <w:vAlign w:val="center"/>
          </w:tcPr>
          <w:p>
            <w:pPr>
              <w:pStyle w:val="TableNumber"/>
            </w:pPr>
            <w:r>
              <w:t>0.3748</w:t>
            </w:r>
          </w:p>
        </w:tc>
        <w:tc>
          <w:tcPr>
            <w:tcW w:w="1330" w:type="dxa"/>
            <w:shd w:val="clear" w:fill="EDF5FC"/>
            <w:vAlign w:val="center"/>
          </w:tcPr>
          <w:p>
            <w:pPr>
              <w:pStyle w:val="TableNumber"/>
            </w:pPr>
            <w:r>
              <w:t>0.3117</w:t>
            </w:r>
          </w:p>
        </w:tc>
        <w:tc>
          <w:tcPr>
            <w:tcW w:w="1350" w:type="dxa"/>
            <w:shd w:val="clear" w:fill="EDF5FC"/>
            <w:vAlign w:val="center"/>
          </w:tcPr>
          <w:p>
            <w:pPr>
              <w:pStyle w:val="TableNumber"/>
            </w:pPr>
            <w:r>
              <w:t>0.2921</w:t>
            </w:r>
          </w:p>
        </w:tc>
      </w:tr>
      <w:tr>
        <w:trPr>
          <w:cantSplit/>
        </w:trPr>
        <w:tc>
          <w:tcPr>
            <w:tcW w:w="650" w:type="dxa"/>
            <w:vAlign w:val="center"/>
          </w:tcPr>
          <w:p>
            <w:pPr>
              <w:pStyle w:val="TableNumber"/>
            </w:pPr>
            <w:r>
              <w:t>2</w:t>
            </w:r>
          </w:p>
        </w:tc>
        <w:tc>
          <w:tcPr>
            <w:tcW w:w="2800" w:type="dxa"/>
            <w:vAlign w:val="center"/>
          </w:tcPr>
          <w:p>
            <w:pPr>
              <w:pStyle w:val="TableText"/>
            </w:pPr>
            <w:r>
              <w:t>成對 GRU</w:t>
            </w:r>
          </w:p>
        </w:tc>
        <w:tc>
          <w:tcPr>
            <w:tcW w:w="1900" w:type="dxa"/>
            <w:vAlign w:val="center"/>
          </w:tcPr>
          <w:p>
            <w:pPr>
              <w:pStyle w:val="TableNumber"/>
            </w:pPr>
            <w:r>
              <w:t>0.336588</w:t>
            </w:r>
          </w:p>
        </w:tc>
        <w:tc>
          <w:tcPr>
            <w:tcW w:w="1330" w:type="dxa"/>
            <w:vAlign w:val="center"/>
          </w:tcPr>
          <w:p>
            <w:pPr>
              <w:pStyle w:val="TableNumber"/>
            </w:pPr>
            <w:r>
              <w:t>0.3762</w:t>
            </w:r>
          </w:p>
        </w:tc>
        <w:tc>
          <w:tcPr>
            <w:tcW w:w="1330" w:type="dxa"/>
            <w:vAlign w:val="center"/>
          </w:tcPr>
          <w:p>
            <w:pPr>
              <w:pStyle w:val="TableNumber"/>
            </w:pPr>
            <w:r>
              <w:t>0.3335</w:t>
            </w:r>
          </w:p>
        </w:tc>
        <w:tc>
          <w:tcPr>
            <w:tcW w:w="1350" w:type="dxa"/>
            <w:vAlign w:val="center"/>
          </w:tcPr>
          <w:p>
            <w:pPr>
              <w:pStyle w:val="TableNumber"/>
            </w:pPr>
            <w:r>
              <w:t>0.3290</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0.344088</w:t>
            </w:r>
          </w:p>
        </w:tc>
        <w:tc>
          <w:tcPr>
            <w:tcW w:w="1330" w:type="dxa"/>
            <w:vAlign w:val="center"/>
          </w:tcPr>
          <w:p>
            <w:pPr>
              <w:pStyle w:val="TableNumber"/>
            </w:pPr>
            <w:r>
              <w:t>0.4054</w:t>
            </w:r>
          </w:p>
        </w:tc>
        <w:tc>
          <w:tcPr>
            <w:tcW w:w="1330" w:type="dxa"/>
            <w:vAlign w:val="center"/>
          </w:tcPr>
          <w:p>
            <w:pPr>
              <w:pStyle w:val="TableNumber"/>
            </w:pPr>
            <w:r>
              <w:t>0.3487</w:t>
            </w:r>
          </w:p>
        </w:tc>
        <w:tc>
          <w:tcPr>
            <w:tcW w:w="1350" w:type="dxa"/>
            <w:vAlign w:val="center"/>
          </w:tcPr>
          <w:p>
            <w:pPr>
              <w:pStyle w:val="TableNumber"/>
            </w:pPr>
            <w:r>
              <w:t>0.3334</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0.344933</w:t>
            </w:r>
          </w:p>
        </w:tc>
        <w:tc>
          <w:tcPr>
            <w:tcW w:w="1330" w:type="dxa"/>
            <w:vAlign w:val="center"/>
          </w:tcPr>
          <w:p>
            <w:pPr>
              <w:pStyle w:val="TableNumber"/>
            </w:pPr>
            <w:r>
              <w:t>0.3741</w:t>
            </w:r>
          </w:p>
        </w:tc>
        <w:tc>
          <w:tcPr>
            <w:tcW w:w="1330" w:type="dxa"/>
            <w:vAlign w:val="center"/>
          </w:tcPr>
          <w:p>
            <w:pPr>
              <w:pStyle w:val="TableNumber"/>
            </w:pPr>
            <w:r>
              <w:t>0.3403</w:t>
            </w:r>
          </w:p>
        </w:tc>
        <w:tc>
          <w:tcPr>
            <w:tcW w:w="1350" w:type="dxa"/>
            <w:vAlign w:val="center"/>
          </w:tcPr>
          <w:p>
            <w:pPr>
              <w:pStyle w:val="TableNumber"/>
            </w:pPr>
            <w:r>
              <w:t>0.3439</w:t>
            </w:r>
          </w:p>
        </w:tc>
      </w:tr>
      <w:tr>
        <w:trPr>
          <w:cantSplit/>
        </w:trPr>
        <w:tc>
          <w:tcPr>
            <w:tcW w:w="650" w:type="dxa"/>
            <w:vAlign w:val="center"/>
          </w:tcPr>
          <w:p>
            <w:pPr>
              <w:pStyle w:val="TableNumber"/>
            </w:pPr>
            <w:r>
              <w:t>5</w:t>
            </w:r>
          </w:p>
        </w:tc>
        <w:tc>
          <w:tcPr>
            <w:tcW w:w="2800" w:type="dxa"/>
            <w:vAlign w:val="center"/>
          </w:tcPr>
          <w:p>
            <w:pPr>
              <w:pStyle w:val="TableText"/>
            </w:pPr>
            <w:r>
              <w:t>固定偏多分布</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6</w:t>
            </w:r>
          </w:p>
        </w:tc>
        <w:tc>
          <w:tcPr>
            <w:tcW w:w="2800" w:type="dxa"/>
            <w:vAlign w:val="center"/>
          </w:tcPr>
          <w:p>
            <w:pPr>
              <w:pStyle w:val="TableText"/>
            </w:pPr>
            <w:r>
              <w:t>零報酬分布</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7</w:t>
            </w:r>
          </w:p>
        </w:tc>
        <w:tc>
          <w:tcPr>
            <w:tcW w:w="2800" w:type="dxa"/>
            <w:vAlign w:val="center"/>
          </w:tcPr>
          <w:p>
            <w:pPr>
              <w:pStyle w:val="TableText"/>
            </w:pPr>
            <w:r>
              <w:t>MACD 規則</w:t>
            </w:r>
          </w:p>
        </w:tc>
        <w:tc>
          <w:tcPr>
            <w:tcW w:w="1900" w:type="dxa"/>
            <w:vAlign w:val="center"/>
          </w:tcPr>
          <w:p>
            <w:pPr>
              <w:pStyle w:val="TableNumber"/>
            </w:pPr>
            <w:r>
              <w:t>0.365315</w:t>
            </w:r>
          </w:p>
        </w:tc>
        <w:tc>
          <w:tcPr>
            <w:tcW w:w="1330" w:type="dxa"/>
            <w:vAlign w:val="center"/>
          </w:tcPr>
          <w:p>
            <w:pPr>
              <w:pStyle w:val="TableNumber"/>
            </w:pPr>
            <w:r>
              <w:t>0.4116</w:t>
            </w:r>
          </w:p>
        </w:tc>
        <w:tc>
          <w:tcPr>
            <w:tcW w:w="1330" w:type="dxa"/>
            <w:vAlign w:val="center"/>
          </w:tcPr>
          <w:p>
            <w:pPr>
              <w:pStyle w:val="TableNumber"/>
            </w:pPr>
            <w:r>
              <w:t>0.3602</w:t>
            </w:r>
          </w:p>
        </w:tc>
        <w:tc>
          <w:tcPr>
            <w:tcW w:w="1350" w:type="dxa"/>
            <w:vAlign w:val="center"/>
          </w:tcPr>
          <w:p>
            <w:pPr>
              <w:pStyle w:val="TableNumber"/>
            </w:pPr>
            <w:r>
              <w:t>0.3570</w:t>
            </w:r>
          </w:p>
        </w:tc>
      </w:tr>
      <w:tr>
        <w:trPr>
          <w:cantSplit/>
        </w:trPr>
        <w:tc>
          <w:tcPr>
            <w:tcW w:w="650" w:type="dxa"/>
            <w:vAlign w:val="center"/>
          </w:tcPr>
          <w:p>
            <w:pPr>
              <w:pStyle w:val="TableNumber"/>
            </w:pPr>
            <w:r>
              <w:t>8</w:t>
            </w:r>
          </w:p>
        </w:tc>
        <w:tc>
          <w:tcPr>
            <w:tcW w:w="2800" w:type="dxa"/>
            <w:vAlign w:val="center"/>
          </w:tcPr>
          <w:p>
            <w:pPr>
              <w:pStyle w:val="TableText"/>
            </w:pPr>
            <w:r>
              <w:t>均線交叉</w:t>
            </w:r>
          </w:p>
        </w:tc>
        <w:tc>
          <w:tcPr>
            <w:tcW w:w="1900" w:type="dxa"/>
            <w:vAlign w:val="center"/>
          </w:tcPr>
          <w:p>
            <w:pPr>
              <w:pStyle w:val="TableNumber"/>
            </w:pPr>
            <w:r>
              <w:t>0.404804</w:t>
            </w:r>
          </w:p>
        </w:tc>
        <w:tc>
          <w:tcPr>
            <w:tcW w:w="1330" w:type="dxa"/>
            <w:vAlign w:val="center"/>
          </w:tcPr>
          <w:p>
            <w:pPr>
              <w:pStyle w:val="TableNumber"/>
            </w:pPr>
            <w:r>
              <w:t>0.4180</w:t>
            </w:r>
          </w:p>
        </w:tc>
        <w:tc>
          <w:tcPr>
            <w:tcW w:w="1330" w:type="dxa"/>
            <w:vAlign w:val="center"/>
          </w:tcPr>
          <w:p>
            <w:pPr>
              <w:pStyle w:val="TableNumber"/>
            </w:pPr>
            <w:r>
              <w:t>0.3975</w:t>
            </w:r>
          </w:p>
        </w:tc>
        <w:tc>
          <w:tcPr>
            <w:tcW w:w="1350" w:type="dxa"/>
            <w:vAlign w:val="center"/>
          </w:tcPr>
          <w:p>
            <w:pPr>
              <w:pStyle w:val="TableNumber"/>
            </w:pPr>
            <w:r>
              <w:t>0.4283</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0.405290</w:t>
            </w:r>
          </w:p>
        </w:tc>
        <w:tc>
          <w:tcPr>
            <w:tcW w:w="1330" w:type="dxa"/>
            <w:vAlign w:val="center"/>
          </w:tcPr>
          <w:p>
            <w:pPr>
              <w:pStyle w:val="TableNumber"/>
            </w:pPr>
            <w:r>
              <w:t>0.5413</w:t>
            </w:r>
          </w:p>
        </w:tc>
        <w:tc>
          <w:tcPr>
            <w:tcW w:w="1330" w:type="dxa"/>
            <w:vAlign w:val="center"/>
          </w:tcPr>
          <w:p>
            <w:pPr>
              <w:pStyle w:val="TableNumber"/>
            </w:pPr>
            <w:r>
              <w:t>0.3895</w:t>
            </w:r>
          </w:p>
        </w:tc>
        <w:tc>
          <w:tcPr>
            <w:tcW w:w="1350" w:type="dxa"/>
            <w:vAlign w:val="center"/>
          </w:tcPr>
          <w:p>
            <w:pPr>
              <w:pStyle w:val="TableNumber"/>
            </w:pPr>
            <w:r>
              <w:t>0.3848</w:t>
            </w:r>
          </w:p>
        </w:tc>
      </w:tr>
      <w:tr>
        <w:trPr>
          <w:cantSplit/>
        </w:trPr>
        <w:tc>
          <w:tcPr>
            <w:tcW w:w="650" w:type="dxa"/>
            <w:vAlign w:val="center"/>
          </w:tcPr>
          <w:p>
            <w:pPr>
              <w:pStyle w:val="TableNumber"/>
            </w:pPr>
            <w:r>
              <w:t>10</w:t>
            </w:r>
          </w:p>
        </w:tc>
        <w:tc>
          <w:tcPr>
            <w:tcW w:w="2800" w:type="dxa"/>
            <w:vAlign w:val="center"/>
          </w:tcPr>
          <w:p>
            <w:pPr>
              <w:pStyle w:val="TableText"/>
            </w:pPr>
            <w:r>
              <w:t>RSI 規則</w:t>
            </w:r>
          </w:p>
        </w:tc>
        <w:tc>
          <w:tcPr>
            <w:tcW w:w="1900" w:type="dxa"/>
            <w:vAlign w:val="center"/>
          </w:tcPr>
          <w:p>
            <w:pPr>
              <w:pStyle w:val="TableNumber"/>
            </w:pPr>
            <w:r>
              <w:t>0.432191</w:t>
            </w:r>
          </w:p>
        </w:tc>
        <w:tc>
          <w:tcPr>
            <w:tcW w:w="1330" w:type="dxa"/>
            <w:vAlign w:val="center"/>
          </w:tcPr>
          <w:p>
            <w:pPr>
              <w:pStyle w:val="TableNumber"/>
            </w:pPr>
            <w:r>
              <w:t>0.4255</w:t>
            </w:r>
          </w:p>
        </w:tc>
        <w:tc>
          <w:tcPr>
            <w:tcW w:w="1330" w:type="dxa"/>
            <w:vAlign w:val="center"/>
          </w:tcPr>
          <w:p>
            <w:pPr>
              <w:pStyle w:val="TableNumber"/>
            </w:pPr>
            <w:r>
              <w:t>0.4262</w:t>
            </w:r>
          </w:p>
        </w:tc>
        <w:tc>
          <w:tcPr>
            <w:tcW w:w="1350" w:type="dxa"/>
            <w:vAlign w:val="center"/>
          </w:tcPr>
          <w:p>
            <w:pPr>
              <w:pStyle w:val="TableNumber"/>
            </w:pPr>
            <w:r>
              <w:t>0.4710</w:t>
            </w:r>
          </w:p>
        </w:tc>
      </w:tr>
      <w:tr>
        <w:trPr>
          <w:cantSplit/>
        </w:trPr>
        <w:tc>
          <w:tcPr>
            <w:tcW w:w="650" w:type="dxa"/>
            <w:vAlign w:val="center"/>
          </w:tcPr>
          <w:p>
            <w:pPr>
              <w:pStyle w:val="TableNumber"/>
            </w:pPr>
            <w:r>
              <w:t>11</w:t>
            </w:r>
          </w:p>
        </w:tc>
        <w:tc>
          <w:tcPr>
            <w:tcW w:w="2800" w:type="dxa"/>
            <w:vAlign w:val="center"/>
          </w:tcPr>
          <w:p>
            <w:pPr>
              <w:pStyle w:val="TableText"/>
            </w:pPr>
            <w:r>
              <w:t>波動率縮放規則</w:t>
            </w:r>
          </w:p>
        </w:tc>
        <w:tc>
          <w:tcPr>
            <w:tcW w:w="1900" w:type="dxa"/>
            <w:vAlign w:val="center"/>
          </w:tcPr>
          <w:p>
            <w:pPr>
              <w:pStyle w:val="TableNumber"/>
            </w:pPr>
            <w:r>
              <w:t>0.566933</w:t>
            </w:r>
          </w:p>
        </w:tc>
        <w:tc>
          <w:tcPr>
            <w:tcW w:w="1330" w:type="dxa"/>
            <w:vAlign w:val="center"/>
          </w:tcPr>
          <w:p>
            <w:pPr>
              <w:pStyle w:val="TableNumber"/>
            </w:pPr>
            <w:r>
              <w:t>0.4548</w:t>
            </w:r>
          </w:p>
        </w:tc>
        <w:tc>
          <w:tcPr>
            <w:tcW w:w="1330" w:type="dxa"/>
            <w:vAlign w:val="center"/>
          </w:tcPr>
          <w:p>
            <w:pPr>
              <w:pStyle w:val="TableNumber"/>
            </w:pPr>
            <w:r>
              <w:t>0.5634</w:t>
            </w:r>
          </w:p>
        </w:tc>
        <w:tc>
          <w:tcPr>
            <w:tcW w:w="1350" w:type="dxa"/>
            <w:vAlign w:val="center"/>
          </w:tcPr>
          <w:p>
            <w:pPr>
              <w:pStyle w:val="TableNumber"/>
            </w:pPr>
            <w:r>
              <w:t>0.6839</w:t>
            </w:r>
          </w:p>
        </w:tc>
      </w:tr>
      <w:tr>
        <w:trPr>
          <w:cantSplit/>
        </w:trPr>
        <w:tc>
          <w:tcPr>
            <w:tcW w:w="650" w:type="dxa"/>
            <w:vAlign w:val="center"/>
          </w:tcPr>
          <w:p>
            <w:pPr>
              <w:pStyle w:val="TableNumber"/>
            </w:pPr>
            <w:r>
              <w:t>12</w:t>
            </w:r>
          </w:p>
        </w:tc>
        <w:tc>
          <w:tcPr>
            <w:tcW w:w="2800" w:type="dxa"/>
            <w:vAlign w:val="center"/>
          </w:tcPr>
          <w:p>
            <w:pPr>
              <w:pStyle w:val="TableText"/>
            </w:pPr>
            <w:r>
              <w:t>5 日反轉</w:t>
            </w:r>
          </w:p>
        </w:tc>
        <w:tc>
          <w:tcPr>
            <w:tcW w:w="1900" w:type="dxa"/>
            <w:vAlign w:val="center"/>
          </w:tcPr>
          <w:p>
            <w:pPr>
              <w:pStyle w:val="TableNumber"/>
            </w:pPr>
            <w:r>
              <w:t>0.571595</w:t>
            </w:r>
          </w:p>
        </w:tc>
        <w:tc>
          <w:tcPr>
            <w:tcW w:w="1330" w:type="dxa"/>
            <w:vAlign w:val="center"/>
          </w:tcPr>
          <w:p>
            <w:pPr>
              <w:pStyle w:val="TableNumber"/>
            </w:pPr>
            <w:r>
              <w:t>0.4586</w:t>
            </w:r>
          </w:p>
        </w:tc>
        <w:tc>
          <w:tcPr>
            <w:tcW w:w="1330" w:type="dxa"/>
            <w:vAlign w:val="center"/>
          </w:tcPr>
          <w:p>
            <w:pPr>
              <w:pStyle w:val="TableNumber"/>
            </w:pPr>
            <w:r>
              <w:t>0.5629</w:t>
            </w:r>
          </w:p>
        </w:tc>
        <w:tc>
          <w:tcPr>
            <w:tcW w:w="1350" w:type="dxa"/>
            <w:vAlign w:val="center"/>
          </w:tcPr>
          <w:p>
            <w:pPr>
              <w:pStyle w:val="TableNumber"/>
            </w:pPr>
            <w:r>
              <w:t>0.7012</w:t>
            </w:r>
          </w:p>
        </w:tc>
      </w:tr>
      <w:tr>
        <w:trPr>
          <w:cantSplit/>
        </w:trPr>
        <w:tc>
          <w:tcPr>
            <w:tcW w:w="650" w:type="dxa"/>
            <w:vAlign w:val="center"/>
          </w:tcPr>
          <w:p>
            <w:pPr>
              <w:pStyle w:val="TableNumber"/>
            </w:pPr>
            <w:r>
              <w:t>13</w:t>
            </w:r>
          </w:p>
        </w:tc>
        <w:tc>
          <w:tcPr>
            <w:tcW w:w="2800" w:type="dxa"/>
            <w:vAlign w:val="center"/>
          </w:tcPr>
          <w:p>
            <w:pPr>
              <w:pStyle w:val="TableText"/>
            </w:pPr>
            <w:r>
              <w:t>5 日動能</w:t>
            </w:r>
          </w:p>
        </w:tc>
        <w:tc>
          <w:tcPr>
            <w:tcW w:w="1900" w:type="dxa"/>
            <w:vAlign w:val="center"/>
          </w:tcPr>
          <w:p>
            <w:pPr>
              <w:pStyle w:val="TableNumber"/>
            </w:pPr>
            <w:r>
              <w:t>0.588425</w:t>
            </w:r>
          </w:p>
        </w:tc>
        <w:tc>
          <w:tcPr>
            <w:tcW w:w="1330" w:type="dxa"/>
            <w:vAlign w:val="center"/>
          </w:tcPr>
          <w:p>
            <w:pPr>
              <w:pStyle w:val="TableNumber"/>
            </w:pPr>
            <w:r>
              <w:t>0.4608</w:t>
            </w:r>
          </w:p>
        </w:tc>
        <w:tc>
          <w:tcPr>
            <w:tcW w:w="1330" w:type="dxa"/>
            <w:vAlign w:val="center"/>
          </w:tcPr>
          <w:p>
            <w:pPr>
              <w:pStyle w:val="TableNumber"/>
            </w:pPr>
            <w:r>
              <w:t>0.5853</w:t>
            </w:r>
          </w:p>
        </w:tc>
        <w:tc>
          <w:tcPr>
            <w:tcW w:w="1350" w:type="dxa"/>
            <w:vAlign w:val="center"/>
          </w:tcPr>
          <w:p>
            <w:pPr>
              <w:pStyle w:val="TableNumber"/>
            </w:pPr>
            <w:r>
              <w:t>0.7159</w:t>
            </w:r>
          </w:p>
        </w:tc>
      </w:tr>
    </w:tbl>
    <w:p>
      <w:pPr>
        <w:pStyle w:val="Note"/>
      </w:pPr>
      <w:r>
        <w:t>所有 learned baseline 均使用 seed 42；主排名只依 14 horizon selection score。</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run ID</w:t>
            </w:r>
          </w:p>
        </w:tc>
        <w:tc>
          <w:tcPr>
            <w:tcW w:w="6360" w:type="dxa"/>
            <w:vAlign w:val="center"/>
          </w:tcPr>
          <w:p>
            <w:pPr>
              <w:pStyle w:val="TableText"/>
            </w:pPr>
            <w:r>
              <w:t>run-20260903T140429Z-1247813592</w:t>
            </w:r>
          </w:p>
        </w:tc>
      </w:tr>
      <w:tr>
        <w:trPr>
          <w:cantSplit/>
        </w:trPr>
        <w:tc>
          <w:tcPr>
            <w:tcW w:w="3000" w:type="dxa"/>
            <w:vAlign w:val="center"/>
          </w:tcPr>
          <w:p>
            <w:pPr>
              <w:pStyle w:val="TableText"/>
            </w:pPr>
            <w:r>
              <w:t>最佳 checkpoint</w:t>
            </w:r>
          </w:p>
        </w:tc>
        <w:tc>
          <w:tcPr>
            <w:tcW w:w="6360" w:type="dxa"/>
            <w:vAlign w:val="center"/>
          </w:tcPr>
          <w:p>
            <w:pPr>
              <w:pStyle w:val="TableText"/>
            </w:pPr>
            <w:r>
              <w:t>checkpoint-003908; selection score 0.31475936576408564</w:t>
            </w:r>
          </w:p>
        </w:tc>
      </w:tr>
      <w:tr>
        <w:trPr>
          <w:cantSplit/>
        </w:trPr>
        <w:tc>
          <w:tcPr>
            <w:tcW w:w="3000" w:type="dxa"/>
            <w:vAlign w:val="center"/>
          </w:tcPr>
          <w:p>
            <w:pPr>
              <w:pStyle w:val="TableText"/>
            </w:pPr>
            <w:r>
              <w:t>輸出 schema</w:t>
            </w:r>
          </w:p>
        </w:tc>
        <w:tc>
          <w:tcPr>
            <w:tcW w:w="6360" w:type="dxa"/>
            <w:vAlign w:val="center"/>
          </w:tcPr>
          <w:p>
            <w:pPr>
              <w:pStyle w:val="TableText"/>
            </w:pPr>
            <w:r>
              <w:t>model_output_schema_version=5.0; horizons 1-14; q10/q50/q90</w:t>
            </w:r>
          </w:p>
        </w:tc>
      </w:tr>
      <w:tr>
        <w:trPr>
          <w:cantSplit/>
        </w:trPr>
        <w:tc>
          <w:tcPr>
            <w:tcW w:w="3000" w:type="dxa"/>
            <w:vAlign w:val="center"/>
          </w:tcPr>
          <w:p>
            <w:pPr>
              <w:pStyle w:val="TableText"/>
            </w:pPr>
            <w:r>
              <w:t>validation 狀態</w:t>
            </w:r>
          </w:p>
        </w:tc>
        <w:tc>
          <w:tcPr>
            <w:tcW w:w="6360" w:type="dxa"/>
            <w:vAlign w:val="center"/>
          </w:tcPr>
          <w:p>
            <w:pPr>
              <w:pStyle w:val="TableText"/>
            </w:pPr>
            <w:r>
              <w:t>ready; exit code 0; test_unlocked=false</w:t>
            </w:r>
          </w:p>
        </w:tc>
      </w:tr>
      <w:tr>
        <w:trPr>
          <w:cantSplit/>
        </w:trPr>
        <w:tc>
          <w:tcPr>
            <w:tcW w:w="3000" w:type="dxa"/>
            <w:vAlign w:val="center"/>
          </w:tcPr>
          <w:p>
            <w:pPr>
              <w:pStyle w:val="TableText"/>
            </w:pPr>
            <w:r>
              <w:t>資料 request SHA-256</w:t>
            </w:r>
          </w:p>
        </w:tc>
        <w:tc>
          <w:tcPr>
            <w:tcW w:w="6360" w:type="dxa"/>
            <w:vAlign w:val="center"/>
          </w:tcPr>
          <w:p>
            <w:pPr>
              <w:pStyle w:val="TableText"/>
            </w:pPr>
            <w:r>
              <w:t>bbe0e0662867673393b742822ffc54ac5476e10015bfaacef02831560a8e3bf0</w:t>
            </w:r>
          </w:p>
        </w:tc>
      </w:tr>
      <w:tr>
        <w:trPr>
          <w:cantSplit/>
        </w:trPr>
        <w:tc>
          <w:tcPr>
            <w:tcW w:w="3000" w:type="dxa"/>
            <w:vAlign w:val="center"/>
          </w:tcPr>
          <w:p>
            <w:pPr>
              <w:pStyle w:val="TableText"/>
            </w:pPr>
            <w:r>
              <w:t>主要 artifacts</w:t>
            </w:r>
          </w:p>
        </w:tc>
        <w:tc>
          <w:tcPr>
            <w:tcW w:w="6360" w:type="dxa"/>
            <w:vAlign w:val="center"/>
          </w:tcPr>
          <w:p>
            <w:pPr>
              <w:pStyle w:val="TableText"/>
            </w:pPr>
            <w:r>
              <w:t>best-checkpoint.json; checkpoint-leaderboard.json; training-result.json; validation-benchmark.json; resolved-config.yaml; run-manifest.json</w:t>
            </w:r>
          </w:p>
        </w:tc>
      </w:tr>
    </w:tbl>
    <w:p>
      <w:pPr>
        <w:pStyle w:val="Note"/>
      </w:pPr>
      <w:r>
        <w:t>本報告數值直接來自 run artifacts；沒有重新訓練、重新抽樣或解鎖 test。</w:t>
      </w:r>
    </w:p>
    <w:p>
      <w:pPr>
        <w:pStyle w:val="a"/>
        <w:spacing w:after="0"/>
      </w:pPr>
      <w:r>
        <w:br w:type="page"/>
      </w:r>
    </w:p>
    <w:p>
      <w:pPr>
        <w:pStyle w:val="Kicker"/>
      </w:pPr>
      <w:r>
        <w:t>MODEL PERFORMANCE EVALUATION</w:t>
      </w:r>
    </w:p>
    <w:p>
      <w:pPr>
        <w:pStyle w:val="ReportTitle"/>
      </w:pPr>
      <w:r>
        <w:t>One to Fourteen Day Alpha Forecast Validation</w:t>
      </w:r>
    </w:p>
    <w:p>
      <w:pPr>
        <w:pStyle w:val="1"/>
      </w:pPr>
      <w:r>
        <w:t>Stage 1 | run-20260903T140429Z-1247813592</w:t>
      </w:r>
    </w:p>
    <w:p>
      <w:pPr>
        <w:pStyle w:val="Metadata"/>
      </w:pPr>
      <w:r>
        <w:t>Report date: 2026-09-04</w:t>
      </w:r>
    </w:p>
    <w:p>
      <w:pPr>
        <w:pStyle w:val="Metadata"/>
      </w:pPr>
      <w:r>
        <w:t>Best checkpoint: checkpoint-003908 (global step 3,908)</w:t>
      </w:r>
    </w:p>
    <w:p>
      <w:pPr>
        <w:pStyle w:val="Metadata"/>
      </w:pPr>
      <w:r>
        <w:t>Selection split: validation; test split remains locked</w:t>
      </w:r>
    </w:p>
    <w:p>
      <w:pPr>
        <w:pStyle w:val="Lead"/>
      </w:pPr>
      <w:r>
        <w:t>Conclusion: the model produces forecasts for days 1 through 14 in one output, so this report evaluates all 14 horizons. Kronos has the lowest all-horizon selection score among 13 models. Its normalized pinball ranks first at 13 horizons and second at one horizon. RankIC and net Sharpe are positive at every horizon, but maximum drawdown generally deepens as the holding period increases. The evidence supports Stage 2, not deployment or live trading.</w:t>
      </w:r>
    </w:p>
    <w:p>
      <w:pPr>
        <w:pStyle w:val="11"/>
      </w:pPr>
      <w:r>
        <w:t>1. Executive summary</w:t>
      </w:r>
    </w:p>
    <w:p>
      <w:pPr>
        <w:pStyle w:val="21"/>
      </w:pPr>
      <w:r>
        <w:t>1.1 The unit of evaluation is all 14 horizons</w:t>
      </w:r>
    </w:p>
    <w:p>
      <w:pPr>
        <w:pStyle w:val="a"/>
      </w:pPr>
      <w:r>
        <w:t>Each sample contains 14 separate q10, q50, and q90 triplets. They describe benchmark-relative outcomes after holding for 1, 2, and up to 14 common trading days. The selection score is the equal-weight mean normalized pinball across all horizons. The horizon tables test whether the aggregate result is supported broadly rather than by only a few holding periods.</w:t>
      </w:r>
    </w:p>
    <w:p>
      <w:pPr>
        <w:pStyle w:val="Decision"/>
        <w:keepNext/>
        <w:spacing w:after="80"/>
      </w:pPr>
      <w:r>
        <w:t>Table 1 | Main findings across days 1 through 14</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Evaluation area</w:t>
            </w:r>
          </w:p>
        </w:tc>
        <w:tc>
          <w:tcPr>
            <w:tcW w:w="2800" w:type="dxa"/>
            <w:shd w:val="clear" w:fill="DCE6F1"/>
            <w:vAlign w:val="center"/>
          </w:tcPr>
          <w:p>
            <w:pPr>
              <w:pStyle w:val="TableHeader"/>
            </w:pPr>
            <w:r>
              <w:t>Result</w:t>
            </w:r>
          </w:p>
        </w:tc>
        <w:tc>
          <w:tcPr>
            <w:tcW w:w="3910" w:type="dxa"/>
            <w:shd w:val="clear" w:fill="DCE6F1"/>
            <w:vAlign w:val="center"/>
          </w:tcPr>
          <w:p>
            <w:pPr>
              <w:pStyle w:val="TableHeader"/>
            </w:pPr>
            <w:r>
              <w:t>Correct interpretation</w:t>
            </w:r>
          </w:p>
        </w:tc>
      </w:tr>
      <w:tr>
        <w:trPr>
          <w:cantSplit/>
        </w:trPr>
        <w:tc>
          <w:tcPr>
            <w:tcW w:w="2650" w:type="dxa"/>
            <w:vAlign w:val="center"/>
          </w:tcPr>
          <w:p>
            <w:pPr>
              <w:pStyle w:val="TableText"/>
            </w:pPr>
            <w:r>
              <w:t>All-horizon selection score</w:t>
            </w:r>
          </w:p>
        </w:tc>
        <w:tc>
          <w:tcPr>
            <w:tcW w:w="2800" w:type="dxa"/>
            <w:vAlign w:val="center"/>
          </w:tcPr>
          <w:p>
            <w:pPr>
              <w:pStyle w:val="TableNumber"/>
            </w:pPr>
            <w:r>
              <w:t>0.314759</w:t>
            </w:r>
          </w:p>
        </w:tc>
        <w:tc>
          <w:tcPr>
            <w:tcW w:w="3910" w:type="dxa"/>
            <w:vAlign w:val="center"/>
          </w:tcPr>
          <w:p>
            <w:pPr>
              <w:pStyle w:val="TableText"/>
            </w:pPr>
            <w:r>
              <w:t>Rank 1 of 13; equal weight across 14 horizons</w:t>
            </w:r>
          </w:p>
        </w:tc>
      </w:tr>
      <w:tr>
        <w:trPr>
          <w:cantSplit/>
        </w:trPr>
        <w:tc>
          <w:tcPr>
            <w:tcW w:w="2650" w:type="dxa"/>
            <w:vAlign w:val="center"/>
          </w:tcPr>
          <w:p>
            <w:pPr>
              <w:pStyle w:val="TableText"/>
            </w:pPr>
            <w:r>
              <w:t>Per-horizon normalized pinball</w:t>
            </w:r>
          </w:p>
        </w:tc>
        <w:tc>
          <w:tcPr>
            <w:tcW w:w="2800" w:type="dxa"/>
            <w:vAlign w:val="center"/>
          </w:tcPr>
          <w:p>
            <w:pPr>
              <w:pStyle w:val="TableNumber"/>
            </w:pPr>
            <w:r>
              <w:t>Rank 1 at 13; rank 2 at 1</w:t>
            </w:r>
          </w:p>
        </w:tc>
        <w:tc>
          <w:tcPr>
            <w:tcW w:w="3910" w:type="dxa"/>
            <w:vAlign w:val="center"/>
          </w:tcPr>
          <w:p>
            <w:pPr>
              <w:pStyle w:val="TableText"/>
            </w:pPr>
            <w:r>
              <w:t>Second at day 1; first at days 2 through 14</w:t>
            </w:r>
          </w:p>
        </w:tc>
      </w:tr>
      <w:tr>
        <w:trPr>
          <w:cantSplit/>
        </w:trPr>
        <w:tc>
          <w:tcPr>
            <w:tcW w:w="2650" w:type="dxa"/>
            <w:vAlign w:val="center"/>
          </w:tcPr>
          <w:p>
            <w:pPr>
              <w:pStyle w:val="TableText"/>
            </w:pPr>
            <w:r>
              <w:t>q50 Pearson correlation</w:t>
            </w:r>
          </w:p>
        </w:tc>
        <w:tc>
          <w:tcPr>
            <w:tcW w:w="2800" w:type="dxa"/>
            <w:vAlign w:val="center"/>
          </w:tcPr>
          <w:p>
            <w:pPr>
              <w:pStyle w:val="TableNumber"/>
            </w:pPr>
            <w:r>
              <w:t>Positive at 14 of 14; 0.0507 to 0.1065</w:t>
            </w:r>
          </w:p>
        </w:tc>
        <w:tc>
          <w:tcPr>
            <w:tcW w:w="3910" w:type="dxa"/>
            <w:vAlign w:val="center"/>
          </w:tcPr>
          <w:p>
            <w:pPr>
              <w:pStyle w:val="TableText"/>
            </w:pPr>
            <w:r>
              <w:t>Generally rises with horizon but remains weak</w:t>
            </w:r>
          </w:p>
        </w:tc>
      </w:tr>
      <w:tr>
        <w:trPr>
          <w:cantSplit/>
        </w:trPr>
        <w:tc>
          <w:tcPr>
            <w:tcW w:w="2650" w:type="dxa"/>
            <w:vAlign w:val="center"/>
          </w:tcPr>
          <w:p>
            <w:pPr>
              <w:pStyle w:val="TableText"/>
            </w:pPr>
            <w:r>
              <w:t>Direction agreement</w:t>
            </w:r>
          </w:p>
        </w:tc>
        <w:tc>
          <w:tcPr>
            <w:tcW w:w="2800" w:type="dxa"/>
            <w:vAlign w:val="center"/>
          </w:tcPr>
          <w:p>
            <w:pPr>
              <w:pStyle w:val="TableNumber"/>
            </w:pPr>
            <w:r>
              <w:t>49.40% to 56.29%</w:t>
            </w:r>
          </w:p>
        </w:tc>
        <w:tc>
          <w:tcPr>
            <w:tcW w:w="3910" w:type="dxa"/>
            <w:vAlign w:val="center"/>
          </w:tcPr>
          <w:p>
            <w:pPr>
              <w:pStyle w:val="TableText"/>
            </w:pPr>
            <w:r>
              <w:t>Above 50% at 13 of 14; day 1 is 49.40%</w:t>
            </w:r>
          </w:p>
        </w:tc>
      </w:tr>
      <w:tr>
        <w:trPr>
          <w:cantSplit/>
        </w:trPr>
        <w:tc>
          <w:tcPr>
            <w:tcW w:w="2650" w:type="dxa"/>
            <w:vAlign w:val="center"/>
          </w:tcPr>
          <w:p>
            <w:pPr>
              <w:pStyle w:val="TableText"/>
            </w:pPr>
            <w:r>
              <w:t>q10 to q90 coverage</w:t>
            </w:r>
          </w:p>
        </w:tc>
        <w:tc>
          <w:tcPr>
            <w:tcW w:w="2800" w:type="dxa"/>
            <w:vAlign w:val="center"/>
          </w:tcPr>
          <w:p>
            <w:pPr>
              <w:pStyle w:val="TableNumber"/>
            </w:pPr>
            <w:r>
              <w:t>76.05% to 83.59%</w:t>
            </w:r>
          </w:p>
        </w:tc>
        <w:tc>
          <w:tcPr>
            <w:tcW w:w="3910" w:type="dxa"/>
            <w:vAlign w:val="center"/>
          </w:tcPr>
          <w:p>
            <w:pPr>
              <w:pStyle w:val="TableText"/>
            </w:pPr>
            <w:r>
              <w:t>High at short horizons and mostly below nominal 80% later</w:t>
            </w:r>
          </w:p>
        </w:tc>
      </w:tr>
      <w:tr>
        <w:trPr>
          <w:cantSplit/>
        </w:trPr>
        <w:tc>
          <w:tcPr>
            <w:tcW w:w="2650" w:type="dxa"/>
            <w:vAlign w:val="center"/>
          </w:tcPr>
          <w:p>
            <w:pPr>
              <w:pStyle w:val="TableText"/>
            </w:pPr>
            <w:r>
              <w:t>RankIC</w:t>
            </w:r>
          </w:p>
        </w:tc>
        <w:tc>
          <w:tcPr>
            <w:tcW w:w="2800" w:type="dxa"/>
            <w:vAlign w:val="center"/>
          </w:tcPr>
          <w:p>
            <w:pPr>
              <w:pStyle w:val="TableNumber"/>
            </w:pPr>
            <w:r>
              <w:t>Positive at 14 of 14; rank 1 at 9</w:t>
            </w:r>
          </w:p>
        </w:tc>
        <w:tc>
          <w:tcPr>
            <w:tcW w:w="3910" w:type="dxa"/>
            <w:vAlign w:val="center"/>
          </w:tcPr>
          <w:p>
            <w:pPr>
              <w:pStyle w:val="TableText"/>
            </w:pPr>
            <w:r>
              <w:t>Rank 2 at two horizons and rank 3 at three</w:t>
            </w:r>
          </w:p>
        </w:tc>
      </w:tr>
      <w:tr>
        <w:trPr>
          <w:cantSplit/>
        </w:trPr>
        <w:tc>
          <w:tcPr>
            <w:tcW w:w="2650" w:type="dxa"/>
            <w:vAlign w:val="center"/>
          </w:tcPr>
          <w:p>
            <w:pPr>
              <w:pStyle w:val="TableText"/>
            </w:pPr>
            <w:r>
              <w:t>Net Sharpe</w:t>
            </w:r>
          </w:p>
        </w:tc>
        <w:tc>
          <w:tcPr>
            <w:tcW w:w="2800" w:type="dxa"/>
            <w:vAlign w:val="center"/>
          </w:tcPr>
          <w:p>
            <w:pPr>
              <w:pStyle w:val="TableNumber"/>
            </w:pPr>
            <w:r>
              <w:t>Positive at 14 of 14; rank 1 at 10</w:t>
            </w:r>
          </w:p>
        </w:tc>
        <w:tc>
          <w:tcPr>
            <w:tcW w:w="3910" w:type="dxa"/>
            <w:vAlign w:val="center"/>
          </w:tcPr>
          <w:p>
            <w:pPr>
              <w:pStyle w:val="TableText"/>
            </w:pPr>
            <w:r>
              <w:t>Rank 2 at three horizons and rank 3 at one</w:t>
            </w:r>
          </w:p>
        </w:tc>
      </w:tr>
      <w:tr>
        <w:trPr>
          <w:cantSplit/>
        </w:trPr>
        <w:tc>
          <w:tcPr>
            <w:tcW w:w="2650" w:type="dxa"/>
            <w:vAlign w:val="center"/>
          </w:tcPr>
          <w:p>
            <w:pPr>
              <w:pStyle w:val="TableText"/>
            </w:pPr>
            <w:r>
              <w:t>Maximum drawdown</w:t>
            </w:r>
          </w:p>
        </w:tc>
        <w:tc>
          <w:tcPr>
            <w:tcW w:w="2800" w:type="dxa"/>
            <w:vAlign w:val="center"/>
          </w:tcPr>
          <w:p>
            <w:pPr>
              <w:pStyle w:val="TableNumber"/>
            </w:pPr>
            <w:r>
              <w:t>-15.44% to -66.71%</w:t>
            </w:r>
          </w:p>
        </w:tc>
        <w:tc>
          <w:tcPr>
            <w:tcW w:w="3910" w:type="dxa"/>
            <w:vAlign w:val="center"/>
          </w:tcPr>
          <w:p>
            <w:pPr>
              <w:pStyle w:val="TableText"/>
            </w:pPr>
            <w:r>
              <w:t>Ranks 4 through 7; risk rises at longer horizons</w:t>
            </w:r>
          </w:p>
        </w:tc>
      </w:tr>
    </w:tbl>
    <w:p>
      <w:pPr>
        <w:pStyle w:val="21"/>
      </w:pPr>
      <w:r>
        <w:t>1.2 Decision and evidence strength</w:t>
      </w:r>
    </w:p>
    <w:p>
      <w:pPr>
        <w:pStyle w:val="a"/>
      </w:pPr>
      <w:r>
        <w:t>Kronos has an all-horizon score of 0.314759, 6.49% below second-place GRU at 0.336588 and 13.32% below the zero-return baseline at 0.363115. By horizon, its normalized pinball advantage over GRU grows from 0.38% at day 1 to 12.17% at day 13. It is lower than the zero-return baseline at every horizon.</w:t>
      </w:r>
    </w:p>
    <w:p>
      <w:pPr>
        <w:pStyle w:val="Decision"/>
      </w:pPr>
      <w:r>
        <w:t>Decision: pass Stage 1 and proceed to full-data Stage 2; do not approve deployment.</w:t>
      </w:r>
    </w:p>
    <w:p>
      <w:pPr>
        <w:pStyle w:val="Note"/>
      </w:pPr>
      <w:r>
        <w:t>Selection score measures distribution error across 14 horizons. It is not return, hit rate, or a tradability score.</w:t>
      </w:r>
    </w:p>
    <w:p>
      <w:pPr>
        <w:pStyle w:val="11"/>
      </w:pPr>
      <w:r>
        <w:t>2. Validation design and evidence boundary</w:t>
      </w:r>
    </w:p>
    <w:p>
      <w:pPr>
        <w:pStyle w:val="21"/>
      </w:pPr>
      <w:r>
        <w:t>2.1 Data and splits</w:t>
      </w:r>
    </w:p>
    <w:p>
      <w:pPr>
        <w:pStyle w:val="a"/>
      </w:pPr>
      <w:r>
        <w:t>The us_tw_eodhd profile combines EODHD US data with official TPEx and TWSE data. Every model uses the same chronological split, benchmark mapping, cutoff-inclusive input context, and entry and exit timestamps.</w:t>
      </w:r>
    </w:p>
    <w:p>
      <w:pPr>
        <w:pStyle w:val="Decision"/>
        <w:keepNext/>
        <w:spacing w:after="80"/>
      </w:pPr>
      <w:r>
        <w:t>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Full training split</w:t>
            </w:r>
          </w:p>
        </w:tc>
        <w:tc>
          <w:tcPr>
            <w:tcW w:w="2050" w:type="dxa"/>
            <w:vAlign w:val="center"/>
          </w:tcPr>
          <w:p>
            <w:pPr>
              <w:pStyle w:val="TableNumber"/>
            </w:pPr>
            <w:r>
              <w:t>12,365,351</w:t>
            </w:r>
          </w:p>
        </w:tc>
        <w:tc>
          <w:tcPr>
            <w:tcW w:w="4510" w:type="dxa"/>
            <w:vAlign w:val="center"/>
          </w:tcPr>
          <w:p>
            <w:pPr>
              <w:pStyle w:val="TableText"/>
            </w:pPr>
            <w:r>
              <w:t>Stage 1 uses a deterministic 5% subset capped at 500,000 per epoch</w:t>
            </w:r>
          </w:p>
        </w:tc>
      </w:tr>
      <w:tr>
        <w:trPr>
          <w:cantSplit/>
        </w:trPr>
        <w:tc>
          <w:tcPr>
            <w:tcW w:w="2800" w:type="dxa"/>
            <w:vAlign w:val="center"/>
          </w:tcPr>
          <w:p>
            <w:pPr>
              <w:pStyle w:val="TableText"/>
            </w:pPr>
            <w:r>
              <w:t>Full validation split</w:t>
            </w:r>
          </w:p>
        </w:tc>
        <w:tc>
          <w:tcPr>
            <w:tcW w:w="2050" w:type="dxa"/>
            <w:vAlign w:val="center"/>
          </w:tcPr>
          <w:p>
            <w:pPr>
              <w:pStyle w:val="TableNumber"/>
            </w:pPr>
            <w:r>
              <w:t>1,704,618</w:t>
            </w:r>
          </w:p>
        </w:tc>
        <w:tc>
          <w:tcPr>
            <w:tcW w:w="4510" w:type="dxa"/>
            <w:vAlign w:val="center"/>
          </w:tcPr>
          <w:p>
            <w:pPr>
              <w:pStyle w:val="TableText"/>
            </w:pPr>
            <w:r>
              <w:t>The benchmark deterministically evaluates 20,000 rows</w:t>
            </w:r>
          </w:p>
        </w:tc>
      </w:tr>
      <w:tr>
        <w:trPr>
          <w:cantSplit/>
        </w:trPr>
        <w:tc>
          <w:tcPr>
            <w:tcW w:w="2800" w:type="dxa"/>
            <w:vAlign w:val="center"/>
          </w:tcPr>
          <w:p>
            <w:pPr>
              <w:pStyle w:val="TableText"/>
            </w:pPr>
            <w:r>
              <w:t>Full test split</w:t>
            </w:r>
          </w:p>
        </w:tc>
        <w:tc>
          <w:tcPr>
            <w:tcW w:w="2050" w:type="dxa"/>
            <w:vAlign w:val="center"/>
          </w:tcPr>
          <w:p>
            <w:pPr>
              <w:pStyle w:val="TableNumber"/>
            </w:pPr>
            <w:r>
              <w:t>1,946,115</w:t>
            </w:r>
          </w:p>
        </w:tc>
        <w:tc>
          <w:tcPr>
            <w:tcW w:w="4510" w:type="dxa"/>
            <w:vAlign w:val="center"/>
          </w:tcPr>
          <w:p>
            <w:pPr>
              <w:pStyle w:val="TableText"/>
            </w:pPr>
            <w:r>
              <w:t>Counted only; test_unlocked=false and never scored</w:t>
            </w:r>
          </w:p>
        </w:tc>
      </w:tr>
      <w:tr>
        <w:trPr>
          <w:cantSplit/>
        </w:trPr>
        <w:tc>
          <w:tcPr>
            <w:tcW w:w="2800" w:type="dxa"/>
            <w:vAlign w:val="center"/>
          </w:tcPr>
          <w:p>
            <w:pPr>
              <w:pStyle w:val="TableText"/>
            </w:pPr>
            <w:r>
              <w:t>Validation rows per horizon</w:t>
            </w:r>
          </w:p>
        </w:tc>
        <w:tc>
          <w:tcPr>
            <w:tcW w:w="2050" w:type="dxa"/>
            <w:vAlign w:val="center"/>
          </w:tcPr>
          <w:p>
            <w:pPr>
              <w:pStyle w:val="TableNumber"/>
            </w:pPr>
            <w:r>
              <w:t>20,000</w:t>
            </w:r>
          </w:p>
        </w:tc>
        <w:tc>
          <w:tcPr>
            <w:tcW w:w="4510" w:type="dxa"/>
            <w:vAlign w:val="center"/>
          </w:tcPr>
          <w:p>
            <w:pPr>
              <w:pStyle w:val="TableText"/>
            </w:pPr>
            <w:r>
              <w:t>Days 1 through 14 use the same sample count</w:t>
            </w:r>
          </w:p>
        </w:tc>
      </w:tr>
      <w:tr>
        <w:trPr>
          <w:cantSplit/>
        </w:trPr>
        <w:tc>
          <w:tcPr>
            <w:tcW w:w="2800" w:type="dxa"/>
            <w:vAlign w:val="center"/>
          </w:tcPr>
          <w:p>
            <w:pPr>
              <w:pStyle w:val="TableText"/>
            </w:pPr>
            <w:r>
              <w:t>Cross-sectional dates</w:t>
            </w:r>
          </w:p>
        </w:tc>
        <w:tc>
          <w:tcPr>
            <w:tcW w:w="2050" w:type="dxa"/>
            <w:vAlign w:val="center"/>
          </w:tcPr>
          <w:p>
            <w:pPr>
              <w:pStyle w:val="TableNumber"/>
            </w:pPr>
            <w:r>
              <w:t>155</w:t>
            </w:r>
          </w:p>
        </w:tc>
        <w:tc>
          <w:tcPr>
            <w:tcW w:w="4510" w:type="dxa"/>
            <w:vAlign w:val="center"/>
          </w:tcPr>
          <w:p>
            <w:pPr>
              <w:pStyle w:val="TableText"/>
            </w:pPr>
            <w:r>
              <w:t>Every horizon aggregates 155 eligible dates</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One seed; random variation is not measured</w:t>
            </w:r>
          </w:p>
        </w:tc>
      </w:tr>
    </w:tbl>
    <w:p>
      <w:pPr>
        <w:pStyle w:val="a"/>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answers how much the stock outperforms or underperforms the benchmark over the same holding period. It is not valuation, a price target, or the stock's standalone return. If q=0.05, the exact relative gross ratio is exp(0.05)-1=5.13%; for small values, it is approximately 5%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Every number is benchmark-relative adjusted execution log return for that horizon.</w:t>
      </w:r>
    </w:p>
    <w:p>
      <w:pPr>
        <w:pStyle w:val="Decision"/>
        <w:keepNext/>
        <w:spacing w:after="80"/>
      </w:pPr>
      <w:r>
        <w:t>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the number forecasts</w:t>
            </w:r>
          </w:p>
        </w:tc>
      </w:tr>
      <w:tr>
        <w:trPr>
          <w:cantSplit/>
        </w:trPr>
        <w:tc>
          <w:tcPr>
            <w:tcW w:w="1300" w:type="dxa"/>
            <w:vAlign w:val="center"/>
          </w:tcPr>
          <w:p>
            <w:pPr>
              <w:pStyle w:val="TableText"/>
            </w:pPr>
            <w:r>
              <w:t>q10</w:t>
            </w:r>
          </w:p>
        </w:tc>
        <w:tc>
          <w:tcPr>
            <w:tcW w:w="2400" w:type="dxa"/>
            <w:vAlign w:val="center"/>
          </w:tcPr>
          <w:p>
            <w:pPr>
              <w:pStyle w:val="TableText"/>
            </w:pPr>
            <w:r>
              <w:t>Pessimistic scenario</w:t>
            </w:r>
          </w:p>
        </w:tc>
        <w:tc>
          <w:tcPr>
            <w:tcW w:w="5660" w:type="dxa"/>
            <w:vAlign w:val="center"/>
          </w:tcPr>
          <w:p>
            <w:pPr>
              <w:pStyle w:val="TableText"/>
            </w:pPr>
            <w:r>
              <w:t>About 10% of outcomes may be lower and 90% higher; it is not a 10% probability of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Half of outcomes may be lower and half higher; used for point forecasts, direction, and ranks</w:t>
            </w:r>
          </w:p>
        </w:tc>
      </w:tr>
      <w:tr>
        <w:trPr>
          <w:cantSplit/>
        </w:trPr>
        <w:tc>
          <w:tcPr>
            <w:tcW w:w="1300" w:type="dxa"/>
            <w:vAlign w:val="center"/>
          </w:tcPr>
          <w:p>
            <w:pPr>
              <w:pStyle w:val="TableText"/>
            </w:pPr>
            <w:r>
              <w:t>q90</w:t>
            </w:r>
          </w:p>
        </w:tc>
        <w:tc>
          <w:tcPr>
            <w:tcW w:w="2400" w:type="dxa"/>
            <w:vAlign w:val="center"/>
          </w:tcPr>
          <w:p>
            <w:pPr>
              <w:pStyle w:val="TableText"/>
            </w:pPr>
            <w:r>
              <w:t>Optimistic scenario</w:t>
            </w:r>
          </w:p>
        </w:tc>
        <w:tc>
          <w:tcPr>
            <w:tcW w:w="5660" w:type="dxa"/>
            <w:vAlign w:val="center"/>
          </w:tcPr>
          <w:p>
            <w:pPr>
              <w:pStyle w:val="TableText"/>
            </w:pPr>
            <w:r>
              <w:t>About 90% of outcomes may be lower and 10% higher; it is not a guaranteed ceiling</w:t>
            </w:r>
          </w:p>
        </w:tc>
      </w:tr>
    </w:tbl>
    <w:p>
      <w:pPr>
        <w:pStyle w:val="21"/>
      </w:pPr>
      <w:r>
        <w:t>3.2 Three stock scenarios</w:t>
      </w:r>
    </w:p>
    <w:p>
      <w:pPr>
        <w:pStyle w:val="Decision"/>
        <w:keepNext/>
        <w:spacing w:after="80"/>
      </w:pPr>
      <w:r>
        <w:t>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winner</w:t>
            </w:r>
          </w:p>
        </w:tc>
        <w:tc>
          <w:tcPr>
            <w:tcW w:w="2250" w:type="dxa"/>
            <w:vAlign w:val="center"/>
          </w:tcPr>
          <w:p>
            <w:pPr>
              <w:pStyle w:val="TableText"/>
            </w:pPr>
            <w:r>
              <w:t>+0.02 / +0.05 / +0.09</w:t>
            </w:r>
          </w:p>
        </w:tc>
        <w:tc>
          <w:tcPr>
            <w:tcW w:w="4910" w:type="dxa"/>
            <w:vAlign w:val="center"/>
          </w:tcPr>
          <w:p>
            <w:pPr>
              <w:pStyle w:val="TableText"/>
            </w:pPr>
            <w:r>
              <w:t>Even pessimistic q10 is positive, so every reported scenario outperforms the benchmark</w:t>
            </w:r>
          </w:p>
        </w:tc>
      </w:tr>
      <w:tr>
        <w:trPr>
          <w:cantSplit/>
        </w:trPr>
        <w:tc>
          <w:tcPr>
            <w:tcW w:w="2200" w:type="dxa"/>
            <w:vAlign w:val="center"/>
          </w:tcPr>
          <w:p>
            <w:pPr>
              <w:pStyle w:val="TableText"/>
            </w:pPr>
            <w:r>
              <w:t>Distressed weak stock</w:t>
            </w:r>
          </w:p>
        </w:tc>
        <w:tc>
          <w:tcPr>
            <w:tcW w:w="2250" w:type="dxa"/>
            <w:vAlign w:val="center"/>
          </w:tcPr>
          <w:p>
            <w:pPr>
              <w:pStyle w:val="TableText"/>
            </w:pPr>
            <w:r>
              <w:t>-0.12 / -0.06 / -0.01</w:t>
            </w:r>
          </w:p>
        </w:tc>
        <w:tc>
          <w:tcPr>
            <w:tcW w:w="4910" w:type="dxa"/>
            <w:vAlign w:val="center"/>
          </w:tcPr>
          <w:p>
            <w:pPr>
              <w:pStyle w:val="TableText"/>
            </w:pPr>
            <w:r>
              <w:t>Even optimistic q90 is negative, so every reported scenario underperforms</w:t>
            </w:r>
          </w:p>
        </w:tc>
      </w:tr>
      <w:tr>
        <w:trPr>
          <w:cantSplit/>
        </w:trPr>
        <w:tc>
          <w:tcPr>
            <w:tcW w:w="2200" w:type="dxa"/>
            <w:vAlign w:val="center"/>
          </w:tcPr>
          <w:p>
            <w:pPr>
              <w:pStyle w:val="TableText"/>
            </w:pPr>
            <w:r>
              <w:t>Speculative high-volatility stock</w:t>
            </w:r>
          </w:p>
        </w:tc>
        <w:tc>
          <w:tcPr>
            <w:tcW w:w="2250" w:type="dxa"/>
            <w:vAlign w:val="center"/>
          </w:tcPr>
          <w:p>
            <w:pPr>
              <w:pStyle w:val="TableText"/>
            </w:pPr>
            <w:r>
              <w:t>-0.08 / -0.01 / +0.25</w:t>
            </w:r>
          </w:p>
        </w:tc>
        <w:tc>
          <w:tcPr>
            <w:tcW w:w="4910" w:type="dxa"/>
            <w:vAlign w:val="center"/>
          </w:tcPr>
          <w:p>
            <w:pPr>
              <w:pStyle w:val="TableText"/>
            </w:pPr>
            <w:r>
              <w:t>The middle is flat to weak while the upside tail is large; this means a wide distribution, not a 25% chance of rising</w:t>
            </w:r>
          </w:p>
        </w:tc>
      </w:tr>
      <w:tr>
        <w:trPr>
          <w:cantSplit/>
        </w:trPr>
        <w:tc>
          <w:tcPr>
            <w:tcW w:w="2200" w:type="dxa"/>
            <w:vAlign w:val="center"/>
          </w:tcPr>
          <w:p>
            <w:pPr>
              <w:pStyle w:val="TableText"/>
            </w:pPr>
            <w:r>
              <w:t>Positive center with downside risk</w:t>
            </w:r>
          </w:p>
        </w:tc>
        <w:tc>
          <w:tcPr>
            <w:tcW w:w="2250" w:type="dxa"/>
            <w:vAlign w:val="center"/>
          </w:tcPr>
          <w:p>
            <w:pPr>
              <w:pStyle w:val="TableText"/>
            </w:pPr>
            <w:r>
              <w:t>-0.04 / +0.03 / +0.10</w:t>
            </w:r>
          </w:p>
        </w:tc>
        <w:tc>
          <w:tcPr>
            <w:tcW w:w="4910" w:type="dxa"/>
            <w:vAlign w:val="center"/>
          </w:tcPr>
          <w:p>
            <w:pPr>
              <w:pStyle w:val="TableText"/>
            </w:pPr>
            <w:r>
              <w:t>q50 is positive but q10 remains negative; the typical case wins while the pessimistic case loses</w:t>
            </w:r>
          </w:p>
        </w:tc>
      </w:tr>
    </w:tbl>
    <w:p>
      <w:pPr>
        <w:pStyle w:val="Note"/>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by design. Bullish, bearish, and strong signals are post-processing labels, not classifier outputs. primary_5d/selection_score is only a legacy-compatible checkpoint-monitor path; its value remains the mean normalized pinball across days 1 through 14 and is not treated as a five-day headline metric in this report.</w:t>
      </w:r>
    </w:p>
    <w:p>
      <w:pPr>
        <w:pStyle w:val="11"/>
      </w:pPr>
      <w:r>
        <w:t>4. Training completion and checkpoint</w:t>
      </w:r>
    </w:p>
    <w:p>
      <w:pPr>
        <w:pStyle w:val="21"/>
      </w:pPr>
      <w:r>
        <w:t>4.1 Execution state</w:t>
      </w:r>
    </w:p>
    <w:p>
      <w:pPr>
        <w:pStyle w:val="Decision"/>
        <w:keepNext/>
        <w:spacing w:after="80"/>
      </w:pPr>
      <w:r>
        <w:t>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Training state</w:t>
            </w:r>
          </w:p>
        </w:tc>
        <w:tc>
          <w:tcPr>
            <w:tcW w:w="6260" w:type="dxa"/>
            <w:vAlign w:val="center"/>
          </w:tcPr>
          <w:p>
            <w:pPr>
              <w:pStyle w:val="TableText"/>
            </w:pPr>
            <w:r>
              <w:t>completed; exit code 0; no timeout</w:t>
            </w:r>
          </w:p>
        </w:tc>
      </w:tr>
      <w:tr>
        <w:trPr>
          <w:cantSplit/>
        </w:trPr>
        <w:tc>
          <w:tcPr>
            <w:tcW w:w="3100" w:type="dxa"/>
            <w:vAlign w:val="center"/>
          </w:tcPr>
          <w:p>
            <w:pPr>
              <w:pStyle w:val="TableText"/>
            </w:pPr>
            <w:r>
              <w:t>Epoch and global step</w:t>
            </w:r>
          </w:p>
        </w:tc>
        <w:tc>
          <w:tcPr>
            <w:tcW w:w="6260" w:type="dxa"/>
            <w:vAlign w:val="center"/>
          </w:tcPr>
          <w:p>
            <w:pPr>
              <w:pStyle w:val="TableText"/>
            </w:pPr>
            <w:r>
              <w:t>2.0 epochs; 3,908 steps</w:t>
            </w:r>
          </w:p>
        </w:tc>
      </w:tr>
      <w:tr>
        <w:trPr>
          <w:cantSplit/>
        </w:trPr>
        <w:tc>
          <w:tcPr>
            <w:tcW w:w="3100" w:type="dxa"/>
            <w:vAlign w:val="center"/>
          </w:tcPr>
          <w:p>
            <w:pPr>
              <w:pStyle w:val="TableText"/>
            </w:pPr>
            <w:r>
              <w:t>Processed training rows</w:t>
            </w:r>
          </w:p>
        </w:tc>
        <w:tc>
          <w:tcPr>
            <w:tcW w:w="6260" w:type="dxa"/>
            <w:vAlign w:val="center"/>
          </w:tcPr>
          <w:p>
            <w:pPr>
              <w:pStyle w:val="TableText"/>
            </w:pPr>
            <w:r>
              <w:t>1,000,000; 500,000 per epoch</w:t>
            </w:r>
          </w:p>
        </w:tc>
      </w:tr>
      <w:tr>
        <w:trPr>
          <w:cantSplit/>
        </w:trPr>
        <w:tc>
          <w:tcPr>
            <w:tcW w:w="3100" w:type="dxa"/>
            <w:vAlign w:val="center"/>
          </w:tcPr>
          <w:p>
            <w:pPr>
              <w:pStyle w:val="TableText"/>
            </w:pPr>
            <w:r>
              <w:t>Validation evaluations</w:t>
            </w:r>
          </w:p>
        </w:tc>
        <w:tc>
          <w:tcPr>
            <w:tcW w:w="6260" w:type="dxa"/>
            <w:vAlign w:val="center"/>
          </w:tcPr>
          <w:p>
            <w:pPr>
              <w:pStyle w:val="TableText"/>
            </w:pPr>
            <w:r>
              <w:t>10</w:t>
            </w:r>
          </w:p>
        </w:tc>
      </w:tr>
      <w:tr>
        <w:trPr>
          <w:cantSplit/>
        </w:trPr>
        <w:tc>
          <w:tcPr>
            <w:tcW w:w="3100" w:type="dxa"/>
            <w:vAlign w:val="center"/>
          </w:tcPr>
          <w:p>
            <w:pPr>
              <w:pStyle w:val="TableText"/>
            </w:pPr>
            <w:r>
              <w:t>Stop reason</w:t>
            </w:r>
          </w:p>
        </w:tc>
        <w:tc>
          <w:tcPr>
            <w:tcW w:w="6260" w:type="dxa"/>
            <w:vAlign w:val="center"/>
          </w:tcPr>
          <w:p>
            <w:pPr>
              <w:pStyle w:val="TableText"/>
            </w:pPr>
            <w:r>
              <w:t>epochs_completed; early stopping did not trigger</w:t>
            </w:r>
          </w:p>
        </w:tc>
      </w:tr>
      <w:tr>
        <w:trPr>
          <w:cantSplit/>
        </w:trPr>
        <w:tc>
          <w:tcPr>
            <w:tcW w:w="3100" w:type="dxa"/>
            <w:vAlign w:val="center"/>
          </w:tcPr>
          <w:p>
            <w:pPr>
              <w:pStyle w:val="TableText"/>
            </w:pPr>
            <w:r>
              <w:t>Model</w:t>
            </w:r>
          </w:p>
        </w:tc>
        <w:tc>
          <w:tcPr>
            <w:tcW w:w="6260" w:type="dxa"/>
            <w:vAlign w:val="center"/>
          </w:tcPr>
          <w:p>
            <w:pPr>
              <w:pStyle w:val="TableText"/>
            </w:pPr>
            <w:r>
              <w:t>Kronos-base + LoRA; shared causal resampler; benchmark conditioner; alpha head</w:t>
            </w:r>
          </w:p>
        </w:tc>
      </w:tr>
      <w:tr>
        <w:trPr>
          <w:cantSplit/>
        </w:trPr>
        <w:tc>
          <w:tcPr>
            <w:tcW w:w="3100" w:type="dxa"/>
            <w:vAlign w:val="center"/>
          </w:tcPr>
          <w:p>
            <w:pPr>
              <w:pStyle w:val="TableText"/>
            </w:pPr>
            <w:r>
              <w:t>Hardware and precision</w:t>
            </w:r>
          </w:p>
        </w:tc>
        <w:tc>
          <w:tcPr>
            <w:tcW w:w="6260" w:type="dxa"/>
            <w:vAlign w:val="center"/>
          </w:tcPr>
          <w:p>
            <w:pPr>
              <w:pStyle w:val="TableText"/>
            </w:pPr>
            <w:r>
              <w:t>NVIDIA GeForce RTX 5090; bfloat16</w:t>
            </w:r>
          </w:p>
        </w:tc>
      </w:tr>
    </w:tbl>
    <w:p>
      <w:pPr>
        <w:pStyle w:val="21"/>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checkpoint-003908</w:t>
            </w:r>
          </w:p>
        </w:tc>
        <w:tc>
          <w:tcPr>
            <w:tcW w:w="1800" w:type="dxa"/>
            <w:shd w:val="clear" w:fill="EDF5FC"/>
            <w:vAlign w:val="center"/>
          </w:tcPr>
          <w:p>
            <w:pPr>
              <w:pStyle w:val="TableNumber"/>
            </w:pPr>
            <w:r>
              <w:t>3,908</w:t>
            </w:r>
          </w:p>
        </w:tc>
        <w:tc>
          <w:tcPr>
            <w:tcW w:w="3560" w:type="dxa"/>
            <w:shd w:val="clear" w:fill="EDF5FC"/>
            <w:vAlign w:val="center"/>
          </w:tcPr>
          <w:p>
            <w:pPr>
              <w:pStyle w:val="TableNumber"/>
            </w:pPr>
            <w:r>
              <w:t>0.314759</w:t>
            </w:r>
          </w:p>
        </w:tc>
      </w:tr>
      <w:tr>
        <w:trPr>
          <w:cantSplit/>
        </w:trPr>
        <w:tc>
          <w:tcPr>
            <w:tcW w:w="900" w:type="dxa"/>
            <w:vAlign w:val="center"/>
          </w:tcPr>
          <w:p>
            <w:pPr>
              <w:pStyle w:val="TableNumber"/>
            </w:pPr>
            <w:r>
              <w:t>2</w:t>
            </w:r>
          </w:p>
        </w:tc>
        <w:tc>
          <w:tcPr>
            <w:tcW w:w="3100" w:type="dxa"/>
            <w:vAlign w:val="center"/>
          </w:tcPr>
          <w:p>
            <w:pPr>
              <w:pStyle w:val="TableText"/>
            </w:pPr>
            <w:r>
              <w:t>checkpoint-003518</w:t>
            </w:r>
          </w:p>
        </w:tc>
        <w:tc>
          <w:tcPr>
            <w:tcW w:w="1800" w:type="dxa"/>
            <w:vAlign w:val="center"/>
          </w:tcPr>
          <w:p>
            <w:pPr>
              <w:pStyle w:val="TableNumber"/>
            </w:pPr>
            <w:r>
              <w:t>3,518</w:t>
            </w:r>
          </w:p>
        </w:tc>
        <w:tc>
          <w:tcPr>
            <w:tcW w:w="3560" w:type="dxa"/>
            <w:vAlign w:val="center"/>
          </w:tcPr>
          <w:p>
            <w:pPr>
              <w:pStyle w:val="TableNumber"/>
            </w:pPr>
            <w:r>
              <w:t>0.314827</w:t>
            </w:r>
          </w:p>
        </w:tc>
      </w:tr>
      <w:tr>
        <w:trPr>
          <w:cantSplit/>
        </w:trPr>
        <w:tc>
          <w:tcPr>
            <w:tcW w:w="900" w:type="dxa"/>
            <w:vAlign w:val="center"/>
          </w:tcPr>
          <w:p>
            <w:pPr>
              <w:pStyle w:val="TableNumber"/>
            </w:pPr>
            <w:r>
              <w:t>3</w:t>
            </w:r>
          </w:p>
        </w:tc>
        <w:tc>
          <w:tcPr>
            <w:tcW w:w="3100" w:type="dxa"/>
            <w:vAlign w:val="center"/>
          </w:tcPr>
          <w:p>
            <w:pPr>
              <w:pStyle w:val="TableText"/>
            </w:pPr>
            <w:r>
              <w:t>checkpoint-003127</w:t>
            </w:r>
          </w:p>
        </w:tc>
        <w:tc>
          <w:tcPr>
            <w:tcW w:w="1800" w:type="dxa"/>
            <w:vAlign w:val="center"/>
          </w:tcPr>
          <w:p>
            <w:pPr>
              <w:pStyle w:val="TableNumber"/>
            </w:pPr>
            <w:r>
              <w:t>3,127</w:t>
            </w:r>
          </w:p>
        </w:tc>
        <w:tc>
          <w:tcPr>
            <w:tcW w:w="3560" w:type="dxa"/>
            <w:vAlign w:val="center"/>
          </w:tcPr>
          <w:p>
            <w:pPr>
              <w:pStyle w:val="TableNumber"/>
            </w:pPr>
            <w:r>
              <w:t>0.316034</w:t>
            </w:r>
          </w:p>
        </w:tc>
      </w:tr>
      <w:tr>
        <w:trPr>
          <w:cantSplit/>
        </w:trPr>
        <w:tc>
          <w:tcPr>
            <w:tcW w:w="900" w:type="dxa"/>
            <w:vAlign w:val="center"/>
          </w:tcPr>
          <w:p>
            <w:pPr>
              <w:pStyle w:val="TableNumber"/>
            </w:pPr>
            <w:r>
              <w:t>4</w:t>
            </w:r>
          </w:p>
        </w:tc>
        <w:tc>
          <w:tcPr>
            <w:tcW w:w="3100" w:type="dxa"/>
            <w:vAlign w:val="center"/>
          </w:tcPr>
          <w:p>
            <w:pPr>
              <w:pStyle w:val="TableText"/>
            </w:pPr>
            <w:r>
              <w:t>checkpoint-002736</w:t>
            </w:r>
          </w:p>
        </w:tc>
        <w:tc>
          <w:tcPr>
            <w:tcW w:w="1800" w:type="dxa"/>
            <w:vAlign w:val="center"/>
          </w:tcPr>
          <w:p>
            <w:pPr>
              <w:pStyle w:val="TableNumber"/>
            </w:pPr>
            <w:r>
              <w:t>2,736</w:t>
            </w:r>
          </w:p>
        </w:tc>
        <w:tc>
          <w:tcPr>
            <w:tcW w:w="3560" w:type="dxa"/>
            <w:vAlign w:val="center"/>
          </w:tcPr>
          <w:p>
            <w:pPr>
              <w:pStyle w:val="TableNumber"/>
            </w:pPr>
            <w:r>
              <w:t>0.316307</w:t>
            </w:r>
          </w:p>
        </w:tc>
      </w:tr>
      <w:tr>
        <w:trPr>
          <w:cantSplit/>
        </w:trPr>
        <w:tc>
          <w:tcPr>
            <w:tcW w:w="900" w:type="dxa"/>
            <w:vAlign w:val="center"/>
          </w:tcPr>
          <w:p>
            <w:pPr>
              <w:pStyle w:val="TableNumber"/>
            </w:pPr>
            <w:r>
              <w:t>5</w:t>
            </w:r>
          </w:p>
        </w:tc>
        <w:tc>
          <w:tcPr>
            <w:tcW w:w="3100" w:type="dxa"/>
            <w:vAlign w:val="center"/>
          </w:tcPr>
          <w:p>
            <w:pPr>
              <w:pStyle w:val="TableText"/>
            </w:pPr>
            <w:r>
              <w:t>checkpoint-002345</w:t>
            </w:r>
          </w:p>
        </w:tc>
        <w:tc>
          <w:tcPr>
            <w:tcW w:w="1800" w:type="dxa"/>
            <w:vAlign w:val="center"/>
          </w:tcPr>
          <w:p>
            <w:pPr>
              <w:pStyle w:val="TableNumber"/>
            </w:pPr>
            <w:r>
              <w:t>2,345</w:t>
            </w:r>
          </w:p>
        </w:tc>
        <w:tc>
          <w:tcPr>
            <w:tcW w:w="3560" w:type="dxa"/>
            <w:vAlign w:val="center"/>
          </w:tcPr>
          <w:p>
            <w:pPr>
              <w:pStyle w:val="TableNumber"/>
            </w:pPr>
            <w:r>
              <w:t>0.322441</w:t>
            </w:r>
          </w:p>
        </w:tc>
      </w:tr>
    </w:tbl>
    <w:p>
      <w:pPr>
        <w:pStyle w:val="a"/>
      </w:pPr>
      <w:r>
        <w:t>checkpoint-003908 scores 0.314759, only about 0.0215% below checkpoint-003518 at 0.314827. The small late improvement indicates a plateau. Multi-seed Stage 2 and one-time test evaluation are still required to assess overfitting.</w:t>
      </w:r>
    </w:p>
    <w:p>
      <w:pPr>
        <w:pStyle w:val="11"/>
      </w:pPr>
      <w:r>
        <w:t>5. All-horizon comparison of thirteen models</w:t>
      </w:r>
    </w:p>
    <w:p>
      <w:pPr>
        <w:pStyle w:val="Decision"/>
        <w:keepNext/>
        <w:spacing w:after="80"/>
      </w:pPr>
      <w:r>
        <w:t>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 1-14 score</w:t>
            </w:r>
          </w:p>
        </w:tc>
        <w:tc>
          <w:tcPr>
            <w:tcW w:w="1330" w:type="dxa"/>
            <w:shd w:val="clear" w:fill="DCE6F1"/>
            <w:vAlign w:val="center"/>
          </w:tcPr>
          <w:p>
            <w:pPr>
              <w:pStyle w:val="TableHeader"/>
            </w:pPr>
            <w:r>
              <w:t>Day 1</w:t>
            </w:r>
          </w:p>
        </w:tc>
        <w:tc>
          <w:tcPr>
            <w:tcW w:w="1330" w:type="dxa"/>
            <w:shd w:val="clear" w:fill="DCE6F1"/>
            <w:vAlign w:val="center"/>
          </w:tcPr>
          <w:p>
            <w:pPr>
              <w:pStyle w:val="TableHeader"/>
            </w:pPr>
            <w:r>
              <w:t>Day 7</w:t>
            </w:r>
          </w:p>
        </w:tc>
        <w:tc>
          <w:tcPr>
            <w:tcW w:w="1350" w:type="dxa"/>
            <w:shd w:val="clear" w:fill="DCE6F1"/>
            <w:vAlign w:val="center"/>
          </w:tcPr>
          <w:p>
            <w:pPr>
              <w:pStyle w:val="TableHeader"/>
            </w:pPr>
            <w:r>
              <w:t>Day 14</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0.314759</w:t>
            </w:r>
          </w:p>
        </w:tc>
        <w:tc>
          <w:tcPr>
            <w:tcW w:w="1330" w:type="dxa"/>
            <w:shd w:val="clear" w:fill="EDF5FC"/>
            <w:vAlign w:val="center"/>
          </w:tcPr>
          <w:p>
            <w:pPr>
              <w:pStyle w:val="TableNumber"/>
            </w:pPr>
            <w:r>
              <w:t>0.3748</w:t>
            </w:r>
          </w:p>
        </w:tc>
        <w:tc>
          <w:tcPr>
            <w:tcW w:w="1330" w:type="dxa"/>
            <w:shd w:val="clear" w:fill="EDF5FC"/>
            <w:vAlign w:val="center"/>
          </w:tcPr>
          <w:p>
            <w:pPr>
              <w:pStyle w:val="TableNumber"/>
            </w:pPr>
            <w:r>
              <w:t>0.3117</w:t>
            </w:r>
          </w:p>
        </w:tc>
        <w:tc>
          <w:tcPr>
            <w:tcW w:w="1350" w:type="dxa"/>
            <w:shd w:val="clear" w:fill="EDF5FC"/>
            <w:vAlign w:val="center"/>
          </w:tcPr>
          <w:p>
            <w:pPr>
              <w:pStyle w:val="TableNumber"/>
            </w:pPr>
            <w:r>
              <w:t>0.2921</w:t>
            </w:r>
          </w:p>
        </w:tc>
      </w:tr>
      <w:tr>
        <w:trPr>
          <w:cantSplit/>
        </w:trPr>
        <w:tc>
          <w:tcPr>
            <w:tcW w:w="650" w:type="dxa"/>
            <w:vAlign w:val="center"/>
          </w:tcPr>
          <w:p>
            <w:pPr>
              <w:pStyle w:val="TableNumber"/>
            </w:pPr>
            <w:r>
              <w:t>2</w:t>
            </w:r>
          </w:p>
        </w:tc>
        <w:tc>
          <w:tcPr>
            <w:tcW w:w="2800" w:type="dxa"/>
            <w:vAlign w:val="center"/>
          </w:tcPr>
          <w:p>
            <w:pPr>
              <w:pStyle w:val="TableText"/>
            </w:pPr>
            <w:r>
              <w:t>Paired GRU</w:t>
            </w:r>
          </w:p>
        </w:tc>
        <w:tc>
          <w:tcPr>
            <w:tcW w:w="1900" w:type="dxa"/>
            <w:vAlign w:val="center"/>
          </w:tcPr>
          <w:p>
            <w:pPr>
              <w:pStyle w:val="TableNumber"/>
            </w:pPr>
            <w:r>
              <w:t>0.336588</w:t>
            </w:r>
          </w:p>
        </w:tc>
        <w:tc>
          <w:tcPr>
            <w:tcW w:w="1330" w:type="dxa"/>
            <w:vAlign w:val="center"/>
          </w:tcPr>
          <w:p>
            <w:pPr>
              <w:pStyle w:val="TableNumber"/>
            </w:pPr>
            <w:r>
              <w:t>0.3762</w:t>
            </w:r>
          </w:p>
        </w:tc>
        <w:tc>
          <w:tcPr>
            <w:tcW w:w="1330" w:type="dxa"/>
            <w:vAlign w:val="center"/>
          </w:tcPr>
          <w:p>
            <w:pPr>
              <w:pStyle w:val="TableNumber"/>
            </w:pPr>
            <w:r>
              <w:t>0.3335</w:t>
            </w:r>
          </w:p>
        </w:tc>
        <w:tc>
          <w:tcPr>
            <w:tcW w:w="1350" w:type="dxa"/>
            <w:vAlign w:val="center"/>
          </w:tcPr>
          <w:p>
            <w:pPr>
              <w:pStyle w:val="TableNumber"/>
            </w:pPr>
            <w:r>
              <w:t>0.3290</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0.344088</w:t>
            </w:r>
          </w:p>
        </w:tc>
        <w:tc>
          <w:tcPr>
            <w:tcW w:w="1330" w:type="dxa"/>
            <w:vAlign w:val="center"/>
          </w:tcPr>
          <w:p>
            <w:pPr>
              <w:pStyle w:val="TableNumber"/>
            </w:pPr>
            <w:r>
              <w:t>0.4054</w:t>
            </w:r>
          </w:p>
        </w:tc>
        <w:tc>
          <w:tcPr>
            <w:tcW w:w="1330" w:type="dxa"/>
            <w:vAlign w:val="center"/>
          </w:tcPr>
          <w:p>
            <w:pPr>
              <w:pStyle w:val="TableNumber"/>
            </w:pPr>
            <w:r>
              <w:t>0.3487</w:t>
            </w:r>
          </w:p>
        </w:tc>
        <w:tc>
          <w:tcPr>
            <w:tcW w:w="1350" w:type="dxa"/>
            <w:vAlign w:val="center"/>
          </w:tcPr>
          <w:p>
            <w:pPr>
              <w:pStyle w:val="TableNumber"/>
            </w:pPr>
            <w:r>
              <w:t>0.3334</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0.344933</w:t>
            </w:r>
          </w:p>
        </w:tc>
        <w:tc>
          <w:tcPr>
            <w:tcW w:w="1330" w:type="dxa"/>
            <w:vAlign w:val="center"/>
          </w:tcPr>
          <w:p>
            <w:pPr>
              <w:pStyle w:val="TableNumber"/>
            </w:pPr>
            <w:r>
              <w:t>0.3741</w:t>
            </w:r>
          </w:p>
        </w:tc>
        <w:tc>
          <w:tcPr>
            <w:tcW w:w="1330" w:type="dxa"/>
            <w:vAlign w:val="center"/>
          </w:tcPr>
          <w:p>
            <w:pPr>
              <w:pStyle w:val="TableNumber"/>
            </w:pPr>
            <w:r>
              <w:t>0.3403</w:t>
            </w:r>
          </w:p>
        </w:tc>
        <w:tc>
          <w:tcPr>
            <w:tcW w:w="1350" w:type="dxa"/>
            <w:vAlign w:val="center"/>
          </w:tcPr>
          <w:p>
            <w:pPr>
              <w:pStyle w:val="TableNumber"/>
            </w:pPr>
            <w:r>
              <w:t>0.3439</w:t>
            </w:r>
          </w:p>
        </w:tc>
      </w:tr>
      <w:tr>
        <w:trPr>
          <w:cantSplit/>
        </w:trPr>
        <w:tc>
          <w:tcPr>
            <w:tcW w:w="650" w:type="dxa"/>
            <w:vAlign w:val="center"/>
          </w:tcPr>
          <w:p>
            <w:pPr>
              <w:pStyle w:val="TableNumber"/>
            </w:pPr>
            <w:r>
              <w:t>5</w:t>
            </w:r>
          </w:p>
        </w:tc>
        <w:tc>
          <w:tcPr>
            <w:tcW w:w="2800" w:type="dxa"/>
            <w:vAlign w:val="center"/>
          </w:tcPr>
          <w:p>
            <w:pPr>
              <w:pStyle w:val="TableText"/>
            </w:pPr>
            <w:r>
              <w:t>Always-buy distribution</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6</w:t>
            </w:r>
          </w:p>
        </w:tc>
        <w:tc>
          <w:tcPr>
            <w:tcW w:w="2800" w:type="dxa"/>
            <w:vAlign w:val="center"/>
          </w:tcPr>
          <w:p>
            <w:pPr>
              <w:pStyle w:val="TableText"/>
            </w:pPr>
            <w:r>
              <w:t>Zero-return distribution</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bl>
    <w:p>
      <w:pPr>
        <w:pStyle w:val="a"/>
      </w:pPr>
      <w:r>
        <w:t>Kronos does not win because of one selected holding period. It ranks first on normalized pinball from day 2 through day 14 and second on day 1, consistent with its first-place all-horizon selection score.</w:t>
      </w:r>
    </w:p>
    <w:p>
      <w:pPr>
        <w:pStyle w:val="11"/>
      </w:pPr>
      <w:r>
        <w:t>6. Complete results for days one through fourteen</w:t>
      </w:r>
    </w:p>
    <w:p>
      <w:pPr>
        <w:pStyle w:val="21"/>
      </w:pPr>
      <w:r>
        <w:t>6.1 Error and comparability across horizons</w:t>
      </w:r>
    </w:p>
    <w:p>
      <w:pPr>
        <w:pStyle w:val="Decision"/>
        <w:keepNext/>
        <w:spacing w:after="80"/>
      </w:pPr>
      <w:r>
        <w:t>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0.01868</w:t>
            </w:r>
          </w:p>
        </w:tc>
        <w:tc>
          <w:tcPr>
            <w:tcW w:w="1550" w:type="dxa"/>
            <w:vAlign w:val="center"/>
          </w:tcPr>
          <w:p>
            <w:pPr>
              <w:pStyle w:val="TableNumber"/>
            </w:pPr>
            <w:r>
              <w:t>0.00700</w:t>
            </w:r>
          </w:p>
        </w:tc>
        <w:tc>
          <w:tcPr>
            <w:tcW w:w="1550" w:type="dxa"/>
            <w:vAlign w:val="center"/>
          </w:tcPr>
          <w:p>
            <w:pPr>
              <w:pStyle w:val="TableNumber"/>
            </w:pPr>
            <w:r>
              <w:t>0.3748</w:t>
            </w:r>
          </w:p>
        </w:tc>
        <w:tc>
          <w:tcPr>
            <w:tcW w:w="1050" w:type="dxa"/>
            <w:vAlign w:val="center"/>
          </w:tcPr>
          <w:p>
            <w:pPr>
              <w:pStyle w:val="TableNumber"/>
            </w:pPr>
            <w:r>
              <w:t>2/13</w:t>
            </w:r>
          </w:p>
        </w:tc>
        <w:tc>
          <w:tcPr>
            <w:tcW w:w="1550" w:type="dxa"/>
            <w:vAlign w:val="center"/>
          </w:tcPr>
          <w:p>
            <w:pPr>
              <w:pStyle w:val="TableNumber"/>
            </w:pPr>
            <w:r>
              <w:t>0.01962</w:t>
            </w:r>
          </w:p>
        </w:tc>
        <w:tc>
          <w:tcPr>
            <w:tcW w:w="1610" w:type="dxa"/>
            <w:vAlign w:val="center"/>
          </w:tcPr>
          <w:p>
            <w:pPr>
              <w:pStyle w:val="TableNumber"/>
            </w:pPr>
            <w:r>
              <w:t>1.0508</w:t>
            </w:r>
          </w:p>
        </w:tc>
      </w:tr>
      <w:tr>
        <w:trPr>
          <w:cantSplit/>
        </w:trPr>
        <w:tc>
          <w:tcPr>
            <w:tcW w:w="650" w:type="dxa"/>
            <w:vAlign w:val="center"/>
          </w:tcPr>
          <w:p>
            <w:pPr>
              <w:pStyle w:val="TableText"/>
            </w:pPr>
            <w:r>
              <w:t>2d</w:t>
            </w:r>
          </w:p>
        </w:tc>
        <w:tc>
          <w:tcPr>
            <w:tcW w:w="1400" w:type="dxa"/>
            <w:vAlign w:val="center"/>
          </w:tcPr>
          <w:p>
            <w:pPr>
              <w:pStyle w:val="TableNumber"/>
            </w:pPr>
            <w:r>
              <w:t>0.03052</w:t>
            </w:r>
          </w:p>
        </w:tc>
        <w:tc>
          <w:tcPr>
            <w:tcW w:w="1550" w:type="dxa"/>
            <w:vAlign w:val="center"/>
          </w:tcPr>
          <w:p>
            <w:pPr>
              <w:pStyle w:val="TableNumber"/>
            </w:pPr>
            <w:r>
              <w:t>0.01006</w:t>
            </w:r>
          </w:p>
        </w:tc>
        <w:tc>
          <w:tcPr>
            <w:tcW w:w="1550" w:type="dxa"/>
            <w:vAlign w:val="center"/>
          </w:tcPr>
          <w:p>
            <w:pPr>
              <w:pStyle w:val="TableNumber"/>
            </w:pPr>
            <w:r>
              <w:t>0.3295</w:t>
            </w:r>
          </w:p>
        </w:tc>
        <w:tc>
          <w:tcPr>
            <w:tcW w:w="1050" w:type="dxa"/>
            <w:vAlign w:val="center"/>
          </w:tcPr>
          <w:p>
            <w:pPr>
              <w:pStyle w:val="TableNumber"/>
            </w:pPr>
            <w:r>
              <w:t>1/13</w:t>
            </w:r>
          </w:p>
        </w:tc>
        <w:tc>
          <w:tcPr>
            <w:tcW w:w="1550" w:type="dxa"/>
            <w:vAlign w:val="center"/>
          </w:tcPr>
          <w:p>
            <w:pPr>
              <w:pStyle w:val="TableNumber"/>
            </w:pPr>
            <w:r>
              <w:t>0.02892</w:t>
            </w:r>
          </w:p>
        </w:tc>
        <w:tc>
          <w:tcPr>
            <w:tcW w:w="1610" w:type="dxa"/>
            <w:vAlign w:val="center"/>
          </w:tcPr>
          <w:p>
            <w:pPr>
              <w:pStyle w:val="TableNumber"/>
            </w:pPr>
            <w:r>
              <w:t>0.9478</w:t>
            </w:r>
          </w:p>
        </w:tc>
      </w:tr>
      <w:tr>
        <w:trPr>
          <w:cantSplit/>
        </w:trPr>
        <w:tc>
          <w:tcPr>
            <w:tcW w:w="650" w:type="dxa"/>
            <w:vAlign w:val="center"/>
          </w:tcPr>
          <w:p>
            <w:pPr>
              <w:pStyle w:val="TableText"/>
            </w:pPr>
            <w:r>
              <w:t>3d</w:t>
            </w:r>
          </w:p>
        </w:tc>
        <w:tc>
          <w:tcPr>
            <w:tcW w:w="1400" w:type="dxa"/>
            <w:vAlign w:val="center"/>
          </w:tcPr>
          <w:p>
            <w:pPr>
              <w:pStyle w:val="TableNumber"/>
            </w:pPr>
            <w:r>
              <w:t>0.03809</w:t>
            </w:r>
          </w:p>
        </w:tc>
        <w:tc>
          <w:tcPr>
            <w:tcW w:w="1550" w:type="dxa"/>
            <w:vAlign w:val="center"/>
          </w:tcPr>
          <w:p>
            <w:pPr>
              <w:pStyle w:val="TableNumber"/>
            </w:pPr>
            <w:r>
              <w:t>0.01258</w:t>
            </w:r>
          </w:p>
        </w:tc>
        <w:tc>
          <w:tcPr>
            <w:tcW w:w="1550" w:type="dxa"/>
            <w:vAlign w:val="center"/>
          </w:tcPr>
          <w:p>
            <w:pPr>
              <w:pStyle w:val="TableNumber"/>
            </w:pPr>
            <w:r>
              <w:t>0.3304</w:t>
            </w:r>
          </w:p>
        </w:tc>
        <w:tc>
          <w:tcPr>
            <w:tcW w:w="1050" w:type="dxa"/>
            <w:vAlign w:val="center"/>
          </w:tcPr>
          <w:p>
            <w:pPr>
              <w:pStyle w:val="TableNumber"/>
            </w:pPr>
            <w:r>
              <w:t>1/13</w:t>
            </w:r>
          </w:p>
        </w:tc>
        <w:tc>
          <w:tcPr>
            <w:tcW w:w="1550" w:type="dxa"/>
            <w:vAlign w:val="center"/>
          </w:tcPr>
          <w:p>
            <w:pPr>
              <w:pStyle w:val="TableNumber"/>
            </w:pPr>
            <w:r>
              <w:t>0.03626</w:t>
            </w:r>
          </w:p>
        </w:tc>
        <w:tc>
          <w:tcPr>
            <w:tcW w:w="1610" w:type="dxa"/>
            <w:vAlign w:val="center"/>
          </w:tcPr>
          <w:p>
            <w:pPr>
              <w:pStyle w:val="TableNumber"/>
            </w:pPr>
            <w:r>
              <w:t>0.9522</w:t>
            </w:r>
          </w:p>
        </w:tc>
      </w:tr>
      <w:tr>
        <w:trPr>
          <w:cantSplit/>
        </w:trPr>
        <w:tc>
          <w:tcPr>
            <w:tcW w:w="650" w:type="dxa"/>
            <w:vAlign w:val="center"/>
          </w:tcPr>
          <w:p>
            <w:pPr>
              <w:pStyle w:val="TableText"/>
            </w:pPr>
            <w:r>
              <w:t>4d</w:t>
            </w:r>
          </w:p>
        </w:tc>
        <w:tc>
          <w:tcPr>
            <w:tcW w:w="1400" w:type="dxa"/>
            <w:vAlign w:val="center"/>
          </w:tcPr>
          <w:p>
            <w:pPr>
              <w:pStyle w:val="TableNumber"/>
            </w:pPr>
            <w:r>
              <w:t>0.04517</w:t>
            </w:r>
          </w:p>
        </w:tc>
        <w:tc>
          <w:tcPr>
            <w:tcW w:w="1550" w:type="dxa"/>
            <w:vAlign w:val="center"/>
          </w:tcPr>
          <w:p>
            <w:pPr>
              <w:pStyle w:val="TableNumber"/>
            </w:pPr>
            <w:r>
              <w:t>0.01458</w:t>
            </w:r>
          </w:p>
        </w:tc>
        <w:tc>
          <w:tcPr>
            <w:tcW w:w="1550" w:type="dxa"/>
            <w:vAlign w:val="center"/>
          </w:tcPr>
          <w:p>
            <w:pPr>
              <w:pStyle w:val="TableNumber"/>
            </w:pPr>
            <w:r>
              <w:t>0.3228</w:t>
            </w:r>
          </w:p>
        </w:tc>
        <w:tc>
          <w:tcPr>
            <w:tcW w:w="1050" w:type="dxa"/>
            <w:vAlign w:val="center"/>
          </w:tcPr>
          <w:p>
            <w:pPr>
              <w:pStyle w:val="TableNumber"/>
            </w:pPr>
            <w:r>
              <w:t>1/13</w:t>
            </w:r>
          </w:p>
        </w:tc>
        <w:tc>
          <w:tcPr>
            <w:tcW w:w="1550" w:type="dxa"/>
            <w:vAlign w:val="center"/>
          </w:tcPr>
          <w:p>
            <w:pPr>
              <w:pStyle w:val="TableNumber"/>
            </w:pPr>
            <w:r>
              <w:t>0.04231</w:t>
            </w:r>
          </w:p>
        </w:tc>
        <w:tc>
          <w:tcPr>
            <w:tcW w:w="1610" w:type="dxa"/>
            <w:vAlign w:val="center"/>
          </w:tcPr>
          <w:p>
            <w:pPr>
              <w:pStyle w:val="TableNumber"/>
            </w:pPr>
            <w:r>
              <w:t>0.9368</w:t>
            </w:r>
          </w:p>
        </w:tc>
      </w:tr>
      <w:tr>
        <w:trPr>
          <w:cantSplit/>
        </w:trPr>
        <w:tc>
          <w:tcPr>
            <w:tcW w:w="650" w:type="dxa"/>
            <w:vAlign w:val="center"/>
          </w:tcPr>
          <w:p>
            <w:pPr>
              <w:pStyle w:val="TableText"/>
            </w:pPr>
            <w:r>
              <w:t>5d</w:t>
            </w:r>
          </w:p>
        </w:tc>
        <w:tc>
          <w:tcPr>
            <w:tcW w:w="1400" w:type="dxa"/>
            <w:vAlign w:val="center"/>
          </w:tcPr>
          <w:p>
            <w:pPr>
              <w:pStyle w:val="TableNumber"/>
            </w:pPr>
            <w:r>
              <w:t>0.05078</w:t>
            </w:r>
          </w:p>
        </w:tc>
        <w:tc>
          <w:tcPr>
            <w:tcW w:w="1550" w:type="dxa"/>
            <w:vAlign w:val="center"/>
          </w:tcPr>
          <w:p>
            <w:pPr>
              <w:pStyle w:val="TableNumber"/>
            </w:pPr>
            <w:r>
              <w:t>0.01629</w:t>
            </w:r>
          </w:p>
        </w:tc>
        <w:tc>
          <w:tcPr>
            <w:tcW w:w="1550" w:type="dxa"/>
            <w:vAlign w:val="center"/>
          </w:tcPr>
          <w:p>
            <w:pPr>
              <w:pStyle w:val="TableNumber"/>
            </w:pPr>
            <w:r>
              <w:t>0.3208</w:t>
            </w:r>
          </w:p>
        </w:tc>
        <w:tc>
          <w:tcPr>
            <w:tcW w:w="1050" w:type="dxa"/>
            <w:vAlign w:val="center"/>
          </w:tcPr>
          <w:p>
            <w:pPr>
              <w:pStyle w:val="TableNumber"/>
            </w:pPr>
            <w:r>
              <w:t>1/13</w:t>
            </w:r>
          </w:p>
        </w:tc>
        <w:tc>
          <w:tcPr>
            <w:tcW w:w="1550" w:type="dxa"/>
            <w:vAlign w:val="center"/>
          </w:tcPr>
          <w:p>
            <w:pPr>
              <w:pStyle w:val="TableNumber"/>
            </w:pPr>
            <w:r>
              <w:t>0.04728</w:t>
            </w:r>
          </w:p>
        </w:tc>
        <w:tc>
          <w:tcPr>
            <w:tcW w:w="1610" w:type="dxa"/>
            <w:vAlign w:val="center"/>
          </w:tcPr>
          <w:p>
            <w:pPr>
              <w:pStyle w:val="TableNumber"/>
            </w:pPr>
            <w:r>
              <w:t>0.9311</w:t>
            </w:r>
          </w:p>
        </w:tc>
      </w:tr>
      <w:tr>
        <w:trPr>
          <w:cantSplit/>
        </w:trPr>
        <w:tc>
          <w:tcPr>
            <w:tcW w:w="650" w:type="dxa"/>
            <w:vAlign w:val="center"/>
          </w:tcPr>
          <w:p>
            <w:pPr>
              <w:pStyle w:val="TableText"/>
            </w:pPr>
            <w:r>
              <w:t>6d</w:t>
            </w:r>
          </w:p>
        </w:tc>
        <w:tc>
          <w:tcPr>
            <w:tcW w:w="1400" w:type="dxa"/>
            <w:vAlign w:val="center"/>
          </w:tcPr>
          <w:p>
            <w:pPr>
              <w:pStyle w:val="TableNumber"/>
            </w:pPr>
            <w:r>
              <w:t>0.05615</w:t>
            </w:r>
          </w:p>
        </w:tc>
        <w:tc>
          <w:tcPr>
            <w:tcW w:w="1550" w:type="dxa"/>
            <w:vAlign w:val="center"/>
          </w:tcPr>
          <w:p>
            <w:pPr>
              <w:pStyle w:val="TableNumber"/>
            </w:pPr>
            <w:r>
              <w:t>0.01777</w:t>
            </w:r>
          </w:p>
        </w:tc>
        <w:tc>
          <w:tcPr>
            <w:tcW w:w="1550" w:type="dxa"/>
            <w:vAlign w:val="center"/>
          </w:tcPr>
          <w:p>
            <w:pPr>
              <w:pStyle w:val="TableNumber"/>
            </w:pPr>
            <w:r>
              <w:t>0.3165</w:t>
            </w:r>
          </w:p>
        </w:tc>
        <w:tc>
          <w:tcPr>
            <w:tcW w:w="1050" w:type="dxa"/>
            <w:vAlign w:val="center"/>
          </w:tcPr>
          <w:p>
            <w:pPr>
              <w:pStyle w:val="TableNumber"/>
            </w:pPr>
            <w:r>
              <w:t>1/13</w:t>
            </w:r>
          </w:p>
        </w:tc>
        <w:tc>
          <w:tcPr>
            <w:tcW w:w="1550" w:type="dxa"/>
            <w:vAlign w:val="center"/>
          </w:tcPr>
          <w:p>
            <w:pPr>
              <w:pStyle w:val="TableNumber"/>
            </w:pPr>
            <w:r>
              <w:t>0.05165</w:t>
            </w:r>
          </w:p>
        </w:tc>
        <w:tc>
          <w:tcPr>
            <w:tcW w:w="1610" w:type="dxa"/>
            <w:vAlign w:val="center"/>
          </w:tcPr>
          <w:p>
            <w:pPr>
              <w:pStyle w:val="TableNumber"/>
            </w:pPr>
            <w:r>
              <w:t>0.9198</w:t>
            </w:r>
          </w:p>
        </w:tc>
      </w:tr>
      <w:tr>
        <w:trPr>
          <w:cantSplit/>
        </w:trPr>
        <w:tc>
          <w:tcPr>
            <w:tcW w:w="650" w:type="dxa"/>
            <w:vAlign w:val="center"/>
          </w:tcPr>
          <w:p>
            <w:pPr>
              <w:pStyle w:val="TableText"/>
            </w:pPr>
            <w:r>
              <w:t>7d</w:t>
            </w:r>
          </w:p>
        </w:tc>
        <w:tc>
          <w:tcPr>
            <w:tcW w:w="1400" w:type="dxa"/>
            <w:vAlign w:val="center"/>
          </w:tcPr>
          <w:p>
            <w:pPr>
              <w:pStyle w:val="TableNumber"/>
            </w:pPr>
            <w:r>
              <w:t>0.06152</w:t>
            </w:r>
          </w:p>
        </w:tc>
        <w:tc>
          <w:tcPr>
            <w:tcW w:w="1550" w:type="dxa"/>
            <w:vAlign w:val="center"/>
          </w:tcPr>
          <w:p>
            <w:pPr>
              <w:pStyle w:val="TableNumber"/>
            </w:pPr>
            <w:r>
              <w:t>0.01918</w:t>
            </w:r>
          </w:p>
        </w:tc>
        <w:tc>
          <w:tcPr>
            <w:tcW w:w="1550" w:type="dxa"/>
            <w:vAlign w:val="center"/>
          </w:tcPr>
          <w:p>
            <w:pPr>
              <w:pStyle w:val="TableNumber"/>
            </w:pPr>
            <w:r>
              <w:t>0.3117</w:t>
            </w:r>
          </w:p>
        </w:tc>
        <w:tc>
          <w:tcPr>
            <w:tcW w:w="1050" w:type="dxa"/>
            <w:vAlign w:val="center"/>
          </w:tcPr>
          <w:p>
            <w:pPr>
              <w:pStyle w:val="TableNumber"/>
            </w:pPr>
            <w:r>
              <w:t>1/13</w:t>
            </w:r>
          </w:p>
        </w:tc>
        <w:tc>
          <w:tcPr>
            <w:tcW w:w="1550" w:type="dxa"/>
            <w:vAlign w:val="center"/>
          </w:tcPr>
          <w:p>
            <w:pPr>
              <w:pStyle w:val="TableNumber"/>
            </w:pPr>
            <w:r>
              <w:t>0.05589</w:t>
            </w:r>
          </w:p>
        </w:tc>
        <w:tc>
          <w:tcPr>
            <w:tcW w:w="1610" w:type="dxa"/>
            <w:vAlign w:val="center"/>
          </w:tcPr>
          <w:p>
            <w:pPr>
              <w:pStyle w:val="TableNumber"/>
            </w:pPr>
            <w:r>
              <w:t>0.9085</w:t>
            </w:r>
          </w:p>
        </w:tc>
      </w:tr>
      <w:tr>
        <w:trPr>
          <w:cantSplit/>
        </w:trPr>
        <w:tc>
          <w:tcPr>
            <w:tcW w:w="650" w:type="dxa"/>
            <w:vAlign w:val="center"/>
          </w:tcPr>
          <w:p>
            <w:pPr>
              <w:pStyle w:val="TableText"/>
            </w:pPr>
            <w:r>
              <w:t>8d</w:t>
            </w:r>
          </w:p>
        </w:tc>
        <w:tc>
          <w:tcPr>
            <w:tcW w:w="1400" w:type="dxa"/>
            <w:vAlign w:val="center"/>
          </w:tcPr>
          <w:p>
            <w:pPr>
              <w:pStyle w:val="TableNumber"/>
            </w:pPr>
            <w:r>
              <w:t>0.06592</w:t>
            </w:r>
          </w:p>
        </w:tc>
        <w:tc>
          <w:tcPr>
            <w:tcW w:w="1550" w:type="dxa"/>
            <w:vAlign w:val="center"/>
          </w:tcPr>
          <w:p>
            <w:pPr>
              <w:pStyle w:val="TableNumber"/>
            </w:pPr>
            <w:r>
              <w:t>0.02045</w:t>
            </w:r>
          </w:p>
        </w:tc>
        <w:tc>
          <w:tcPr>
            <w:tcW w:w="1550" w:type="dxa"/>
            <w:vAlign w:val="center"/>
          </w:tcPr>
          <w:p>
            <w:pPr>
              <w:pStyle w:val="TableNumber"/>
            </w:pPr>
            <w:r>
              <w:t>0.3102</w:t>
            </w:r>
          </w:p>
        </w:tc>
        <w:tc>
          <w:tcPr>
            <w:tcW w:w="1050" w:type="dxa"/>
            <w:vAlign w:val="center"/>
          </w:tcPr>
          <w:p>
            <w:pPr>
              <w:pStyle w:val="TableNumber"/>
            </w:pPr>
            <w:r>
              <w:t>1/13</w:t>
            </w:r>
          </w:p>
        </w:tc>
        <w:tc>
          <w:tcPr>
            <w:tcW w:w="1550" w:type="dxa"/>
            <w:vAlign w:val="center"/>
          </w:tcPr>
          <w:p>
            <w:pPr>
              <w:pStyle w:val="TableNumber"/>
            </w:pPr>
            <w:r>
              <w:t>0.05960</w:t>
            </w:r>
          </w:p>
        </w:tc>
        <w:tc>
          <w:tcPr>
            <w:tcW w:w="1610" w:type="dxa"/>
            <w:vAlign w:val="center"/>
          </w:tcPr>
          <w:p>
            <w:pPr>
              <w:pStyle w:val="TableNumber"/>
            </w:pPr>
            <w:r>
              <w:t>0.9042</w:t>
            </w:r>
          </w:p>
        </w:tc>
      </w:tr>
      <w:tr>
        <w:trPr>
          <w:cantSplit/>
        </w:trPr>
        <w:tc>
          <w:tcPr>
            <w:tcW w:w="650" w:type="dxa"/>
            <w:vAlign w:val="center"/>
          </w:tcPr>
          <w:p>
            <w:pPr>
              <w:pStyle w:val="TableText"/>
            </w:pPr>
            <w:r>
              <w:t>9d</w:t>
            </w:r>
          </w:p>
        </w:tc>
        <w:tc>
          <w:tcPr>
            <w:tcW w:w="1400" w:type="dxa"/>
            <w:vAlign w:val="center"/>
          </w:tcPr>
          <w:p>
            <w:pPr>
              <w:pStyle w:val="TableNumber"/>
            </w:pPr>
            <w:r>
              <w:t>0.07080</w:t>
            </w:r>
          </w:p>
        </w:tc>
        <w:tc>
          <w:tcPr>
            <w:tcW w:w="1550" w:type="dxa"/>
            <w:vAlign w:val="center"/>
          </w:tcPr>
          <w:p>
            <w:pPr>
              <w:pStyle w:val="TableNumber"/>
            </w:pPr>
            <w:r>
              <w:t>0.02159</w:t>
            </w:r>
          </w:p>
        </w:tc>
        <w:tc>
          <w:tcPr>
            <w:tcW w:w="1550" w:type="dxa"/>
            <w:vAlign w:val="center"/>
          </w:tcPr>
          <w:p>
            <w:pPr>
              <w:pStyle w:val="TableNumber"/>
            </w:pPr>
            <w:r>
              <w:t>0.3049</w:t>
            </w:r>
          </w:p>
        </w:tc>
        <w:tc>
          <w:tcPr>
            <w:tcW w:w="1050" w:type="dxa"/>
            <w:vAlign w:val="center"/>
          </w:tcPr>
          <w:p>
            <w:pPr>
              <w:pStyle w:val="TableNumber"/>
            </w:pPr>
            <w:r>
              <w:t>1/13</w:t>
            </w:r>
          </w:p>
        </w:tc>
        <w:tc>
          <w:tcPr>
            <w:tcW w:w="1550" w:type="dxa"/>
            <w:vAlign w:val="center"/>
          </w:tcPr>
          <w:p>
            <w:pPr>
              <w:pStyle w:val="TableNumber"/>
            </w:pPr>
            <w:r>
              <w:t>0.06307</w:t>
            </w:r>
          </w:p>
        </w:tc>
        <w:tc>
          <w:tcPr>
            <w:tcW w:w="1610" w:type="dxa"/>
            <w:vAlign w:val="center"/>
          </w:tcPr>
          <w:p>
            <w:pPr>
              <w:pStyle w:val="TableNumber"/>
            </w:pPr>
            <w:r>
              <w:t>0.8908</w:t>
            </w:r>
          </w:p>
        </w:tc>
      </w:tr>
      <w:tr>
        <w:trPr>
          <w:cantSplit/>
        </w:trPr>
        <w:tc>
          <w:tcPr>
            <w:tcW w:w="650" w:type="dxa"/>
            <w:vAlign w:val="center"/>
          </w:tcPr>
          <w:p>
            <w:pPr>
              <w:pStyle w:val="TableText"/>
            </w:pPr>
            <w:r>
              <w:t>10d</w:t>
            </w:r>
          </w:p>
        </w:tc>
        <w:tc>
          <w:tcPr>
            <w:tcW w:w="1400" w:type="dxa"/>
            <w:vAlign w:val="center"/>
          </w:tcPr>
          <w:p>
            <w:pPr>
              <w:pStyle w:val="TableNumber"/>
            </w:pPr>
            <w:r>
              <w:t>0.07520</w:t>
            </w:r>
          </w:p>
        </w:tc>
        <w:tc>
          <w:tcPr>
            <w:tcW w:w="1550" w:type="dxa"/>
            <w:vAlign w:val="center"/>
          </w:tcPr>
          <w:p>
            <w:pPr>
              <w:pStyle w:val="TableNumber"/>
            </w:pPr>
            <w:r>
              <w:t>0.02265</w:t>
            </w:r>
          </w:p>
        </w:tc>
        <w:tc>
          <w:tcPr>
            <w:tcW w:w="1550" w:type="dxa"/>
            <w:vAlign w:val="center"/>
          </w:tcPr>
          <w:p>
            <w:pPr>
              <w:pStyle w:val="TableNumber"/>
            </w:pPr>
            <w:r>
              <w:t>0.3012</w:t>
            </w:r>
          </w:p>
        </w:tc>
        <w:tc>
          <w:tcPr>
            <w:tcW w:w="1050" w:type="dxa"/>
            <w:vAlign w:val="center"/>
          </w:tcPr>
          <w:p>
            <w:pPr>
              <w:pStyle w:val="TableNumber"/>
            </w:pPr>
            <w:r>
              <w:t>1/13</w:t>
            </w:r>
          </w:p>
        </w:tc>
        <w:tc>
          <w:tcPr>
            <w:tcW w:w="1550" w:type="dxa"/>
            <w:vAlign w:val="center"/>
          </w:tcPr>
          <w:p>
            <w:pPr>
              <w:pStyle w:val="TableNumber"/>
            </w:pPr>
            <w:r>
              <w:t>0.06630</w:t>
            </w:r>
          </w:p>
        </w:tc>
        <w:tc>
          <w:tcPr>
            <w:tcW w:w="1610" w:type="dxa"/>
            <w:vAlign w:val="center"/>
          </w:tcPr>
          <w:p>
            <w:pPr>
              <w:pStyle w:val="TableNumber"/>
            </w:pPr>
            <w:r>
              <w:t>0.8817</w:t>
            </w:r>
          </w:p>
        </w:tc>
      </w:tr>
      <w:tr>
        <w:trPr>
          <w:cantSplit/>
        </w:trPr>
        <w:tc>
          <w:tcPr>
            <w:tcW w:w="650" w:type="dxa"/>
            <w:vAlign w:val="center"/>
          </w:tcPr>
          <w:p>
            <w:pPr>
              <w:pStyle w:val="TableText"/>
            </w:pPr>
            <w:r>
              <w:t>11d</w:t>
            </w:r>
          </w:p>
        </w:tc>
        <w:tc>
          <w:tcPr>
            <w:tcW w:w="1400" w:type="dxa"/>
            <w:vAlign w:val="center"/>
          </w:tcPr>
          <w:p>
            <w:pPr>
              <w:pStyle w:val="TableNumber"/>
            </w:pPr>
            <w:r>
              <w:t>0.07861</w:t>
            </w:r>
          </w:p>
        </w:tc>
        <w:tc>
          <w:tcPr>
            <w:tcW w:w="1550" w:type="dxa"/>
            <w:vAlign w:val="center"/>
          </w:tcPr>
          <w:p>
            <w:pPr>
              <w:pStyle w:val="TableNumber"/>
            </w:pPr>
            <w:r>
              <w:t>0.02375</w:t>
            </w:r>
          </w:p>
        </w:tc>
        <w:tc>
          <w:tcPr>
            <w:tcW w:w="1550" w:type="dxa"/>
            <w:vAlign w:val="center"/>
          </w:tcPr>
          <w:p>
            <w:pPr>
              <w:pStyle w:val="TableNumber"/>
            </w:pPr>
            <w:r>
              <w:t>0.3021</w:t>
            </w:r>
          </w:p>
        </w:tc>
        <w:tc>
          <w:tcPr>
            <w:tcW w:w="1050" w:type="dxa"/>
            <w:vAlign w:val="center"/>
          </w:tcPr>
          <w:p>
            <w:pPr>
              <w:pStyle w:val="TableNumber"/>
            </w:pPr>
            <w:r>
              <w:t>1/13</w:t>
            </w:r>
          </w:p>
        </w:tc>
        <w:tc>
          <w:tcPr>
            <w:tcW w:w="1550" w:type="dxa"/>
            <w:vAlign w:val="center"/>
          </w:tcPr>
          <w:p>
            <w:pPr>
              <w:pStyle w:val="TableNumber"/>
            </w:pPr>
            <w:r>
              <w:t>0.06970</w:t>
            </w:r>
          </w:p>
        </w:tc>
        <w:tc>
          <w:tcPr>
            <w:tcW w:w="1610" w:type="dxa"/>
            <w:vAlign w:val="center"/>
          </w:tcPr>
          <w:p>
            <w:pPr>
              <w:pStyle w:val="TableNumber"/>
            </w:pPr>
            <w:r>
              <w:t>0.8867</w:t>
            </w:r>
          </w:p>
        </w:tc>
      </w:tr>
      <w:tr>
        <w:trPr>
          <w:cantSplit/>
        </w:trPr>
        <w:tc>
          <w:tcPr>
            <w:tcW w:w="650" w:type="dxa"/>
            <w:vAlign w:val="center"/>
          </w:tcPr>
          <w:p>
            <w:pPr>
              <w:pStyle w:val="TableText"/>
            </w:pPr>
            <w:r>
              <w:t>12d</w:t>
            </w:r>
          </w:p>
        </w:tc>
        <w:tc>
          <w:tcPr>
            <w:tcW w:w="1400" w:type="dxa"/>
            <w:vAlign w:val="center"/>
          </w:tcPr>
          <w:p>
            <w:pPr>
              <w:pStyle w:val="TableNumber"/>
            </w:pPr>
            <w:r>
              <w:t>0.08350</w:t>
            </w:r>
          </w:p>
        </w:tc>
        <w:tc>
          <w:tcPr>
            <w:tcW w:w="1550" w:type="dxa"/>
            <w:vAlign w:val="center"/>
          </w:tcPr>
          <w:p>
            <w:pPr>
              <w:pStyle w:val="TableNumber"/>
            </w:pPr>
            <w:r>
              <w:t>0.02475</w:t>
            </w:r>
          </w:p>
        </w:tc>
        <w:tc>
          <w:tcPr>
            <w:tcW w:w="1550" w:type="dxa"/>
            <w:vAlign w:val="center"/>
          </w:tcPr>
          <w:p>
            <w:pPr>
              <w:pStyle w:val="TableNumber"/>
            </w:pPr>
            <w:r>
              <w:t>0.2964</w:t>
            </w:r>
          </w:p>
        </w:tc>
        <w:tc>
          <w:tcPr>
            <w:tcW w:w="1050" w:type="dxa"/>
            <w:vAlign w:val="center"/>
          </w:tcPr>
          <w:p>
            <w:pPr>
              <w:pStyle w:val="TableNumber"/>
            </w:pPr>
            <w:r>
              <w:t>1/13</w:t>
            </w:r>
          </w:p>
        </w:tc>
        <w:tc>
          <w:tcPr>
            <w:tcW w:w="1550" w:type="dxa"/>
            <w:vAlign w:val="center"/>
          </w:tcPr>
          <w:p>
            <w:pPr>
              <w:pStyle w:val="TableNumber"/>
            </w:pPr>
            <w:r>
              <w:t>0.07274</w:t>
            </w:r>
          </w:p>
        </w:tc>
        <w:tc>
          <w:tcPr>
            <w:tcW w:w="1610" w:type="dxa"/>
            <w:vAlign w:val="center"/>
          </w:tcPr>
          <w:p>
            <w:pPr>
              <w:pStyle w:val="TableNumber"/>
            </w:pPr>
            <w:r>
              <w:t>0.8712</w:t>
            </w:r>
          </w:p>
        </w:tc>
      </w:tr>
      <w:tr>
        <w:trPr>
          <w:cantSplit/>
        </w:trPr>
        <w:tc>
          <w:tcPr>
            <w:tcW w:w="650" w:type="dxa"/>
            <w:vAlign w:val="center"/>
          </w:tcPr>
          <w:p>
            <w:pPr>
              <w:pStyle w:val="TableText"/>
            </w:pPr>
            <w:r>
              <w:t>13d</w:t>
            </w:r>
          </w:p>
        </w:tc>
        <w:tc>
          <w:tcPr>
            <w:tcW w:w="1400" w:type="dxa"/>
            <w:vAlign w:val="center"/>
          </w:tcPr>
          <w:p>
            <w:pPr>
              <w:pStyle w:val="TableNumber"/>
            </w:pPr>
            <w:r>
              <w:t>0.08789</w:t>
            </w:r>
          </w:p>
        </w:tc>
        <w:tc>
          <w:tcPr>
            <w:tcW w:w="1550" w:type="dxa"/>
            <w:vAlign w:val="center"/>
          </w:tcPr>
          <w:p>
            <w:pPr>
              <w:pStyle w:val="TableNumber"/>
            </w:pPr>
            <w:r>
              <w:t>0.02577</w:t>
            </w:r>
          </w:p>
        </w:tc>
        <w:tc>
          <w:tcPr>
            <w:tcW w:w="1550" w:type="dxa"/>
            <w:vAlign w:val="center"/>
          </w:tcPr>
          <w:p>
            <w:pPr>
              <w:pStyle w:val="TableNumber"/>
            </w:pPr>
            <w:r>
              <w:t>0.2932</w:t>
            </w:r>
          </w:p>
        </w:tc>
        <w:tc>
          <w:tcPr>
            <w:tcW w:w="1050" w:type="dxa"/>
            <w:vAlign w:val="center"/>
          </w:tcPr>
          <w:p>
            <w:pPr>
              <w:pStyle w:val="TableNumber"/>
            </w:pPr>
            <w:r>
              <w:t>1/13</w:t>
            </w:r>
          </w:p>
        </w:tc>
        <w:tc>
          <w:tcPr>
            <w:tcW w:w="1550" w:type="dxa"/>
            <w:vAlign w:val="center"/>
          </w:tcPr>
          <w:p>
            <w:pPr>
              <w:pStyle w:val="TableNumber"/>
            </w:pPr>
            <w:r>
              <w:t>0.07582</w:t>
            </w:r>
          </w:p>
        </w:tc>
        <w:tc>
          <w:tcPr>
            <w:tcW w:w="1610" w:type="dxa"/>
            <w:vAlign w:val="center"/>
          </w:tcPr>
          <w:p>
            <w:pPr>
              <w:pStyle w:val="TableNumber"/>
            </w:pPr>
            <w:r>
              <w:t>0.8626</w:t>
            </w:r>
          </w:p>
        </w:tc>
      </w:tr>
      <w:tr>
        <w:trPr>
          <w:cantSplit/>
        </w:trPr>
        <w:tc>
          <w:tcPr>
            <w:tcW w:w="650" w:type="dxa"/>
            <w:vAlign w:val="center"/>
          </w:tcPr>
          <w:p>
            <w:pPr>
              <w:pStyle w:val="TableText"/>
            </w:pPr>
            <w:r>
              <w:t>14d</w:t>
            </w:r>
          </w:p>
        </w:tc>
        <w:tc>
          <w:tcPr>
            <w:tcW w:w="1400" w:type="dxa"/>
            <w:vAlign w:val="center"/>
          </w:tcPr>
          <w:p>
            <w:pPr>
              <w:pStyle w:val="TableNumber"/>
            </w:pPr>
            <w:r>
              <w:t>0.09131</w:t>
            </w:r>
          </w:p>
        </w:tc>
        <w:tc>
          <w:tcPr>
            <w:tcW w:w="1550" w:type="dxa"/>
            <w:vAlign w:val="center"/>
          </w:tcPr>
          <w:p>
            <w:pPr>
              <w:pStyle w:val="TableNumber"/>
            </w:pPr>
            <w:r>
              <w:t>0.02667</w:t>
            </w:r>
          </w:p>
        </w:tc>
        <w:tc>
          <w:tcPr>
            <w:tcW w:w="1550" w:type="dxa"/>
            <w:vAlign w:val="center"/>
          </w:tcPr>
          <w:p>
            <w:pPr>
              <w:pStyle w:val="TableNumber"/>
            </w:pPr>
            <w:r>
              <w:t>0.2921</w:t>
            </w:r>
          </w:p>
        </w:tc>
        <w:tc>
          <w:tcPr>
            <w:tcW w:w="1050" w:type="dxa"/>
            <w:vAlign w:val="center"/>
          </w:tcPr>
          <w:p>
            <w:pPr>
              <w:pStyle w:val="TableNumber"/>
            </w:pPr>
            <w:r>
              <w:t>1/13</w:t>
            </w:r>
          </w:p>
        </w:tc>
        <w:tc>
          <w:tcPr>
            <w:tcW w:w="1550" w:type="dxa"/>
            <w:vAlign w:val="center"/>
          </w:tcPr>
          <w:p>
            <w:pPr>
              <w:pStyle w:val="TableNumber"/>
            </w:pPr>
            <w:r>
              <w:t>0.07854</w:t>
            </w:r>
          </w:p>
        </w:tc>
        <w:tc>
          <w:tcPr>
            <w:tcW w:w="1610" w:type="dxa"/>
            <w:vAlign w:val="center"/>
          </w:tcPr>
          <w:p>
            <w:pPr>
              <w:pStyle w:val="TableNumber"/>
            </w:pPr>
            <w:r>
              <w:t>0.8602</w:t>
            </w:r>
          </w:p>
        </w:tc>
      </w:tr>
    </w:tbl>
    <w:p>
      <w:pPr>
        <w:pStyle w:val="a"/>
      </w:pPr>
      <w:r>
        <w:t>Raw pinball and MAE rise with horizon because longer-horizon targets vary more. After division by the train-only robust scale, normalized pinball falls from 0.3748 at day 1 to 0.2921 at day 14. This means lower distribution error relative to each horizon's scale, not lower raw monetary error at day 14.</w:t>
      </w:r>
    </w:p>
    <w:p>
      <w:pPr>
        <w:pStyle w:val="21"/>
      </w:pPr>
      <w:r>
        <w:t>6.2 q50 and interval calibration</w:t>
      </w:r>
    </w:p>
    <w:p>
      <w:pPr>
        <w:pStyle w:val="Decision"/>
        <w:keepNext/>
        <w:spacing w:after="80"/>
      </w:pPr>
      <w:r>
        <w:t>Table 8 | Point forecast and interval at every horizon</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Gap to 80%</w:t>
            </w:r>
          </w:p>
        </w:tc>
        <w:tc>
          <w:tcPr>
            <w:tcW w:w="1960" w:type="dxa"/>
            <w:shd w:val="clear" w:fill="DCE6F1"/>
            <w:vAlign w:val="center"/>
          </w:tcPr>
          <w:p>
            <w:pPr>
              <w:pStyle w:val="TableHeader"/>
            </w:pPr>
            <w:r>
              <w:t>Width</w:t>
            </w:r>
          </w:p>
        </w:tc>
      </w:tr>
      <w:tr>
        <w:trPr>
          <w:cantSplit/>
        </w:trPr>
        <w:tc>
          <w:tcPr>
            <w:tcW w:w="700" w:type="dxa"/>
            <w:vAlign w:val="center"/>
          </w:tcPr>
          <w:p>
            <w:pPr>
              <w:pStyle w:val="TableText"/>
            </w:pPr>
            <w:r>
              <w:t>1d</w:t>
            </w:r>
          </w:p>
        </w:tc>
        <w:tc>
          <w:tcPr>
            <w:tcW w:w="1600" w:type="dxa"/>
            <w:vAlign w:val="center"/>
          </w:tcPr>
          <w:p>
            <w:pPr>
              <w:pStyle w:val="TableNumber"/>
            </w:pPr>
            <w:r>
              <w:t>0.0507</w:t>
            </w:r>
          </w:p>
        </w:tc>
        <w:tc>
          <w:tcPr>
            <w:tcW w:w="1650" w:type="dxa"/>
            <w:vAlign w:val="center"/>
          </w:tcPr>
          <w:p>
            <w:pPr>
              <w:pStyle w:val="TableNumber"/>
            </w:pPr>
            <w:r>
              <w:t>49.40%</w:t>
            </w:r>
          </w:p>
        </w:tc>
        <w:tc>
          <w:tcPr>
            <w:tcW w:w="1650" w:type="dxa"/>
            <w:vAlign w:val="center"/>
          </w:tcPr>
          <w:p>
            <w:pPr>
              <w:pStyle w:val="TableNumber"/>
            </w:pPr>
            <w:r>
              <w:t>83.59%</w:t>
            </w:r>
          </w:p>
        </w:tc>
        <w:tc>
          <w:tcPr>
            <w:tcW w:w="1800" w:type="dxa"/>
            <w:vAlign w:val="center"/>
          </w:tcPr>
          <w:p>
            <w:pPr>
              <w:pStyle w:val="TableNumber"/>
            </w:pPr>
            <w:r>
              <w:t>3.59 pp</w:t>
            </w:r>
          </w:p>
        </w:tc>
        <w:tc>
          <w:tcPr>
            <w:tcW w:w="1960" w:type="dxa"/>
            <w:vAlign w:val="center"/>
          </w:tcPr>
          <w:p>
            <w:pPr>
              <w:pStyle w:val="TableNumber"/>
            </w:pPr>
            <w:r>
              <w:t>0.0604</w:t>
            </w:r>
          </w:p>
        </w:tc>
      </w:tr>
      <w:tr>
        <w:trPr>
          <w:cantSplit/>
        </w:trPr>
        <w:tc>
          <w:tcPr>
            <w:tcW w:w="700" w:type="dxa"/>
            <w:vAlign w:val="center"/>
          </w:tcPr>
          <w:p>
            <w:pPr>
              <w:pStyle w:val="TableText"/>
            </w:pPr>
            <w:r>
              <w:t>2d</w:t>
            </w:r>
          </w:p>
        </w:tc>
        <w:tc>
          <w:tcPr>
            <w:tcW w:w="1600" w:type="dxa"/>
            <w:vAlign w:val="center"/>
          </w:tcPr>
          <w:p>
            <w:pPr>
              <w:pStyle w:val="TableNumber"/>
            </w:pPr>
            <w:r>
              <w:t>0.0598</w:t>
            </w:r>
          </w:p>
        </w:tc>
        <w:tc>
          <w:tcPr>
            <w:tcW w:w="1650" w:type="dxa"/>
            <w:vAlign w:val="center"/>
          </w:tcPr>
          <w:p>
            <w:pPr>
              <w:pStyle w:val="TableNumber"/>
            </w:pPr>
            <w:r>
              <w:t>50.36%</w:t>
            </w:r>
          </w:p>
        </w:tc>
        <w:tc>
          <w:tcPr>
            <w:tcW w:w="1650" w:type="dxa"/>
            <w:vAlign w:val="center"/>
          </w:tcPr>
          <w:p>
            <w:pPr>
              <w:pStyle w:val="TableNumber"/>
            </w:pPr>
            <w:r>
              <w:t>82.11%</w:t>
            </w:r>
          </w:p>
        </w:tc>
        <w:tc>
          <w:tcPr>
            <w:tcW w:w="1800" w:type="dxa"/>
            <w:vAlign w:val="center"/>
          </w:tcPr>
          <w:p>
            <w:pPr>
              <w:pStyle w:val="TableNumber"/>
            </w:pPr>
            <w:r>
              <w:t>2.11 pp</w:t>
            </w:r>
          </w:p>
        </w:tc>
        <w:tc>
          <w:tcPr>
            <w:tcW w:w="1960" w:type="dxa"/>
            <w:vAlign w:val="center"/>
          </w:tcPr>
          <w:p>
            <w:pPr>
              <w:pStyle w:val="TableNumber"/>
            </w:pPr>
            <w:r>
              <w:t>0.0880</w:t>
            </w:r>
          </w:p>
        </w:tc>
      </w:tr>
      <w:tr>
        <w:trPr>
          <w:cantSplit/>
        </w:trPr>
        <w:tc>
          <w:tcPr>
            <w:tcW w:w="700" w:type="dxa"/>
            <w:vAlign w:val="center"/>
          </w:tcPr>
          <w:p>
            <w:pPr>
              <w:pStyle w:val="TableText"/>
            </w:pPr>
            <w:r>
              <w:t>3d</w:t>
            </w:r>
          </w:p>
        </w:tc>
        <w:tc>
          <w:tcPr>
            <w:tcW w:w="1600" w:type="dxa"/>
            <w:vAlign w:val="center"/>
          </w:tcPr>
          <w:p>
            <w:pPr>
              <w:pStyle w:val="TableNumber"/>
            </w:pPr>
            <w:r>
              <w:t>0.0694</w:t>
            </w:r>
          </w:p>
        </w:tc>
        <w:tc>
          <w:tcPr>
            <w:tcW w:w="1650" w:type="dxa"/>
            <w:vAlign w:val="center"/>
          </w:tcPr>
          <w:p>
            <w:pPr>
              <w:pStyle w:val="TableNumber"/>
            </w:pPr>
            <w:r>
              <w:t>51.73%</w:t>
            </w:r>
          </w:p>
        </w:tc>
        <w:tc>
          <w:tcPr>
            <w:tcW w:w="1650" w:type="dxa"/>
            <w:vAlign w:val="center"/>
          </w:tcPr>
          <w:p>
            <w:pPr>
              <w:pStyle w:val="TableNumber"/>
            </w:pPr>
            <w:r>
              <w:t>80.69%</w:t>
            </w:r>
          </w:p>
        </w:tc>
        <w:tc>
          <w:tcPr>
            <w:tcW w:w="1800" w:type="dxa"/>
            <w:vAlign w:val="center"/>
          </w:tcPr>
          <w:p>
            <w:pPr>
              <w:pStyle w:val="TableNumber"/>
            </w:pPr>
            <w:r>
              <w:t>0.69 pp</w:t>
            </w:r>
          </w:p>
        </w:tc>
        <w:tc>
          <w:tcPr>
            <w:tcW w:w="1960" w:type="dxa"/>
            <w:vAlign w:val="center"/>
          </w:tcPr>
          <w:p>
            <w:pPr>
              <w:pStyle w:val="TableNumber"/>
            </w:pPr>
            <w:r>
              <w:t>0.1072</w:t>
            </w:r>
          </w:p>
        </w:tc>
      </w:tr>
      <w:tr>
        <w:trPr>
          <w:cantSplit/>
        </w:trPr>
        <w:tc>
          <w:tcPr>
            <w:tcW w:w="700" w:type="dxa"/>
            <w:vAlign w:val="center"/>
          </w:tcPr>
          <w:p>
            <w:pPr>
              <w:pStyle w:val="TableText"/>
            </w:pPr>
            <w:r>
              <w:t>4d</w:t>
            </w:r>
          </w:p>
        </w:tc>
        <w:tc>
          <w:tcPr>
            <w:tcW w:w="1600" w:type="dxa"/>
            <w:vAlign w:val="center"/>
          </w:tcPr>
          <w:p>
            <w:pPr>
              <w:pStyle w:val="TableNumber"/>
            </w:pPr>
            <w:r>
              <w:t>0.0733</w:t>
            </w:r>
          </w:p>
        </w:tc>
        <w:tc>
          <w:tcPr>
            <w:tcW w:w="1650" w:type="dxa"/>
            <w:vAlign w:val="center"/>
          </w:tcPr>
          <w:p>
            <w:pPr>
              <w:pStyle w:val="TableNumber"/>
            </w:pPr>
            <w:r>
              <w:t>53.13%</w:t>
            </w:r>
          </w:p>
        </w:tc>
        <w:tc>
          <w:tcPr>
            <w:tcW w:w="1650" w:type="dxa"/>
            <w:vAlign w:val="center"/>
          </w:tcPr>
          <w:p>
            <w:pPr>
              <w:pStyle w:val="TableNumber"/>
            </w:pPr>
            <w:r>
              <w:t>79.62%</w:t>
            </w:r>
          </w:p>
        </w:tc>
        <w:tc>
          <w:tcPr>
            <w:tcW w:w="1800" w:type="dxa"/>
            <w:vAlign w:val="center"/>
          </w:tcPr>
          <w:p>
            <w:pPr>
              <w:pStyle w:val="TableNumber"/>
            </w:pPr>
            <w:r>
              <w:t>0.38 pp</w:t>
            </w:r>
          </w:p>
        </w:tc>
        <w:tc>
          <w:tcPr>
            <w:tcW w:w="1960" w:type="dxa"/>
            <w:vAlign w:val="center"/>
          </w:tcPr>
          <w:p>
            <w:pPr>
              <w:pStyle w:val="TableNumber"/>
            </w:pPr>
            <w:r>
              <w:t>0.1218</w:t>
            </w:r>
          </w:p>
        </w:tc>
      </w:tr>
      <w:tr>
        <w:trPr>
          <w:cantSplit/>
        </w:trPr>
        <w:tc>
          <w:tcPr>
            <w:tcW w:w="700" w:type="dxa"/>
            <w:vAlign w:val="center"/>
          </w:tcPr>
          <w:p>
            <w:pPr>
              <w:pStyle w:val="TableText"/>
            </w:pPr>
            <w:r>
              <w:t>5d</w:t>
            </w:r>
          </w:p>
        </w:tc>
        <w:tc>
          <w:tcPr>
            <w:tcW w:w="1600" w:type="dxa"/>
            <w:vAlign w:val="center"/>
          </w:tcPr>
          <w:p>
            <w:pPr>
              <w:pStyle w:val="TableNumber"/>
            </w:pPr>
            <w:r>
              <w:t>0.0788</w:t>
            </w:r>
          </w:p>
        </w:tc>
        <w:tc>
          <w:tcPr>
            <w:tcW w:w="1650" w:type="dxa"/>
            <w:vAlign w:val="center"/>
          </w:tcPr>
          <w:p>
            <w:pPr>
              <w:pStyle w:val="TableNumber"/>
            </w:pPr>
            <w:r>
              <w:t>53.55%</w:t>
            </w:r>
          </w:p>
        </w:tc>
        <w:tc>
          <w:tcPr>
            <w:tcW w:w="1650" w:type="dxa"/>
            <w:vAlign w:val="center"/>
          </w:tcPr>
          <w:p>
            <w:pPr>
              <w:pStyle w:val="TableNumber"/>
            </w:pPr>
            <w:r>
              <w:t>79.12%</w:t>
            </w:r>
          </w:p>
        </w:tc>
        <w:tc>
          <w:tcPr>
            <w:tcW w:w="1800" w:type="dxa"/>
            <w:vAlign w:val="center"/>
          </w:tcPr>
          <w:p>
            <w:pPr>
              <w:pStyle w:val="TableNumber"/>
            </w:pPr>
            <w:r>
              <w:t>0.89 pp</w:t>
            </w:r>
          </w:p>
        </w:tc>
        <w:tc>
          <w:tcPr>
            <w:tcW w:w="1960" w:type="dxa"/>
            <w:vAlign w:val="center"/>
          </w:tcPr>
          <w:p>
            <w:pPr>
              <w:pStyle w:val="TableNumber"/>
            </w:pPr>
            <w:r>
              <w:t>0.1353</w:t>
            </w:r>
          </w:p>
        </w:tc>
      </w:tr>
      <w:tr>
        <w:trPr>
          <w:cantSplit/>
        </w:trPr>
        <w:tc>
          <w:tcPr>
            <w:tcW w:w="700" w:type="dxa"/>
            <w:vAlign w:val="center"/>
          </w:tcPr>
          <w:p>
            <w:pPr>
              <w:pStyle w:val="TableText"/>
            </w:pPr>
            <w:r>
              <w:t>6d</w:t>
            </w:r>
          </w:p>
        </w:tc>
        <w:tc>
          <w:tcPr>
            <w:tcW w:w="1600" w:type="dxa"/>
            <w:vAlign w:val="center"/>
          </w:tcPr>
          <w:p>
            <w:pPr>
              <w:pStyle w:val="TableNumber"/>
            </w:pPr>
            <w:r>
              <w:t>0.0809</w:t>
            </w:r>
          </w:p>
        </w:tc>
        <w:tc>
          <w:tcPr>
            <w:tcW w:w="1650" w:type="dxa"/>
            <w:vAlign w:val="center"/>
          </w:tcPr>
          <w:p>
            <w:pPr>
              <w:pStyle w:val="TableNumber"/>
            </w:pPr>
            <w:r>
              <w:t>54.50%</w:t>
            </w:r>
          </w:p>
        </w:tc>
        <w:tc>
          <w:tcPr>
            <w:tcW w:w="1650" w:type="dxa"/>
            <w:vAlign w:val="center"/>
          </w:tcPr>
          <w:p>
            <w:pPr>
              <w:pStyle w:val="TableNumber"/>
            </w:pPr>
            <w:r>
              <w:t>79.17%</w:t>
            </w:r>
          </w:p>
        </w:tc>
        <w:tc>
          <w:tcPr>
            <w:tcW w:w="1800" w:type="dxa"/>
            <w:vAlign w:val="center"/>
          </w:tcPr>
          <w:p>
            <w:pPr>
              <w:pStyle w:val="TableNumber"/>
            </w:pPr>
            <w:r>
              <w:t>0.83 pp</w:t>
            </w:r>
          </w:p>
        </w:tc>
        <w:tc>
          <w:tcPr>
            <w:tcW w:w="1960" w:type="dxa"/>
            <w:vAlign w:val="center"/>
          </w:tcPr>
          <w:p>
            <w:pPr>
              <w:pStyle w:val="TableNumber"/>
            </w:pPr>
            <w:r>
              <w:t>0.1485</w:t>
            </w:r>
          </w:p>
        </w:tc>
      </w:tr>
      <w:tr>
        <w:trPr>
          <w:cantSplit/>
        </w:trPr>
        <w:tc>
          <w:tcPr>
            <w:tcW w:w="700" w:type="dxa"/>
            <w:vAlign w:val="center"/>
          </w:tcPr>
          <w:p>
            <w:pPr>
              <w:pStyle w:val="TableText"/>
            </w:pPr>
            <w:r>
              <w:t>7d</w:t>
            </w:r>
          </w:p>
        </w:tc>
        <w:tc>
          <w:tcPr>
            <w:tcW w:w="1600" w:type="dxa"/>
            <w:vAlign w:val="center"/>
          </w:tcPr>
          <w:p>
            <w:pPr>
              <w:pStyle w:val="TableNumber"/>
            </w:pPr>
            <w:r>
              <w:t>0.0828</w:t>
            </w:r>
          </w:p>
        </w:tc>
        <w:tc>
          <w:tcPr>
            <w:tcW w:w="1650" w:type="dxa"/>
            <w:vAlign w:val="center"/>
          </w:tcPr>
          <w:p>
            <w:pPr>
              <w:pStyle w:val="TableNumber"/>
            </w:pPr>
            <w:r>
              <w:t>53.84%</w:t>
            </w:r>
          </w:p>
        </w:tc>
        <w:tc>
          <w:tcPr>
            <w:tcW w:w="1650" w:type="dxa"/>
            <w:vAlign w:val="center"/>
          </w:tcPr>
          <w:p>
            <w:pPr>
              <w:pStyle w:val="TableNumber"/>
            </w:pPr>
            <w:r>
              <w:t>78.44%</w:t>
            </w:r>
          </w:p>
        </w:tc>
        <w:tc>
          <w:tcPr>
            <w:tcW w:w="1800" w:type="dxa"/>
            <w:vAlign w:val="center"/>
          </w:tcPr>
          <w:p>
            <w:pPr>
              <w:pStyle w:val="TableNumber"/>
            </w:pPr>
            <w:r>
              <w:t>1.57 pp</w:t>
            </w:r>
          </w:p>
        </w:tc>
        <w:tc>
          <w:tcPr>
            <w:tcW w:w="1960" w:type="dxa"/>
            <w:vAlign w:val="center"/>
          </w:tcPr>
          <w:p>
            <w:pPr>
              <w:pStyle w:val="TableNumber"/>
            </w:pPr>
            <w:r>
              <w:t>0.1588</w:t>
            </w:r>
          </w:p>
        </w:tc>
      </w:tr>
      <w:tr>
        <w:trPr>
          <w:cantSplit/>
        </w:trPr>
        <w:tc>
          <w:tcPr>
            <w:tcW w:w="700" w:type="dxa"/>
            <w:vAlign w:val="center"/>
          </w:tcPr>
          <w:p>
            <w:pPr>
              <w:pStyle w:val="TableText"/>
            </w:pPr>
            <w:r>
              <w:t>8d</w:t>
            </w:r>
          </w:p>
        </w:tc>
        <w:tc>
          <w:tcPr>
            <w:tcW w:w="1600" w:type="dxa"/>
            <w:vAlign w:val="center"/>
          </w:tcPr>
          <w:p>
            <w:pPr>
              <w:pStyle w:val="TableNumber"/>
            </w:pPr>
            <w:r>
              <w:t>0.0847</w:t>
            </w:r>
          </w:p>
        </w:tc>
        <w:tc>
          <w:tcPr>
            <w:tcW w:w="1650" w:type="dxa"/>
            <w:vAlign w:val="center"/>
          </w:tcPr>
          <w:p>
            <w:pPr>
              <w:pStyle w:val="TableNumber"/>
            </w:pPr>
            <w:r>
              <w:t>54.52%</w:t>
            </w:r>
          </w:p>
        </w:tc>
        <w:tc>
          <w:tcPr>
            <w:tcW w:w="1650" w:type="dxa"/>
            <w:vAlign w:val="center"/>
          </w:tcPr>
          <w:p>
            <w:pPr>
              <w:pStyle w:val="TableNumber"/>
            </w:pPr>
            <w:r>
              <w:t>77.90%</w:t>
            </w:r>
          </w:p>
        </w:tc>
        <w:tc>
          <w:tcPr>
            <w:tcW w:w="1800" w:type="dxa"/>
            <w:vAlign w:val="center"/>
          </w:tcPr>
          <w:p>
            <w:pPr>
              <w:pStyle w:val="TableNumber"/>
            </w:pPr>
            <w:r>
              <w:t>2.11 pp</w:t>
            </w:r>
          </w:p>
        </w:tc>
        <w:tc>
          <w:tcPr>
            <w:tcW w:w="1960" w:type="dxa"/>
            <w:vAlign w:val="center"/>
          </w:tcPr>
          <w:p>
            <w:pPr>
              <w:pStyle w:val="TableNumber"/>
            </w:pPr>
            <w:r>
              <w:t>0.1687</w:t>
            </w:r>
          </w:p>
        </w:tc>
      </w:tr>
      <w:tr>
        <w:trPr>
          <w:cantSplit/>
        </w:trPr>
        <w:tc>
          <w:tcPr>
            <w:tcW w:w="700" w:type="dxa"/>
            <w:vAlign w:val="center"/>
          </w:tcPr>
          <w:p>
            <w:pPr>
              <w:pStyle w:val="TableText"/>
            </w:pPr>
            <w:r>
              <w:t>9d</w:t>
            </w:r>
          </w:p>
        </w:tc>
        <w:tc>
          <w:tcPr>
            <w:tcW w:w="1600" w:type="dxa"/>
            <w:vAlign w:val="center"/>
          </w:tcPr>
          <w:p>
            <w:pPr>
              <w:pStyle w:val="TableNumber"/>
            </w:pPr>
            <w:r>
              <w:t>0.0950</w:t>
            </w:r>
          </w:p>
        </w:tc>
        <w:tc>
          <w:tcPr>
            <w:tcW w:w="1650" w:type="dxa"/>
            <w:vAlign w:val="center"/>
          </w:tcPr>
          <w:p>
            <w:pPr>
              <w:pStyle w:val="TableNumber"/>
            </w:pPr>
            <w:r>
              <w:t>55.09%</w:t>
            </w:r>
          </w:p>
        </w:tc>
        <w:tc>
          <w:tcPr>
            <w:tcW w:w="1650" w:type="dxa"/>
            <w:vAlign w:val="center"/>
          </w:tcPr>
          <w:p>
            <w:pPr>
              <w:pStyle w:val="TableNumber"/>
            </w:pPr>
            <w:r>
              <w:t>77.53%</w:t>
            </w:r>
          </w:p>
        </w:tc>
        <w:tc>
          <w:tcPr>
            <w:tcW w:w="1800" w:type="dxa"/>
            <w:vAlign w:val="center"/>
          </w:tcPr>
          <w:p>
            <w:pPr>
              <w:pStyle w:val="TableNumber"/>
            </w:pPr>
            <w:r>
              <w:t>2.47 pp</w:t>
            </w:r>
          </w:p>
        </w:tc>
        <w:tc>
          <w:tcPr>
            <w:tcW w:w="1960" w:type="dxa"/>
            <w:vAlign w:val="center"/>
          </w:tcPr>
          <w:p>
            <w:pPr>
              <w:pStyle w:val="TableNumber"/>
            </w:pPr>
            <w:r>
              <w:t>0.1782</w:t>
            </w:r>
          </w:p>
        </w:tc>
      </w:tr>
      <w:tr>
        <w:trPr>
          <w:cantSplit/>
        </w:trPr>
        <w:tc>
          <w:tcPr>
            <w:tcW w:w="700" w:type="dxa"/>
            <w:vAlign w:val="center"/>
          </w:tcPr>
          <w:p>
            <w:pPr>
              <w:pStyle w:val="TableText"/>
            </w:pPr>
            <w:r>
              <w:t>10d</w:t>
            </w:r>
          </w:p>
        </w:tc>
        <w:tc>
          <w:tcPr>
            <w:tcW w:w="1600" w:type="dxa"/>
            <w:vAlign w:val="center"/>
          </w:tcPr>
          <w:p>
            <w:pPr>
              <w:pStyle w:val="TableNumber"/>
            </w:pPr>
            <w:r>
              <w:t>0.0971</w:t>
            </w:r>
          </w:p>
        </w:tc>
        <w:tc>
          <w:tcPr>
            <w:tcW w:w="1650" w:type="dxa"/>
            <w:vAlign w:val="center"/>
          </w:tcPr>
          <w:p>
            <w:pPr>
              <w:pStyle w:val="TableNumber"/>
            </w:pPr>
            <w:r>
              <w:t>55.62%</w:t>
            </w:r>
          </w:p>
        </w:tc>
        <w:tc>
          <w:tcPr>
            <w:tcW w:w="1650" w:type="dxa"/>
            <w:vAlign w:val="center"/>
          </w:tcPr>
          <w:p>
            <w:pPr>
              <w:pStyle w:val="TableNumber"/>
            </w:pPr>
            <w:r>
              <w:t>78.00%</w:t>
            </w:r>
          </w:p>
        </w:tc>
        <w:tc>
          <w:tcPr>
            <w:tcW w:w="1800" w:type="dxa"/>
            <w:vAlign w:val="center"/>
          </w:tcPr>
          <w:p>
            <w:pPr>
              <w:pStyle w:val="TableNumber"/>
            </w:pPr>
            <w:r>
              <w:t>2.00 pp</w:t>
            </w:r>
          </w:p>
        </w:tc>
        <w:tc>
          <w:tcPr>
            <w:tcW w:w="1960" w:type="dxa"/>
            <w:vAlign w:val="center"/>
          </w:tcPr>
          <w:p>
            <w:pPr>
              <w:pStyle w:val="TableNumber"/>
            </w:pPr>
            <w:r>
              <w:t>0.1880</w:t>
            </w:r>
          </w:p>
        </w:tc>
      </w:tr>
      <w:tr>
        <w:trPr>
          <w:cantSplit/>
        </w:trPr>
        <w:tc>
          <w:tcPr>
            <w:tcW w:w="700" w:type="dxa"/>
            <w:vAlign w:val="center"/>
          </w:tcPr>
          <w:p>
            <w:pPr>
              <w:pStyle w:val="TableText"/>
            </w:pPr>
            <w:r>
              <w:t>11d</w:t>
            </w:r>
          </w:p>
        </w:tc>
        <w:tc>
          <w:tcPr>
            <w:tcW w:w="1600" w:type="dxa"/>
            <w:vAlign w:val="center"/>
          </w:tcPr>
          <w:p>
            <w:pPr>
              <w:pStyle w:val="TableNumber"/>
            </w:pPr>
            <w:r>
              <w:t>0.1008</w:t>
            </w:r>
          </w:p>
        </w:tc>
        <w:tc>
          <w:tcPr>
            <w:tcW w:w="1650" w:type="dxa"/>
            <w:vAlign w:val="center"/>
          </w:tcPr>
          <w:p>
            <w:pPr>
              <w:pStyle w:val="TableNumber"/>
            </w:pPr>
            <w:r>
              <w:t>56.19%</w:t>
            </w:r>
          </w:p>
        </w:tc>
        <w:tc>
          <w:tcPr>
            <w:tcW w:w="1650" w:type="dxa"/>
            <w:vAlign w:val="center"/>
          </w:tcPr>
          <w:p>
            <w:pPr>
              <w:pStyle w:val="TableNumber"/>
            </w:pPr>
            <w:r>
              <w:t>77.13%</w:t>
            </w:r>
          </w:p>
        </w:tc>
        <w:tc>
          <w:tcPr>
            <w:tcW w:w="1800" w:type="dxa"/>
            <w:vAlign w:val="center"/>
          </w:tcPr>
          <w:p>
            <w:pPr>
              <w:pStyle w:val="TableNumber"/>
            </w:pPr>
            <w:r>
              <w:t>2.87 pp</w:t>
            </w:r>
          </w:p>
        </w:tc>
        <w:tc>
          <w:tcPr>
            <w:tcW w:w="1960" w:type="dxa"/>
            <w:vAlign w:val="center"/>
          </w:tcPr>
          <w:p>
            <w:pPr>
              <w:pStyle w:val="TableNumber"/>
            </w:pPr>
            <w:r>
              <w:t>0.1975</w:t>
            </w:r>
          </w:p>
        </w:tc>
      </w:tr>
      <w:tr>
        <w:trPr>
          <w:cantSplit/>
        </w:trPr>
        <w:tc>
          <w:tcPr>
            <w:tcW w:w="700" w:type="dxa"/>
            <w:vAlign w:val="center"/>
          </w:tcPr>
          <w:p>
            <w:pPr>
              <w:pStyle w:val="TableText"/>
            </w:pPr>
            <w:r>
              <w:t>12d</w:t>
            </w:r>
          </w:p>
        </w:tc>
        <w:tc>
          <w:tcPr>
            <w:tcW w:w="1600" w:type="dxa"/>
            <w:vAlign w:val="center"/>
          </w:tcPr>
          <w:p>
            <w:pPr>
              <w:pStyle w:val="TableNumber"/>
            </w:pPr>
            <w:r>
              <w:t>0.1046</w:t>
            </w:r>
          </w:p>
        </w:tc>
        <w:tc>
          <w:tcPr>
            <w:tcW w:w="1650" w:type="dxa"/>
            <w:vAlign w:val="center"/>
          </w:tcPr>
          <w:p>
            <w:pPr>
              <w:pStyle w:val="TableNumber"/>
            </w:pPr>
            <w:r>
              <w:t>56.29%</w:t>
            </w:r>
          </w:p>
        </w:tc>
        <w:tc>
          <w:tcPr>
            <w:tcW w:w="1650" w:type="dxa"/>
            <w:vAlign w:val="center"/>
          </w:tcPr>
          <w:p>
            <w:pPr>
              <w:pStyle w:val="TableNumber"/>
            </w:pPr>
            <w:r>
              <w:t>76.55%</w:t>
            </w:r>
          </w:p>
        </w:tc>
        <w:tc>
          <w:tcPr>
            <w:tcW w:w="1800" w:type="dxa"/>
            <w:vAlign w:val="center"/>
          </w:tcPr>
          <w:p>
            <w:pPr>
              <w:pStyle w:val="TableNumber"/>
            </w:pPr>
            <w:r>
              <w:t>3.45 pp</w:t>
            </w:r>
          </w:p>
        </w:tc>
        <w:tc>
          <w:tcPr>
            <w:tcW w:w="1960" w:type="dxa"/>
            <w:vAlign w:val="center"/>
          </w:tcPr>
          <w:p>
            <w:pPr>
              <w:pStyle w:val="TableNumber"/>
            </w:pPr>
            <w:r>
              <w:t>0.2050</w:t>
            </w:r>
          </w:p>
        </w:tc>
      </w:tr>
      <w:tr>
        <w:trPr>
          <w:cantSplit/>
        </w:trPr>
        <w:tc>
          <w:tcPr>
            <w:tcW w:w="700" w:type="dxa"/>
            <w:vAlign w:val="center"/>
          </w:tcPr>
          <w:p>
            <w:pPr>
              <w:pStyle w:val="TableText"/>
            </w:pPr>
            <w:r>
              <w:t>13d</w:t>
            </w:r>
          </w:p>
        </w:tc>
        <w:tc>
          <w:tcPr>
            <w:tcW w:w="1600" w:type="dxa"/>
            <w:vAlign w:val="center"/>
          </w:tcPr>
          <w:p>
            <w:pPr>
              <w:pStyle w:val="TableNumber"/>
            </w:pPr>
            <w:r>
              <w:t>0.1000</w:t>
            </w:r>
          </w:p>
        </w:tc>
        <w:tc>
          <w:tcPr>
            <w:tcW w:w="1650" w:type="dxa"/>
            <w:vAlign w:val="center"/>
          </w:tcPr>
          <w:p>
            <w:pPr>
              <w:pStyle w:val="TableNumber"/>
            </w:pPr>
            <w:r>
              <w:t>55.24%</w:t>
            </w:r>
          </w:p>
        </w:tc>
        <w:tc>
          <w:tcPr>
            <w:tcW w:w="1650" w:type="dxa"/>
            <w:vAlign w:val="center"/>
          </w:tcPr>
          <w:p>
            <w:pPr>
              <w:pStyle w:val="TableNumber"/>
            </w:pPr>
            <w:r>
              <w:t>76.05%</w:t>
            </w:r>
          </w:p>
        </w:tc>
        <w:tc>
          <w:tcPr>
            <w:tcW w:w="1800" w:type="dxa"/>
            <w:vAlign w:val="center"/>
          </w:tcPr>
          <w:p>
            <w:pPr>
              <w:pStyle w:val="TableNumber"/>
            </w:pPr>
            <w:r>
              <w:t>3.95 pp</w:t>
            </w:r>
          </w:p>
        </w:tc>
        <w:tc>
          <w:tcPr>
            <w:tcW w:w="1960" w:type="dxa"/>
            <w:vAlign w:val="center"/>
          </w:tcPr>
          <w:p>
            <w:pPr>
              <w:pStyle w:val="TableNumber"/>
            </w:pPr>
            <w:r>
              <w:t>0.2129</w:t>
            </w:r>
          </w:p>
        </w:tc>
      </w:tr>
      <w:tr>
        <w:trPr>
          <w:cantSplit/>
        </w:trPr>
        <w:tc>
          <w:tcPr>
            <w:tcW w:w="700" w:type="dxa"/>
            <w:vAlign w:val="center"/>
          </w:tcPr>
          <w:p>
            <w:pPr>
              <w:pStyle w:val="TableText"/>
            </w:pPr>
            <w:r>
              <w:t>14d</w:t>
            </w:r>
          </w:p>
        </w:tc>
        <w:tc>
          <w:tcPr>
            <w:tcW w:w="1600" w:type="dxa"/>
            <w:vAlign w:val="center"/>
          </w:tcPr>
          <w:p>
            <w:pPr>
              <w:pStyle w:val="TableNumber"/>
            </w:pPr>
            <w:r>
              <w:t>0.1065</w:t>
            </w:r>
          </w:p>
        </w:tc>
        <w:tc>
          <w:tcPr>
            <w:tcW w:w="1650" w:type="dxa"/>
            <w:vAlign w:val="center"/>
          </w:tcPr>
          <w:p>
            <w:pPr>
              <w:pStyle w:val="TableNumber"/>
            </w:pPr>
            <w:r>
              <w:t>55.30%</w:t>
            </w:r>
          </w:p>
        </w:tc>
        <w:tc>
          <w:tcPr>
            <w:tcW w:w="1650" w:type="dxa"/>
            <w:vAlign w:val="center"/>
          </w:tcPr>
          <w:p>
            <w:pPr>
              <w:pStyle w:val="TableNumber"/>
            </w:pPr>
            <w:r>
              <w:t>76.81%</w:t>
            </w:r>
          </w:p>
        </w:tc>
        <w:tc>
          <w:tcPr>
            <w:tcW w:w="1800" w:type="dxa"/>
            <w:vAlign w:val="center"/>
          </w:tcPr>
          <w:p>
            <w:pPr>
              <w:pStyle w:val="TableNumber"/>
            </w:pPr>
            <w:r>
              <w:t>3.19 pp</w:t>
            </w:r>
          </w:p>
        </w:tc>
        <w:tc>
          <w:tcPr>
            <w:tcW w:w="1960" w:type="dxa"/>
            <w:vAlign w:val="center"/>
          </w:tcPr>
          <w:p>
            <w:pPr>
              <w:pStyle w:val="TableNumber"/>
            </w:pPr>
            <w:r>
              <w:t>0.2224</w:t>
            </w:r>
          </w:p>
        </w:tc>
      </w:tr>
    </w:tbl>
    <w:p>
      <w:pPr>
        <w:pStyle w:val="a"/>
      </w:pPr>
      <w:r>
        <w:t>q50 correlation generally rises from 0.0507 at day 1 to 0.1065 at day 14. Direction agreement exceeds 50% at every horizon except day 1 at 49.40%. Coverage is 83.59% at day 1, closest to 80% from days 3 through 6, and mostly undercovers after day 7, reaching 76.05% at day 13. Width grows from 0.0604 to 0.2224, consistent with wider possible outcomes over longer holding periods.</w:t>
      </w:r>
    </w:p>
    <w:p>
      <w:pPr>
        <w:pStyle w:val="21"/>
      </w:pPr>
      <w:r>
        <w:t>6.3 Cross-sectional ranking and capital path</w:t>
      </w:r>
    </w:p>
    <w:p>
      <w:pPr>
        <w:pStyle w:val="Decision"/>
        <w:keepNext/>
        <w:spacing w:after="80"/>
      </w:pPr>
      <w:r>
        <w:t>Table 9 | Economic diagnostics at every horizon</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0.0521 (1/13)</w:t>
            </w:r>
          </w:p>
        </w:tc>
        <w:tc>
          <w:tcPr>
            <w:tcW w:w="1100" w:type="dxa"/>
            <w:vAlign w:val="center"/>
          </w:tcPr>
          <w:p>
            <w:pPr>
              <w:pStyle w:val="TableNumber"/>
            </w:pPr>
            <w:r>
              <w:t>0.397</w:t>
            </w:r>
          </w:p>
        </w:tc>
        <w:tc>
          <w:tcPr>
            <w:tcW w:w="1500" w:type="dxa"/>
            <w:vAlign w:val="center"/>
          </w:tcPr>
          <w:p>
            <w:pPr>
              <w:pStyle w:val="TableNumber"/>
            </w:pPr>
            <w:r>
              <w:t>+0.33%</w:t>
            </w:r>
          </w:p>
        </w:tc>
        <w:tc>
          <w:tcPr>
            <w:tcW w:w="1650" w:type="dxa"/>
            <w:vAlign w:val="center"/>
          </w:tcPr>
          <w:p>
            <w:pPr>
              <w:pStyle w:val="TableNumber"/>
            </w:pPr>
            <w:r>
              <w:t>3.04 (1/13)</w:t>
            </w:r>
          </w:p>
        </w:tc>
        <w:tc>
          <w:tcPr>
            <w:tcW w:w="1600" w:type="dxa"/>
            <w:vAlign w:val="center"/>
          </w:tcPr>
          <w:p>
            <w:pPr>
              <w:pStyle w:val="TableNumber"/>
            </w:pPr>
            <w:r>
              <w:t>-15.4% (6/13)</w:t>
            </w:r>
          </w:p>
        </w:tc>
        <w:tc>
          <w:tcPr>
            <w:tcW w:w="960" w:type="dxa"/>
            <w:vAlign w:val="center"/>
          </w:tcPr>
          <w:p>
            <w:pPr>
              <w:pStyle w:val="TableNumber"/>
            </w:pPr>
            <w:r>
              <w:t>0.466</w:t>
            </w:r>
          </w:p>
        </w:tc>
      </w:tr>
      <w:tr>
        <w:trPr>
          <w:cantSplit/>
        </w:trPr>
        <w:tc>
          <w:tcPr>
            <w:tcW w:w="650" w:type="dxa"/>
            <w:vAlign w:val="center"/>
          </w:tcPr>
          <w:p>
            <w:pPr>
              <w:pStyle w:val="TableText"/>
            </w:pPr>
            <w:r>
              <w:t>2d</w:t>
            </w:r>
          </w:p>
        </w:tc>
        <w:tc>
          <w:tcPr>
            <w:tcW w:w="1900" w:type="dxa"/>
            <w:vAlign w:val="center"/>
          </w:tcPr>
          <w:p>
            <w:pPr>
              <w:pStyle w:val="TableNumber"/>
            </w:pPr>
            <w:r>
              <w:t>0.0585 (1/13)</w:t>
            </w:r>
          </w:p>
        </w:tc>
        <w:tc>
          <w:tcPr>
            <w:tcW w:w="1100" w:type="dxa"/>
            <w:vAlign w:val="center"/>
          </w:tcPr>
          <w:p>
            <w:pPr>
              <w:pStyle w:val="TableNumber"/>
            </w:pPr>
            <w:r>
              <w:t>0.388</w:t>
            </w:r>
          </w:p>
        </w:tc>
        <w:tc>
          <w:tcPr>
            <w:tcW w:w="1500" w:type="dxa"/>
            <w:vAlign w:val="center"/>
          </w:tcPr>
          <w:p>
            <w:pPr>
              <w:pStyle w:val="TableNumber"/>
            </w:pPr>
            <w:r>
              <w:t>+0.60%</w:t>
            </w:r>
          </w:p>
        </w:tc>
        <w:tc>
          <w:tcPr>
            <w:tcW w:w="1650" w:type="dxa"/>
            <w:vAlign w:val="center"/>
          </w:tcPr>
          <w:p>
            <w:pPr>
              <w:pStyle w:val="TableNumber"/>
            </w:pPr>
            <w:r>
              <w:t>2.83 (2/13)</w:t>
            </w:r>
          </w:p>
        </w:tc>
        <w:tc>
          <w:tcPr>
            <w:tcW w:w="1600" w:type="dxa"/>
            <w:vAlign w:val="center"/>
          </w:tcPr>
          <w:p>
            <w:pPr>
              <w:pStyle w:val="TableNumber"/>
            </w:pPr>
            <w:r>
              <w:t>-20.4% (5/13)</w:t>
            </w:r>
          </w:p>
        </w:tc>
        <w:tc>
          <w:tcPr>
            <w:tcW w:w="960" w:type="dxa"/>
            <w:vAlign w:val="center"/>
          </w:tcPr>
          <w:p>
            <w:pPr>
              <w:pStyle w:val="TableNumber"/>
            </w:pPr>
            <w:r>
              <w:t>0.420</w:t>
            </w:r>
          </w:p>
        </w:tc>
      </w:tr>
      <w:tr>
        <w:trPr>
          <w:cantSplit/>
        </w:trPr>
        <w:tc>
          <w:tcPr>
            <w:tcW w:w="650" w:type="dxa"/>
            <w:vAlign w:val="center"/>
          </w:tcPr>
          <w:p>
            <w:pPr>
              <w:pStyle w:val="TableText"/>
            </w:pPr>
            <w:r>
              <w:t>3d</w:t>
            </w:r>
          </w:p>
        </w:tc>
        <w:tc>
          <w:tcPr>
            <w:tcW w:w="1900" w:type="dxa"/>
            <w:vAlign w:val="center"/>
          </w:tcPr>
          <w:p>
            <w:pPr>
              <w:pStyle w:val="TableNumber"/>
            </w:pPr>
            <w:r>
              <w:t>0.0720 (1/13)</w:t>
            </w:r>
          </w:p>
        </w:tc>
        <w:tc>
          <w:tcPr>
            <w:tcW w:w="1100" w:type="dxa"/>
            <w:vAlign w:val="center"/>
          </w:tcPr>
          <w:p>
            <w:pPr>
              <w:pStyle w:val="TableNumber"/>
            </w:pPr>
            <w:r>
              <w:t>0.465</w:t>
            </w:r>
          </w:p>
        </w:tc>
        <w:tc>
          <w:tcPr>
            <w:tcW w:w="1500" w:type="dxa"/>
            <w:vAlign w:val="center"/>
          </w:tcPr>
          <w:p>
            <w:pPr>
              <w:pStyle w:val="TableNumber"/>
            </w:pPr>
            <w:r>
              <w:t>+0.99%</w:t>
            </w:r>
          </w:p>
        </w:tc>
        <w:tc>
          <w:tcPr>
            <w:tcW w:w="1650" w:type="dxa"/>
            <w:vAlign w:val="center"/>
          </w:tcPr>
          <w:p>
            <w:pPr>
              <w:pStyle w:val="TableNumber"/>
            </w:pPr>
            <w:r>
              <w:t>2.92 (1/13)</w:t>
            </w:r>
          </w:p>
        </w:tc>
        <w:tc>
          <w:tcPr>
            <w:tcW w:w="1600" w:type="dxa"/>
            <w:vAlign w:val="center"/>
          </w:tcPr>
          <w:p>
            <w:pPr>
              <w:pStyle w:val="TableNumber"/>
            </w:pPr>
            <w:r>
              <w:t>-26.3% (6/13)</w:t>
            </w:r>
          </w:p>
        </w:tc>
        <w:tc>
          <w:tcPr>
            <w:tcW w:w="960" w:type="dxa"/>
            <w:vAlign w:val="center"/>
          </w:tcPr>
          <w:p>
            <w:pPr>
              <w:pStyle w:val="TableNumber"/>
            </w:pPr>
            <w:r>
              <w:t>0.435</w:t>
            </w:r>
          </w:p>
        </w:tc>
      </w:tr>
      <w:tr>
        <w:trPr>
          <w:cantSplit/>
        </w:trPr>
        <w:tc>
          <w:tcPr>
            <w:tcW w:w="650" w:type="dxa"/>
            <w:vAlign w:val="center"/>
          </w:tcPr>
          <w:p>
            <w:pPr>
              <w:pStyle w:val="TableText"/>
            </w:pPr>
            <w:r>
              <w:t>4d</w:t>
            </w:r>
          </w:p>
        </w:tc>
        <w:tc>
          <w:tcPr>
            <w:tcW w:w="1900" w:type="dxa"/>
            <w:vAlign w:val="center"/>
          </w:tcPr>
          <w:p>
            <w:pPr>
              <w:pStyle w:val="TableNumber"/>
            </w:pPr>
            <w:r>
              <w:t>0.0704 (1/13)</w:t>
            </w:r>
          </w:p>
        </w:tc>
        <w:tc>
          <w:tcPr>
            <w:tcW w:w="1100" w:type="dxa"/>
            <w:vAlign w:val="center"/>
          </w:tcPr>
          <w:p>
            <w:pPr>
              <w:pStyle w:val="TableNumber"/>
            </w:pPr>
            <w:r>
              <w:t>0.430</w:t>
            </w:r>
          </w:p>
        </w:tc>
        <w:tc>
          <w:tcPr>
            <w:tcW w:w="1500" w:type="dxa"/>
            <w:vAlign w:val="center"/>
          </w:tcPr>
          <w:p>
            <w:pPr>
              <w:pStyle w:val="TableNumber"/>
            </w:pPr>
            <w:r>
              <w:t>+1.12%</w:t>
            </w:r>
          </w:p>
        </w:tc>
        <w:tc>
          <w:tcPr>
            <w:tcW w:w="1650" w:type="dxa"/>
            <w:vAlign w:val="center"/>
          </w:tcPr>
          <w:p>
            <w:pPr>
              <w:pStyle w:val="TableNumber"/>
            </w:pPr>
            <w:r>
              <w:t>2.37 (2/13)</w:t>
            </w:r>
          </w:p>
        </w:tc>
        <w:tc>
          <w:tcPr>
            <w:tcW w:w="1600" w:type="dxa"/>
            <w:vAlign w:val="center"/>
          </w:tcPr>
          <w:p>
            <w:pPr>
              <w:pStyle w:val="TableNumber"/>
            </w:pPr>
            <w:r>
              <w:t>-34.2% (6/13)</w:t>
            </w:r>
          </w:p>
        </w:tc>
        <w:tc>
          <w:tcPr>
            <w:tcW w:w="960" w:type="dxa"/>
            <w:vAlign w:val="center"/>
          </w:tcPr>
          <w:p>
            <w:pPr>
              <w:pStyle w:val="TableNumber"/>
            </w:pPr>
            <w:r>
              <w:t>0.428</w:t>
            </w:r>
          </w:p>
        </w:tc>
      </w:tr>
      <w:tr>
        <w:trPr>
          <w:cantSplit/>
        </w:trPr>
        <w:tc>
          <w:tcPr>
            <w:tcW w:w="650" w:type="dxa"/>
            <w:vAlign w:val="center"/>
          </w:tcPr>
          <w:p>
            <w:pPr>
              <w:pStyle w:val="TableText"/>
            </w:pPr>
            <w:r>
              <w:t>5d</w:t>
            </w:r>
          </w:p>
        </w:tc>
        <w:tc>
          <w:tcPr>
            <w:tcW w:w="1900" w:type="dxa"/>
            <w:vAlign w:val="center"/>
          </w:tcPr>
          <w:p>
            <w:pPr>
              <w:pStyle w:val="TableNumber"/>
            </w:pPr>
            <w:r>
              <w:t>0.0759 (1/13)</w:t>
            </w:r>
          </w:p>
        </w:tc>
        <w:tc>
          <w:tcPr>
            <w:tcW w:w="1100" w:type="dxa"/>
            <w:vAlign w:val="center"/>
          </w:tcPr>
          <w:p>
            <w:pPr>
              <w:pStyle w:val="TableNumber"/>
            </w:pPr>
            <w:r>
              <w:t>0.457</w:t>
            </w:r>
          </w:p>
        </w:tc>
        <w:tc>
          <w:tcPr>
            <w:tcW w:w="1500" w:type="dxa"/>
            <w:vAlign w:val="center"/>
          </w:tcPr>
          <w:p>
            <w:pPr>
              <w:pStyle w:val="TableNumber"/>
            </w:pPr>
            <w:r>
              <w:t>+1.28%</w:t>
            </w:r>
          </w:p>
        </w:tc>
        <w:tc>
          <w:tcPr>
            <w:tcW w:w="1650" w:type="dxa"/>
            <w:vAlign w:val="center"/>
          </w:tcPr>
          <w:p>
            <w:pPr>
              <w:pStyle w:val="TableNumber"/>
            </w:pPr>
            <w:r>
              <w:t>2.23 (1/13)</w:t>
            </w:r>
          </w:p>
        </w:tc>
        <w:tc>
          <w:tcPr>
            <w:tcW w:w="1600" w:type="dxa"/>
            <w:vAlign w:val="center"/>
          </w:tcPr>
          <w:p>
            <w:pPr>
              <w:pStyle w:val="TableNumber"/>
            </w:pPr>
            <w:r>
              <w:t>-39.3% (7/13)</w:t>
            </w:r>
          </w:p>
        </w:tc>
        <w:tc>
          <w:tcPr>
            <w:tcW w:w="960" w:type="dxa"/>
            <w:vAlign w:val="center"/>
          </w:tcPr>
          <w:p>
            <w:pPr>
              <w:pStyle w:val="TableNumber"/>
            </w:pPr>
            <w:r>
              <w:t>0.421</w:t>
            </w:r>
          </w:p>
        </w:tc>
      </w:tr>
      <w:tr>
        <w:trPr>
          <w:cantSplit/>
        </w:trPr>
        <w:tc>
          <w:tcPr>
            <w:tcW w:w="650" w:type="dxa"/>
            <w:vAlign w:val="center"/>
          </w:tcPr>
          <w:p>
            <w:pPr>
              <w:pStyle w:val="TableText"/>
            </w:pPr>
            <w:r>
              <w:t>6d</w:t>
            </w:r>
          </w:p>
        </w:tc>
        <w:tc>
          <w:tcPr>
            <w:tcW w:w="1900" w:type="dxa"/>
            <w:vAlign w:val="center"/>
          </w:tcPr>
          <w:p>
            <w:pPr>
              <w:pStyle w:val="TableNumber"/>
            </w:pPr>
            <w:r>
              <w:t>0.0679 (1/13)</w:t>
            </w:r>
          </w:p>
        </w:tc>
        <w:tc>
          <w:tcPr>
            <w:tcW w:w="1100" w:type="dxa"/>
            <w:vAlign w:val="center"/>
          </w:tcPr>
          <w:p>
            <w:pPr>
              <w:pStyle w:val="TableNumber"/>
            </w:pPr>
            <w:r>
              <w:t>0.385</w:t>
            </w:r>
          </w:p>
        </w:tc>
        <w:tc>
          <w:tcPr>
            <w:tcW w:w="1500" w:type="dxa"/>
            <w:vAlign w:val="center"/>
          </w:tcPr>
          <w:p>
            <w:pPr>
              <w:pStyle w:val="TableNumber"/>
            </w:pPr>
            <w:r>
              <w:t>+1.23%</w:t>
            </w:r>
          </w:p>
        </w:tc>
        <w:tc>
          <w:tcPr>
            <w:tcW w:w="1650" w:type="dxa"/>
            <w:vAlign w:val="center"/>
          </w:tcPr>
          <w:p>
            <w:pPr>
              <w:pStyle w:val="TableNumber"/>
            </w:pPr>
            <w:r>
              <w:t>1.72 (1/13)</w:t>
            </w:r>
          </w:p>
        </w:tc>
        <w:tc>
          <w:tcPr>
            <w:tcW w:w="1600" w:type="dxa"/>
            <w:vAlign w:val="center"/>
          </w:tcPr>
          <w:p>
            <w:pPr>
              <w:pStyle w:val="TableNumber"/>
            </w:pPr>
            <w:r>
              <w:t>-44.7% (6/13)</w:t>
            </w:r>
          </w:p>
        </w:tc>
        <w:tc>
          <w:tcPr>
            <w:tcW w:w="960" w:type="dxa"/>
            <w:vAlign w:val="center"/>
          </w:tcPr>
          <w:p>
            <w:pPr>
              <w:pStyle w:val="TableNumber"/>
            </w:pPr>
            <w:r>
              <w:t>0.426</w:t>
            </w:r>
          </w:p>
        </w:tc>
      </w:tr>
      <w:tr>
        <w:trPr>
          <w:cantSplit/>
        </w:trPr>
        <w:tc>
          <w:tcPr>
            <w:tcW w:w="650" w:type="dxa"/>
            <w:vAlign w:val="center"/>
          </w:tcPr>
          <w:p>
            <w:pPr>
              <w:pStyle w:val="TableText"/>
            </w:pPr>
            <w:r>
              <w:t>7d</w:t>
            </w:r>
          </w:p>
        </w:tc>
        <w:tc>
          <w:tcPr>
            <w:tcW w:w="1900" w:type="dxa"/>
            <w:vAlign w:val="center"/>
          </w:tcPr>
          <w:p>
            <w:pPr>
              <w:pStyle w:val="TableNumber"/>
            </w:pPr>
            <w:r>
              <w:t>0.0676 (1/13)</w:t>
            </w:r>
          </w:p>
        </w:tc>
        <w:tc>
          <w:tcPr>
            <w:tcW w:w="1100" w:type="dxa"/>
            <w:vAlign w:val="center"/>
          </w:tcPr>
          <w:p>
            <w:pPr>
              <w:pStyle w:val="TableNumber"/>
            </w:pPr>
            <w:r>
              <w:t>0.379</w:t>
            </w:r>
          </w:p>
        </w:tc>
        <w:tc>
          <w:tcPr>
            <w:tcW w:w="1500" w:type="dxa"/>
            <w:vAlign w:val="center"/>
          </w:tcPr>
          <w:p>
            <w:pPr>
              <w:pStyle w:val="TableNumber"/>
            </w:pPr>
            <w:r>
              <w:t>+1.72%</w:t>
            </w:r>
          </w:p>
        </w:tc>
        <w:tc>
          <w:tcPr>
            <w:tcW w:w="1650" w:type="dxa"/>
            <w:vAlign w:val="center"/>
          </w:tcPr>
          <w:p>
            <w:pPr>
              <w:pStyle w:val="TableNumber"/>
            </w:pPr>
            <w:r>
              <w:t>2.05 (1/13)</w:t>
            </w:r>
          </w:p>
        </w:tc>
        <w:tc>
          <w:tcPr>
            <w:tcW w:w="1600" w:type="dxa"/>
            <w:vAlign w:val="center"/>
          </w:tcPr>
          <w:p>
            <w:pPr>
              <w:pStyle w:val="TableNumber"/>
            </w:pPr>
            <w:r>
              <w:t>-40.6% (4/13)</w:t>
            </w:r>
          </w:p>
        </w:tc>
        <w:tc>
          <w:tcPr>
            <w:tcW w:w="960" w:type="dxa"/>
            <w:vAlign w:val="center"/>
          </w:tcPr>
          <w:p>
            <w:pPr>
              <w:pStyle w:val="TableNumber"/>
            </w:pPr>
            <w:r>
              <w:t>0.413</w:t>
            </w:r>
          </w:p>
        </w:tc>
      </w:tr>
      <w:tr>
        <w:trPr>
          <w:cantSplit/>
        </w:trPr>
        <w:tc>
          <w:tcPr>
            <w:tcW w:w="650" w:type="dxa"/>
            <w:vAlign w:val="center"/>
          </w:tcPr>
          <w:p>
            <w:pPr>
              <w:pStyle w:val="TableText"/>
            </w:pPr>
            <w:r>
              <w:t>8d</w:t>
            </w:r>
          </w:p>
        </w:tc>
        <w:tc>
          <w:tcPr>
            <w:tcW w:w="1900" w:type="dxa"/>
            <w:vAlign w:val="center"/>
          </w:tcPr>
          <w:p>
            <w:pPr>
              <w:pStyle w:val="TableNumber"/>
            </w:pPr>
            <w:r>
              <w:t>0.0569 (1/13)</w:t>
            </w:r>
          </w:p>
        </w:tc>
        <w:tc>
          <w:tcPr>
            <w:tcW w:w="1100" w:type="dxa"/>
            <w:vAlign w:val="center"/>
          </w:tcPr>
          <w:p>
            <w:pPr>
              <w:pStyle w:val="TableNumber"/>
            </w:pPr>
            <w:r>
              <w:t>0.300</w:t>
            </w:r>
          </w:p>
        </w:tc>
        <w:tc>
          <w:tcPr>
            <w:tcW w:w="1500" w:type="dxa"/>
            <w:vAlign w:val="center"/>
          </w:tcPr>
          <w:p>
            <w:pPr>
              <w:pStyle w:val="TableNumber"/>
            </w:pPr>
            <w:r>
              <w:t>+1.86%</w:t>
            </w:r>
          </w:p>
        </w:tc>
        <w:tc>
          <w:tcPr>
            <w:tcW w:w="1650" w:type="dxa"/>
            <w:vAlign w:val="center"/>
          </w:tcPr>
          <w:p>
            <w:pPr>
              <w:pStyle w:val="TableNumber"/>
            </w:pPr>
            <w:r>
              <w:t>1.90 (1/13)</w:t>
            </w:r>
          </w:p>
        </w:tc>
        <w:tc>
          <w:tcPr>
            <w:tcW w:w="1600" w:type="dxa"/>
            <w:vAlign w:val="center"/>
          </w:tcPr>
          <w:p>
            <w:pPr>
              <w:pStyle w:val="TableNumber"/>
            </w:pPr>
            <w:r>
              <w:t>-46.1% (5/13)</w:t>
            </w:r>
          </w:p>
        </w:tc>
        <w:tc>
          <w:tcPr>
            <w:tcW w:w="960" w:type="dxa"/>
            <w:vAlign w:val="center"/>
          </w:tcPr>
          <w:p>
            <w:pPr>
              <w:pStyle w:val="TableNumber"/>
            </w:pPr>
            <w:r>
              <w:t>0.419</w:t>
            </w:r>
          </w:p>
        </w:tc>
      </w:tr>
      <w:tr>
        <w:trPr>
          <w:cantSplit/>
        </w:trPr>
        <w:tc>
          <w:tcPr>
            <w:tcW w:w="650" w:type="dxa"/>
            <w:vAlign w:val="center"/>
          </w:tcPr>
          <w:p>
            <w:pPr>
              <w:pStyle w:val="TableText"/>
            </w:pPr>
            <w:r>
              <w:t>9d</w:t>
            </w:r>
          </w:p>
        </w:tc>
        <w:tc>
          <w:tcPr>
            <w:tcW w:w="1900" w:type="dxa"/>
            <w:vAlign w:val="center"/>
          </w:tcPr>
          <w:p>
            <w:pPr>
              <w:pStyle w:val="TableNumber"/>
            </w:pPr>
            <w:r>
              <w:t>0.0610 (1/13)</w:t>
            </w:r>
          </w:p>
        </w:tc>
        <w:tc>
          <w:tcPr>
            <w:tcW w:w="1100" w:type="dxa"/>
            <w:vAlign w:val="center"/>
          </w:tcPr>
          <w:p>
            <w:pPr>
              <w:pStyle w:val="TableNumber"/>
            </w:pPr>
            <w:r>
              <w:t>0.318</w:t>
            </w:r>
          </w:p>
        </w:tc>
        <w:tc>
          <w:tcPr>
            <w:tcW w:w="1500" w:type="dxa"/>
            <w:vAlign w:val="center"/>
          </w:tcPr>
          <w:p>
            <w:pPr>
              <w:pStyle w:val="TableNumber"/>
            </w:pPr>
            <w:r>
              <w:t>+2.17%</w:t>
            </w:r>
          </w:p>
        </w:tc>
        <w:tc>
          <w:tcPr>
            <w:tcW w:w="1650" w:type="dxa"/>
            <w:vAlign w:val="center"/>
          </w:tcPr>
          <w:p>
            <w:pPr>
              <w:pStyle w:val="TableNumber"/>
            </w:pPr>
            <w:r>
              <w:t>1.99 (1/13)</w:t>
            </w:r>
          </w:p>
        </w:tc>
        <w:tc>
          <w:tcPr>
            <w:tcW w:w="1600" w:type="dxa"/>
            <w:vAlign w:val="center"/>
          </w:tcPr>
          <w:p>
            <w:pPr>
              <w:pStyle w:val="TableNumber"/>
            </w:pPr>
            <w:r>
              <w:t>-47.9% (5/13)</w:t>
            </w:r>
          </w:p>
        </w:tc>
        <w:tc>
          <w:tcPr>
            <w:tcW w:w="960" w:type="dxa"/>
            <w:vAlign w:val="center"/>
          </w:tcPr>
          <w:p>
            <w:pPr>
              <w:pStyle w:val="TableNumber"/>
            </w:pPr>
            <w:r>
              <w:t>0.416</w:t>
            </w:r>
          </w:p>
        </w:tc>
      </w:tr>
      <w:tr>
        <w:trPr>
          <w:cantSplit/>
        </w:trPr>
        <w:tc>
          <w:tcPr>
            <w:tcW w:w="650" w:type="dxa"/>
            <w:vAlign w:val="center"/>
          </w:tcPr>
          <w:p>
            <w:pPr>
              <w:pStyle w:val="TableText"/>
            </w:pPr>
            <w:r>
              <w:t>10d</w:t>
            </w:r>
          </w:p>
        </w:tc>
        <w:tc>
          <w:tcPr>
            <w:tcW w:w="1900" w:type="dxa"/>
            <w:vAlign w:val="center"/>
          </w:tcPr>
          <w:p>
            <w:pPr>
              <w:pStyle w:val="TableNumber"/>
            </w:pPr>
            <w:r>
              <w:t>0.0630 (2/13)</w:t>
            </w:r>
          </w:p>
        </w:tc>
        <w:tc>
          <w:tcPr>
            <w:tcW w:w="1100" w:type="dxa"/>
            <w:vAlign w:val="center"/>
          </w:tcPr>
          <w:p>
            <w:pPr>
              <w:pStyle w:val="TableNumber"/>
            </w:pPr>
            <w:r>
              <w:t>0.339</w:t>
            </w:r>
          </w:p>
        </w:tc>
        <w:tc>
          <w:tcPr>
            <w:tcW w:w="1500" w:type="dxa"/>
            <w:vAlign w:val="center"/>
          </w:tcPr>
          <w:p>
            <w:pPr>
              <w:pStyle w:val="TableNumber"/>
            </w:pPr>
            <w:r>
              <w:t>+2.56%</w:t>
            </w:r>
          </w:p>
        </w:tc>
        <w:tc>
          <w:tcPr>
            <w:tcW w:w="1650" w:type="dxa"/>
            <w:vAlign w:val="center"/>
          </w:tcPr>
          <w:p>
            <w:pPr>
              <w:pStyle w:val="TableNumber"/>
            </w:pPr>
            <w:r>
              <w:t>2.08 (1/13)</w:t>
            </w:r>
          </w:p>
        </w:tc>
        <w:tc>
          <w:tcPr>
            <w:tcW w:w="1600" w:type="dxa"/>
            <w:vAlign w:val="center"/>
          </w:tcPr>
          <w:p>
            <w:pPr>
              <w:pStyle w:val="TableNumber"/>
            </w:pPr>
            <w:r>
              <w:t>-48.3% (6/13)</w:t>
            </w:r>
          </w:p>
        </w:tc>
        <w:tc>
          <w:tcPr>
            <w:tcW w:w="960" w:type="dxa"/>
            <w:vAlign w:val="center"/>
          </w:tcPr>
          <w:p>
            <w:pPr>
              <w:pStyle w:val="TableNumber"/>
            </w:pPr>
            <w:r>
              <w:t>0.420</w:t>
            </w:r>
          </w:p>
        </w:tc>
      </w:tr>
      <w:tr>
        <w:trPr>
          <w:cantSplit/>
        </w:trPr>
        <w:tc>
          <w:tcPr>
            <w:tcW w:w="650" w:type="dxa"/>
            <w:vAlign w:val="center"/>
          </w:tcPr>
          <w:p>
            <w:pPr>
              <w:pStyle w:val="TableText"/>
            </w:pPr>
            <w:r>
              <w:t>11d</w:t>
            </w:r>
          </w:p>
        </w:tc>
        <w:tc>
          <w:tcPr>
            <w:tcW w:w="1900" w:type="dxa"/>
            <w:vAlign w:val="center"/>
          </w:tcPr>
          <w:p>
            <w:pPr>
              <w:pStyle w:val="TableNumber"/>
            </w:pPr>
            <w:r>
              <w:t>0.0610 (2/13)</w:t>
            </w:r>
          </w:p>
        </w:tc>
        <w:tc>
          <w:tcPr>
            <w:tcW w:w="1100" w:type="dxa"/>
            <w:vAlign w:val="center"/>
          </w:tcPr>
          <w:p>
            <w:pPr>
              <w:pStyle w:val="TableNumber"/>
            </w:pPr>
            <w:r>
              <w:t>0.328</w:t>
            </w:r>
          </w:p>
        </w:tc>
        <w:tc>
          <w:tcPr>
            <w:tcW w:w="1500" w:type="dxa"/>
            <w:vAlign w:val="center"/>
          </w:tcPr>
          <w:p>
            <w:pPr>
              <w:pStyle w:val="TableNumber"/>
            </w:pPr>
            <w:r>
              <w:t>+2.75%</w:t>
            </w:r>
          </w:p>
        </w:tc>
        <w:tc>
          <w:tcPr>
            <w:tcW w:w="1650" w:type="dxa"/>
            <w:vAlign w:val="center"/>
          </w:tcPr>
          <w:p>
            <w:pPr>
              <w:pStyle w:val="TableNumber"/>
            </w:pPr>
            <w:r>
              <w:t>2.03 (1/13)</w:t>
            </w:r>
          </w:p>
        </w:tc>
        <w:tc>
          <w:tcPr>
            <w:tcW w:w="1600" w:type="dxa"/>
            <w:vAlign w:val="center"/>
          </w:tcPr>
          <w:p>
            <w:pPr>
              <w:pStyle w:val="TableNumber"/>
            </w:pPr>
            <w:r>
              <w:t>-49.7% (4/13)</w:t>
            </w:r>
          </w:p>
        </w:tc>
        <w:tc>
          <w:tcPr>
            <w:tcW w:w="960" w:type="dxa"/>
            <w:vAlign w:val="center"/>
          </w:tcPr>
          <w:p>
            <w:pPr>
              <w:pStyle w:val="TableNumber"/>
            </w:pPr>
            <w:r>
              <w:t>0.411</w:t>
            </w:r>
          </w:p>
        </w:tc>
      </w:tr>
      <w:tr>
        <w:trPr>
          <w:cantSplit/>
        </w:trPr>
        <w:tc>
          <w:tcPr>
            <w:tcW w:w="650" w:type="dxa"/>
            <w:vAlign w:val="center"/>
          </w:tcPr>
          <w:p>
            <w:pPr>
              <w:pStyle w:val="TableText"/>
            </w:pPr>
            <w:r>
              <w:t>12d</w:t>
            </w:r>
          </w:p>
        </w:tc>
        <w:tc>
          <w:tcPr>
            <w:tcW w:w="1900" w:type="dxa"/>
            <w:vAlign w:val="center"/>
          </w:tcPr>
          <w:p>
            <w:pPr>
              <w:pStyle w:val="TableNumber"/>
            </w:pPr>
            <w:r>
              <w:t>0.0593 (3/13)</w:t>
            </w:r>
          </w:p>
        </w:tc>
        <w:tc>
          <w:tcPr>
            <w:tcW w:w="1100" w:type="dxa"/>
            <w:vAlign w:val="center"/>
          </w:tcPr>
          <w:p>
            <w:pPr>
              <w:pStyle w:val="TableNumber"/>
            </w:pPr>
            <w:r>
              <w:t>0.323</w:t>
            </w:r>
          </w:p>
        </w:tc>
        <w:tc>
          <w:tcPr>
            <w:tcW w:w="1500" w:type="dxa"/>
            <w:vAlign w:val="center"/>
          </w:tcPr>
          <w:p>
            <w:pPr>
              <w:pStyle w:val="TableNumber"/>
            </w:pPr>
            <w:r>
              <w:t>+2.75%</w:t>
            </w:r>
          </w:p>
        </w:tc>
        <w:tc>
          <w:tcPr>
            <w:tcW w:w="1650" w:type="dxa"/>
            <w:vAlign w:val="center"/>
          </w:tcPr>
          <w:p>
            <w:pPr>
              <w:pStyle w:val="TableNumber"/>
            </w:pPr>
            <w:r>
              <w:t>1.89 (2/13)</w:t>
            </w:r>
          </w:p>
        </w:tc>
        <w:tc>
          <w:tcPr>
            <w:tcW w:w="1600" w:type="dxa"/>
            <w:vAlign w:val="center"/>
          </w:tcPr>
          <w:p>
            <w:pPr>
              <w:pStyle w:val="TableNumber"/>
            </w:pPr>
            <w:r>
              <w:t>-54.8% (6/13)</w:t>
            </w:r>
          </w:p>
        </w:tc>
        <w:tc>
          <w:tcPr>
            <w:tcW w:w="960" w:type="dxa"/>
            <w:vAlign w:val="center"/>
          </w:tcPr>
          <w:p>
            <w:pPr>
              <w:pStyle w:val="TableNumber"/>
            </w:pPr>
            <w:r>
              <w:t>0.408</w:t>
            </w:r>
          </w:p>
        </w:tc>
      </w:tr>
      <w:tr>
        <w:trPr>
          <w:cantSplit/>
        </w:trPr>
        <w:tc>
          <w:tcPr>
            <w:tcW w:w="650" w:type="dxa"/>
            <w:vAlign w:val="center"/>
          </w:tcPr>
          <w:p>
            <w:pPr>
              <w:pStyle w:val="TableText"/>
            </w:pPr>
            <w:r>
              <w:t>13d</w:t>
            </w:r>
          </w:p>
        </w:tc>
        <w:tc>
          <w:tcPr>
            <w:tcW w:w="1900" w:type="dxa"/>
            <w:vAlign w:val="center"/>
          </w:tcPr>
          <w:p>
            <w:pPr>
              <w:pStyle w:val="TableNumber"/>
            </w:pPr>
            <w:r>
              <w:t>0.0464 (3/13)</w:t>
            </w:r>
          </w:p>
        </w:tc>
        <w:tc>
          <w:tcPr>
            <w:tcW w:w="1100" w:type="dxa"/>
            <w:vAlign w:val="center"/>
          </w:tcPr>
          <w:p>
            <w:pPr>
              <w:pStyle w:val="TableNumber"/>
            </w:pPr>
            <w:r>
              <w:t>0.245</w:t>
            </w:r>
          </w:p>
        </w:tc>
        <w:tc>
          <w:tcPr>
            <w:tcW w:w="1500" w:type="dxa"/>
            <w:vAlign w:val="center"/>
          </w:tcPr>
          <w:p>
            <w:pPr>
              <w:pStyle w:val="TableNumber"/>
            </w:pPr>
            <w:r>
              <w:t>+2.59%</w:t>
            </w:r>
          </w:p>
        </w:tc>
        <w:tc>
          <w:tcPr>
            <w:tcW w:w="1650" w:type="dxa"/>
            <w:vAlign w:val="center"/>
          </w:tcPr>
          <w:p>
            <w:pPr>
              <w:pStyle w:val="TableNumber"/>
            </w:pPr>
            <w:r>
              <w:t>1.63 (3/13)</w:t>
            </w:r>
          </w:p>
        </w:tc>
        <w:tc>
          <w:tcPr>
            <w:tcW w:w="1600" w:type="dxa"/>
            <w:vAlign w:val="center"/>
          </w:tcPr>
          <w:p>
            <w:pPr>
              <w:pStyle w:val="TableNumber"/>
            </w:pPr>
            <w:r>
              <w:t>-66.7% (7/13)</w:t>
            </w:r>
          </w:p>
        </w:tc>
        <w:tc>
          <w:tcPr>
            <w:tcW w:w="960" w:type="dxa"/>
            <w:vAlign w:val="center"/>
          </w:tcPr>
          <w:p>
            <w:pPr>
              <w:pStyle w:val="TableNumber"/>
            </w:pPr>
            <w:r>
              <w:t>0.402</w:t>
            </w:r>
          </w:p>
        </w:tc>
      </w:tr>
      <w:tr>
        <w:trPr>
          <w:cantSplit/>
        </w:trPr>
        <w:tc>
          <w:tcPr>
            <w:tcW w:w="650" w:type="dxa"/>
            <w:vAlign w:val="center"/>
          </w:tcPr>
          <w:p>
            <w:pPr>
              <w:pStyle w:val="TableText"/>
            </w:pPr>
            <w:r>
              <w:t>14d</w:t>
            </w:r>
          </w:p>
        </w:tc>
        <w:tc>
          <w:tcPr>
            <w:tcW w:w="1900" w:type="dxa"/>
            <w:vAlign w:val="center"/>
          </w:tcPr>
          <w:p>
            <w:pPr>
              <w:pStyle w:val="TableNumber"/>
            </w:pPr>
            <w:r>
              <w:t>0.0483 (3/13)</w:t>
            </w:r>
          </w:p>
        </w:tc>
        <w:tc>
          <w:tcPr>
            <w:tcW w:w="1100" w:type="dxa"/>
            <w:vAlign w:val="center"/>
          </w:tcPr>
          <w:p>
            <w:pPr>
              <w:pStyle w:val="TableNumber"/>
            </w:pPr>
            <w:r>
              <w:t>0.260</w:t>
            </w:r>
          </w:p>
        </w:tc>
        <w:tc>
          <w:tcPr>
            <w:tcW w:w="1500" w:type="dxa"/>
            <w:vAlign w:val="center"/>
          </w:tcPr>
          <w:p>
            <w:pPr>
              <w:pStyle w:val="TableNumber"/>
            </w:pPr>
            <w:r>
              <w:t>+2.74%</w:t>
            </w:r>
          </w:p>
        </w:tc>
        <w:tc>
          <w:tcPr>
            <w:tcW w:w="1650" w:type="dxa"/>
            <w:vAlign w:val="center"/>
          </w:tcPr>
          <w:p>
            <w:pPr>
              <w:pStyle w:val="TableNumber"/>
            </w:pPr>
            <w:r>
              <w:t>1.62 (1/13)</w:t>
            </w:r>
          </w:p>
        </w:tc>
        <w:tc>
          <w:tcPr>
            <w:tcW w:w="1600" w:type="dxa"/>
            <w:vAlign w:val="center"/>
          </w:tcPr>
          <w:p>
            <w:pPr>
              <w:pStyle w:val="TableNumber"/>
            </w:pPr>
            <w:r>
              <w:t>-66.7% (6/13)</w:t>
            </w:r>
          </w:p>
        </w:tc>
        <w:tc>
          <w:tcPr>
            <w:tcW w:w="960" w:type="dxa"/>
            <w:vAlign w:val="center"/>
          </w:tcPr>
          <w:p>
            <w:pPr>
              <w:pStyle w:val="TableNumber"/>
            </w:pPr>
            <w:r>
              <w:t>0.403</w:t>
            </w:r>
          </w:p>
        </w:tc>
      </w:tr>
    </w:tbl>
    <w:p>
      <w:pPr>
        <w:pStyle w:val="a"/>
      </w:pPr>
      <w:r>
        <w:t>RankIC is positive at every horizon: first from days 1 through 9, second at days 10 and 11, and third at days 12 through 14. Net Sharpe is also positive throughout and ranks first at ten horizons. Maximum drawdown ranks only fourth through seventh and deepens from -15.4% at day 1 to -66.7% at day 14. Cross-sectional ranking is broadly consistent, but the capital path does not improve with the longer horizons.</w:t>
      </w:r>
    </w:p>
    <w:p>
      <w:pPr>
        <w:pStyle w:val="Note"/>
      </w:pPr>
      <w:r>
        <w:t>Forward returns can overlap across horizons. Sharpe uses sqrt(252/h) without an autocorrelation correction and omits complete market impact, borrow, capacity, slippage, and tax models.</w:t>
      </w:r>
    </w:p>
    <w:p>
      <w:pPr>
        <w:pStyle w:val="11"/>
      </w:pPr>
      <w:r>
        <w:t>7. Derived signal distribution across all horizons</w:t>
      </w:r>
    </w:p>
    <w:p>
      <w:pPr>
        <w:pStyle w:val="Decision"/>
        <w:keepNext/>
        <w:spacing w:after="80"/>
      </w:pPr>
      <w:r>
        <w:t>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w:t>
            </w:r>
          </w:p>
        </w:tc>
      </w:tr>
      <w:tr>
        <w:trPr>
          <w:cantSplit/>
        </w:trPr>
        <w:tc>
          <w:tcPr>
            <w:tcW w:w="900" w:type="dxa"/>
            <w:vAlign w:val="center"/>
          </w:tcPr>
          <w:p>
            <w:pPr>
              <w:pStyle w:val="TableText"/>
            </w:pPr>
            <w:r>
              <w:t>1d</w:t>
            </w:r>
          </w:p>
        </w:tc>
        <w:tc>
          <w:tcPr>
            <w:tcW w:w="1800" w:type="dxa"/>
            <w:vAlign w:val="center"/>
          </w:tcPr>
          <w:p>
            <w:pPr>
              <w:pStyle w:val="TableNumber"/>
            </w:pPr>
            <w:r>
              <w:t>56.33%</w:t>
            </w:r>
          </w:p>
        </w:tc>
        <w:tc>
          <w:tcPr>
            <w:tcW w:w="1800" w:type="dxa"/>
            <w:vAlign w:val="center"/>
          </w:tcPr>
          <w:p>
            <w:pPr>
              <w:pStyle w:val="TableNumber"/>
            </w:pPr>
            <w:r>
              <w:t>6.57%</w:t>
            </w:r>
          </w:p>
        </w:tc>
        <w:tc>
          <w:tcPr>
            <w:tcW w:w="1800" w:type="dxa"/>
            <w:vAlign w:val="center"/>
          </w:tcPr>
          <w:p>
            <w:pPr>
              <w:pStyle w:val="TableNumber"/>
            </w:pPr>
            <w:r>
              <w:t>37.10%</w:t>
            </w:r>
          </w:p>
        </w:tc>
        <w:tc>
          <w:tcPr>
            <w:tcW w:w="3060" w:type="dxa"/>
            <w:vAlign w:val="center"/>
          </w:tcPr>
          <w:p>
            <w:pPr>
              <w:pStyle w:val="TableNumber"/>
            </w:pPr>
            <w:r>
              <w:t>0/0</w:t>
            </w:r>
          </w:p>
        </w:tc>
      </w:tr>
      <w:tr>
        <w:trPr>
          <w:cantSplit/>
        </w:trPr>
        <w:tc>
          <w:tcPr>
            <w:tcW w:w="900" w:type="dxa"/>
            <w:vAlign w:val="center"/>
          </w:tcPr>
          <w:p>
            <w:pPr>
              <w:pStyle w:val="TableText"/>
            </w:pPr>
            <w:r>
              <w:t>2d</w:t>
            </w:r>
          </w:p>
        </w:tc>
        <w:tc>
          <w:tcPr>
            <w:tcW w:w="1800" w:type="dxa"/>
            <w:vAlign w:val="center"/>
          </w:tcPr>
          <w:p>
            <w:pPr>
              <w:pStyle w:val="TableNumber"/>
            </w:pPr>
            <w:r>
              <w:t>64.67%</w:t>
            </w:r>
          </w:p>
        </w:tc>
        <w:tc>
          <w:tcPr>
            <w:tcW w:w="1800" w:type="dxa"/>
            <w:vAlign w:val="center"/>
          </w:tcPr>
          <w:p>
            <w:pPr>
              <w:pStyle w:val="TableNumber"/>
            </w:pPr>
            <w:r>
              <w:t>4.58%</w:t>
            </w:r>
          </w:p>
        </w:tc>
        <w:tc>
          <w:tcPr>
            <w:tcW w:w="1800" w:type="dxa"/>
            <w:vAlign w:val="center"/>
          </w:tcPr>
          <w:p>
            <w:pPr>
              <w:pStyle w:val="TableNumber"/>
            </w:pPr>
            <w:r>
              <w:t>30.75%</w:t>
            </w:r>
          </w:p>
        </w:tc>
        <w:tc>
          <w:tcPr>
            <w:tcW w:w="3060" w:type="dxa"/>
            <w:vAlign w:val="center"/>
          </w:tcPr>
          <w:p>
            <w:pPr>
              <w:pStyle w:val="TableNumber"/>
            </w:pPr>
            <w:r>
              <w:t>0/0</w:t>
            </w:r>
          </w:p>
        </w:tc>
      </w:tr>
      <w:tr>
        <w:trPr>
          <w:cantSplit/>
        </w:trPr>
        <w:tc>
          <w:tcPr>
            <w:tcW w:w="900" w:type="dxa"/>
            <w:vAlign w:val="center"/>
          </w:tcPr>
          <w:p>
            <w:pPr>
              <w:pStyle w:val="TableText"/>
            </w:pPr>
            <w:r>
              <w:t>3d</w:t>
            </w:r>
          </w:p>
        </w:tc>
        <w:tc>
          <w:tcPr>
            <w:tcW w:w="1800" w:type="dxa"/>
            <w:vAlign w:val="center"/>
          </w:tcPr>
          <w:p>
            <w:pPr>
              <w:pStyle w:val="TableNumber"/>
            </w:pPr>
            <w:r>
              <w:t>77.09%</w:t>
            </w:r>
          </w:p>
        </w:tc>
        <w:tc>
          <w:tcPr>
            <w:tcW w:w="1800" w:type="dxa"/>
            <w:vAlign w:val="center"/>
          </w:tcPr>
          <w:p>
            <w:pPr>
              <w:pStyle w:val="TableNumber"/>
            </w:pPr>
            <w:r>
              <w:t>3.48%</w:t>
            </w:r>
          </w:p>
        </w:tc>
        <w:tc>
          <w:tcPr>
            <w:tcW w:w="1800" w:type="dxa"/>
            <w:vAlign w:val="center"/>
          </w:tcPr>
          <w:p>
            <w:pPr>
              <w:pStyle w:val="TableNumber"/>
            </w:pPr>
            <w:r>
              <w:t>19.43%</w:t>
            </w:r>
          </w:p>
        </w:tc>
        <w:tc>
          <w:tcPr>
            <w:tcW w:w="3060" w:type="dxa"/>
            <w:vAlign w:val="center"/>
          </w:tcPr>
          <w:p>
            <w:pPr>
              <w:pStyle w:val="TableNumber"/>
            </w:pPr>
            <w:r>
              <w:t>0/0</w:t>
            </w:r>
          </w:p>
        </w:tc>
      </w:tr>
      <w:tr>
        <w:trPr>
          <w:cantSplit/>
        </w:trPr>
        <w:tc>
          <w:tcPr>
            <w:tcW w:w="900" w:type="dxa"/>
            <w:vAlign w:val="center"/>
          </w:tcPr>
          <w:p>
            <w:pPr>
              <w:pStyle w:val="TableText"/>
            </w:pPr>
            <w:r>
              <w:t>4d</w:t>
            </w:r>
          </w:p>
        </w:tc>
        <w:tc>
          <w:tcPr>
            <w:tcW w:w="1800" w:type="dxa"/>
            <w:vAlign w:val="center"/>
          </w:tcPr>
          <w:p>
            <w:pPr>
              <w:pStyle w:val="TableNumber"/>
            </w:pPr>
            <w:r>
              <w:t>82.49%</w:t>
            </w:r>
          </w:p>
        </w:tc>
        <w:tc>
          <w:tcPr>
            <w:tcW w:w="1800" w:type="dxa"/>
            <w:vAlign w:val="center"/>
          </w:tcPr>
          <w:p>
            <w:pPr>
              <w:pStyle w:val="TableNumber"/>
            </w:pPr>
            <w:r>
              <w:t>2.79%</w:t>
            </w:r>
          </w:p>
        </w:tc>
        <w:tc>
          <w:tcPr>
            <w:tcW w:w="1800" w:type="dxa"/>
            <w:vAlign w:val="center"/>
          </w:tcPr>
          <w:p>
            <w:pPr>
              <w:pStyle w:val="TableNumber"/>
            </w:pPr>
            <w:r>
              <w:t>14.71%</w:t>
            </w:r>
          </w:p>
        </w:tc>
        <w:tc>
          <w:tcPr>
            <w:tcW w:w="3060" w:type="dxa"/>
            <w:vAlign w:val="center"/>
          </w:tcPr>
          <w:p>
            <w:pPr>
              <w:pStyle w:val="TableNumber"/>
            </w:pPr>
            <w:r>
              <w:t>0/0</w:t>
            </w:r>
          </w:p>
        </w:tc>
      </w:tr>
      <w:tr>
        <w:trPr>
          <w:cantSplit/>
        </w:trPr>
        <w:tc>
          <w:tcPr>
            <w:tcW w:w="900" w:type="dxa"/>
            <w:vAlign w:val="center"/>
          </w:tcPr>
          <w:p>
            <w:pPr>
              <w:pStyle w:val="TableText"/>
            </w:pPr>
            <w:r>
              <w:t>5d</w:t>
            </w:r>
          </w:p>
        </w:tc>
        <w:tc>
          <w:tcPr>
            <w:tcW w:w="1800" w:type="dxa"/>
            <w:vAlign w:val="center"/>
          </w:tcPr>
          <w:p>
            <w:pPr>
              <w:pStyle w:val="TableNumber"/>
            </w:pPr>
            <w:r>
              <w:t>87.74%</w:t>
            </w:r>
          </w:p>
        </w:tc>
        <w:tc>
          <w:tcPr>
            <w:tcW w:w="1800" w:type="dxa"/>
            <w:vAlign w:val="center"/>
          </w:tcPr>
          <w:p>
            <w:pPr>
              <w:pStyle w:val="TableNumber"/>
            </w:pPr>
            <w:r>
              <w:t>1.83%</w:t>
            </w:r>
          </w:p>
        </w:tc>
        <w:tc>
          <w:tcPr>
            <w:tcW w:w="1800" w:type="dxa"/>
            <w:vAlign w:val="center"/>
          </w:tcPr>
          <w:p>
            <w:pPr>
              <w:pStyle w:val="TableNumber"/>
            </w:pPr>
            <w:r>
              <w:t>10.42%</w:t>
            </w:r>
          </w:p>
        </w:tc>
        <w:tc>
          <w:tcPr>
            <w:tcW w:w="3060" w:type="dxa"/>
            <w:vAlign w:val="center"/>
          </w:tcPr>
          <w:p>
            <w:pPr>
              <w:pStyle w:val="TableNumber"/>
            </w:pPr>
            <w:r>
              <w:t>0/0</w:t>
            </w:r>
          </w:p>
        </w:tc>
      </w:tr>
      <w:tr>
        <w:trPr>
          <w:cantSplit/>
        </w:trPr>
        <w:tc>
          <w:tcPr>
            <w:tcW w:w="900" w:type="dxa"/>
            <w:vAlign w:val="center"/>
          </w:tcPr>
          <w:p>
            <w:pPr>
              <w:pStyle w:val="TableText"/>
            </w:pPr>
            <w:r>
              <w:t>6d</w:t>
            </w:r>
          </w:p>
        </w:tc>
        <w:tc>
          <w:tcPr>
            <w:tcW w:w="1800" w:type="dxa"/>
            <w:vAlign w:val="center"/>
          </w:tcPr>
          <w:p>
            <w:pPr>
              <w:pStyle w:val="TableNumber"/>
            </w:pPr>
            <w:r>
              <w:t>91.94%</w:t>
            </w:r>
          </w:p>
        </w:tc>
        <w:tc>
          <w:tcPr>
            <w:tcW w:w="1800" w:type="dxa"/>
            <w:vAlign w:val="center"/>
          </w:tcPr>
          <w:p>
            <w:pPr>
              <w:pStyle w:val="TableNumber"/>
            </w:pPr>
            <w:r>
              <w:t>1.31%</w:t>
            </w:r>
          </w:p>
        </w:tc>
        <w:tc>
          <w:tcPr>
            <w:tcW w:w="1800" w:type="dxa"/>
            <w:vAlign w:val="center"/>
          </w:tcPr>
          <w:p>
            <w:pPr>
              <w:pStyle w:val="TableNumber"/>
            </w:pPr>
            <w:r>
              <w:t>6.74%</w:t>
            </w:r>
          </w:p>
        </w:tc>
        <w:tc>
          <w:tcPr>
            <w:tcW w:w="3060" w:type="dxa"/>
            <w:vAlign w:val="center"/>
          </w:tcPr>
          <w:p>
            <w:pPr>
              <w:pStyle w:val="TableNumber"/>
            </w:pPr>
            <w:r>
              <w:t>0/0</w:t>
            </w:r>
          </w:p>
        </w:tc>
      </w:tr>
      <w:tr>
        <w:trPr>
          <w:cantSplit/>
        </w:trPr>
        <w:tc>
          <w:tcPr>
            <w:tcW w:w="900" w:type="dxa"/>
            <w:vAlign w:val="center"/>
          </w:tcPr>
          <w:p>
            <w:pPr>
              <w:pStyle w:val="TableText"/>
            </w:pPr>
            <w:r>
              <w:t>7d</w:t>
            </w:r>
          </w:p>
        </w:tc>
        <w:tc>
          <w:tcPr>
            <w:tcW w:w="1800" w:type="dxa"/>
            <w:vAlign w:val="center"/>
          </w:tcPr>
          <w:p>
            <w:pPr>
              <w:pStyle w:val="TableNumber"/>
            </w:pPr>
            <w:r>
              <w:t>94.67%</w:t>
            </w:r>
          </w:p>
        </w:tc>
        <w:tc>
          <w:tcPr>
            <w:tcW w:w="1800" w:type="dxa"/>
            <w:vAlign w:val="center"/>
          </w:tcPr>
          <w:p>
            <w:pPr>
              <w:pStyle w:val="TableNumber"/>
            </w:pPr>
            <w:r>
              <w:t>0.92%</w:t>
            </w:r>
          </w:p>
        </w:tc>
        <w:tc>
          <w:tcPr>
            <w:tcW w:w="1800" w:type="dxa"/>
            <w:vAlign w:val="center"/>
          </w:tcPr>
          <w:p>
            <w:pPr>
              <w:pStyle w:val="TableNumber"/>
            </w:pPr>
            <w:r>
              <w:t>4.42%</w:t>
            </w:r>
          </w:p>
        </w:tc>
        <w:tc>
          <w:tcPr>
            <w:tcW w:w="3060" w:type="dxa"/>
            <w:vAlign w:val="center"/>
          </w:tcPr>
          <w:p>
            <w:pPr>
              <w:pStyle w:val="TableNumber"/>
            </w:pPr>
            <w:r>
              <w:t>0/0</w:t>
            </w:r>
          </w:p>
        </w:tc>
      </w:tr>
      <w:tr>
        <w:trPr>
          <w:cantSplit/>
        </w:trPr>
        <w:tc>
          <w:tcPr>
            <w:tcW w:w="900" w:type="dxa"/>
            <w:vAlign w:val="center"/>
          </w:tcPr>
          <w:p>
            <w:pPr>
              <w:pStyle w:val="TableText"/>
            </w:pPr>
            <w:r>
              <w:t>8d</w:t>
            </w:r>
          </w:p>
        </w:tc>
        <w:tc>
          <w:tcPr>
            <w:tcW w:w="1800" w:type="dxa"/>
            <w:vAlign w:val="center"/>
          </w:tcPr>
          <w:p>
            <w:pPr>
              <w:pStyle w:val="TableNumber"/>
            </w:pPr>
            <w:r>
              <w:t>94.27%</w:t>
            </w:r>
          </w:p>
        </w:tc>
        <w:tc>
          <w:tcPr>
            <w:tcW w:w="1800" w:type="dxa"/>
            <w:vAlign w:val="center"/>
          </w:tcPr>
          <w:p>
            <w:pPr>
              <w:pStyle w:val="TableNumber"/>
            </w:pPr>
            <w:r>
              <w:t>0.97%</w:t>
            </w:r>
          </w:p>
        </w:tc>
        <w:tc>
          <w:tcPr>
            <w:tcW w:w="1800" w:type="dxa"/>
            <w:vAlign w:val="center"/>
          </w:tcPr>
          <w:p>
            <w:pPr>
              <w:pStyle w:val="TableNumber"/>
            </w:pPr>
            <w:r>
              <w:t>4.75%</w:t>
            </w:r>
          </w:p>
        </w:tc>
        <w:tc>
          <w:tcPr>
            <w:tcW w:w="3060" w:type="dxa"/>
            <w:vAlign w:val="center"/>
          </w:tcPr>
          <w:p>
            <w:pPr>
              <w:pStyle w:val="TableNumber"/>
            </w:pPr>
            <w:r>
              <w:t>0/0</w:t>
            </w:r>
          </w:p>
        </w:tc>
      </w:tr>
      <w:tr>
        <w:trPr>
          <w:cantSplit/>
        </w:trPr>
        <w:tc>
          <w:tcPr>
            <w:tcW w:w="900" w:type="dxa"/>
            <w:vAlign w:val="center"/>
          </w:tcPr>
          <w:p>
            <w:pPr>
              <w:pStyle w:val="TableText"/>
            </w:pPr>
            <w:r>
              <w:t>9d</w:t>
            </w:r>
          </w:p>
        </w:tc>
        <w:tc>
          <w:tcPr>
            <w:tcW w:w="1800" w:type="dxa"/>
            <w:vAlign w:val="center"/>
          </w:tcPr>
          <w:p>
            <w:pPr>
              <w:pStyle w:val="TableNumber"/>
            </w:pPr>
            <w:r>
              <w:t>95.23%</w:t>
            </w:r>
          </w:p>
        </w:tc>
        <w:tc>
          <w:tcPr>
            <w:tcW w:w="1800" w:type="dxa"/>
            <w:vAlign w:val="center"/>
          </w:tcPr>
          <w:p>
            <w:pPr>
              <w:pStyle w:val="TableNumber"/>
            </w:pPr>
            <w:r>
              <w:t>0.92%</w:t>
            </w:r>
          </w:p>
        </w:tc>
        <w:tc>
          <w:tcPr>
            <w:tcW w:w="1800" w:type="dxa"/>
            <w:vAlign w:val="center"/>
          </w:tcPr>
          <w:p>
            <w:pPr>
              <w:pStyle w:val="TableNumber"/>
            </w:pPr>
            <w:r>
              <w:t>3.84%</w:t>
            </w:r>
          </w:p>
        </w:tc>
        <w:tc>
          <w:tcPr>
            <w:tcW w:w="3060" w:type="dxa"/>
            <w:vAlign w:val="center"/>
          </w:tcPr>
          <w:p>
            <w:pPr>
              <w:pStyle w:val="TableNumber"/>
            </w:pPr>
            <w:r>
              <w:t>0/0</w:t>
            </w:r>
          </w:p>
        </w:tc>
      </w:tr>
      <w:tr>
        <w:trPr>
          <w:cantSplit/>
        </w:trPr>
        <w:tc>
          <w:tcPr>
            <w:tcW w:w="900" w:type="dxa"/>
            <w:vAlign w:val="center"/>
          </w:tcPr>
          <w:p>
            <w:pPr>
              <w:pStyle w:val="TableText"/>
            </w:pPr>
            <w:r>
              <w:t>10d</w:t>
            </w:r>
          </w:p>
        </w:tc>
        <w:tc>
          <w:tcPr>
            <w:tcW w:w="1800" w:type="dxa"/>
            <w:vAlign w:val="center"/>
          </w:tcPr>
          <w:p>
            <w:pPr>
              <w:pStyle w:val="TableNumber"/>
            </w:pPr>
            <w:r>
              <w:t>95.22%</w:t>
            </w:r>
          </w:p>
        </w:tc>
        <w:tc>
          <w:tcPr>
            <w:tcW w:w="1800" w:type="dxa"/>
            <w:vAlign w:val="center"/>
          </w:tcPr>
          <w:p>
            <w:pPr>
              <w:pStyle w:val="TableNumber"/>
            </w:pPr>
            <w:r>
              <w:t>0.64%</w:t>
            </w:r>
          </w:p>
        </w:tc>
        <w:tc>
          <w:tcPr>
            <w:tcW w:w="1800" w:type="dxa"/>
            <w:vAlign w:val="center"/>
          </w:tcPr>
          <w:p>
            <w:pPr>
              <w:pStyle w:val="TableNumber"/>
            </w:pPr>
            <w:r>
              <w:t>4.15%</w:t>
            </w:r>
          </w:p>
        </w:tc>
        <w:tc>
          <w:tcPr>
            <w:tcW w:w="3060" w:type="dxa"/>
            <w:vAlign w:val="center"/>
          </w:tcPr>
          <w:p>
            <w:pPr>
              <w:pStyle w:val="TableNumber"/>
            </w:pPr>
            <w:r>
              <w:t>0/0</w:t>
            </w:r>
          </w:p>
        </w:tc>
      </w:tr>
      <w:tr>
        <w:trPr>
          <w:cantSplit/>
        </w:trPr>
        <w:tc>
          <w:tcPr>
            <w:tcW w:w="900" w:type="dxa"/>
            <w:vAlign w:val="center"/>
          </w:tcPr>
          <w:p>
            <w:pPr>
              <w:pStyle w:val="TableText"/>
            </w:pPr>
            <w:r>
              <w:t>11d</w:t>
            </w:r>
          </w:p>
        </w:tc>
        <w:tc>
          <w:tcPr>
            <w:tcW w:w="1800" w:type="dxa"/>
            <w:vAlign w:val="center"/>
          </w:tcPr>
          <w:p>
            <w:pPr>
              <w:pStyle w:val="TableNumber"/>
            </w:pPr>
            <w:r>
              <w:t>93.64%</w:t>
            </w:r>
          </w:p>
        </w:tc>
        <w:tc>
          <w:tcPr>
            <w:tcW w:w="1800" w:type="dxa"/>
            <w:vAlign w:val="center"/>
          </w:tcPr>
          <w:p>
            <w:pPr>
              <w:pStyle w:val="TableNumber"/>
            </w:pPr>
            <w:r>
              <w:t>0.91%</w:t>
            </w:r>
          </w:p>
        </w:tc>
        <w:tc>
          <w:tcPr>
            <w:tcW w:w="1800" w:type="dxa"/>
            <w:vAlign w:val="center"/>
          </w:tcPr>
          <w:p>
            <w:pPr>
              <w:pStyle w:val="TableNumber"/>
            </w:pPr>
            <w:r>
              <w:t>5.46%</w:t>
            </w:r>
          </w:p>
        </w:tc>
        <w:tc>
          <w:tcPr>
            <w:tcW w:w="3060" w:type="dxa"/>
            <w:vAlign w:val="center"/>
          </w:tcPr>
          <w:p>
            <w:pPr>
              <w:pStyle w:val="TableNumber"/>
            </w:pPr>
            <w:r>
              <w:t>0/0</w:t>
            </w:r>
          </w:p>
        </w:tc>
      </w:tr>
      <w:tr>
        <w:trPr>
          <w:cantSplit/>
        </w:trPr>
        <w:tc>
          <w:tcPr>
            <w:tcW w:w="900" w:type="dxa"/>
            <w:vAlign w:val="center"/>
          </w:tcPr>
          <w:p>
            <w:pPr>
              <w:pStyle w:val="TableText"/>
            </w:pPr>
            <w:r>
              <w:t>12d</w:t>
            </w:r>
          </w:p>
        </w:tc>
        <w:tc>
          <w:tcPr>
            <w:tcW w:w="1800" w:type="dxa"/>
            <w:vAlign w:val="center"/>
          </w:tcPr>
          <w:p>
            <w:pPr>
              <w:pStyle w:val="TableNumber"/>
            </w:pPr>
            <w:r>
              <w:t>97.27%</w:t>
            </w:r>
          </w:p>
        </w:tc>
        <w:tc>
          <w:tcPr>
            <w:tcW w:w="1800" w:type="dxa"/>
            <w:vAlign w:val="center"/>
          </w:tcPr>
          <w:p>
            <w:pPr>
              <w:pStyle w:val="TableNumber"/>
            </w:pPr>
            <w:r>
              <w:t>0.60%</w:t>
            </w:r>
          </w:p>
        </w:tc>
        <w:tc>
          <w:tcPr>
            <w:tcW w:w="1800" w:type="dxa"/>
            <w:vAlign w:val="center"/>
          </w:tcPr>
          <w:p>
            <w:pPr>
              <w:pStyle w:val="TableNumber"/>
            </w:pPr>
            <w:r>
              <w:t>2.12%</w:t>
            </w:r>
          </w:p>
        </w:tc>
        <w:tc>
          <w:tcPr>
            <w:tcW w:w="3060" w:type="dxa"/>
            <w:vAlign w:val="center"/>
          </w:tcPr>
          <w:p>
            <w:pPr>
              <w:pStyle w:val="TableNumber"/>
            </w:pPr>
            <w:r>
              <w:t>0/0</w:t>
            </w:r>
          </w:p>
        </w:tc>
      </w:tr>
      <w:tr>
        <w:trPr>
          <w:cantSplit/>
        </w:trPr>
        <w:tc>
          <w:tcPr>
            <w:tcW w:w="900" w:type="dxa"/>
            <w:vAlign w:val="center"/>
          </w:tcPr>
          <w:p>
            <w:pPr>
              <w:pStyle w:val="TableText"/>
            </w:pPr>
            <w:r>
              <w:t>13d</w:t>
            </w:r>
          </w:p>
        </w:tc>
        <w:tc>
          <w:tcPr>
            <w:tcW w:w="1800" w:type="dxa"/>
            <w:vAlign w:val="center"/>
          </w:tcPr>
          <w:p>
            <w:pPr>
              <w:pStyle w:val="TableNumber"/>
            </w:pPr>
            <w:r>
              <w:t>95.77%</w:t>
            </w:r>
          </w:p>
        </w:tc>
        <w:tc>
          <w:tcPr>
            <w:tcW w:w="1800" w:type="dxa"/>
            <w:vAlign w:val="center"/>
          </w:tcPr>
          <w:p>
            <w:pPr>
              <w:pStyle w:val="TableNumber"/>
            </w:pPr>
            <w:r>
              <w:t>0.43%</w:t>
            </w:r>
          </w:p>
        </w:tc>
        <w:tc>
          <w:tcPr>
            <w:tcW w:w="1800" w:type="dxa"/>
            <w:vAlign w:val="center"/>
          </w:tcPr>
          <w:p>
            <w:pPr>
              <w:pStyle w:val="TableNumber"/>
            </w:pPr>
            <w:r>
              <w:t>3.81%</w:t>
            </w:r>
          </w:p>
        </w:tc>
        <w:tc>
          <w:tcPr>
            <w:tcW w:w="3060" w:type="dxa"/>
            <w:vAlign w:val="center"/>
          </w:tcPr>
          <w:p>
            <w:pPr>
              <w:pStyle w:val="TableNumber"/>
            </w:pPr>
            <w:r>
              <w:t>0/0</w:t>
            </w:r>
          </w:p>
        </w:tc>
      </w:tr>
      <w:tr>
        <w:trPr>
          <w:cantSplit/>
        </w:trPr>
        <w:tc>
          <w:tcPr>
            <w:tcW w:w="900" w:type="dxa"/>
            <w:vAlign w:val="center"/>
          </w:tcPr>
          <w:p>
            <w:pPr>
              <w:pStyle w:val="TableText"/>
            </w:pPr>
            <w:r>
              <w:t>14d</w:t>
            </w:r>
          </w:p>
        </w:tc>
        <w:tc>
          <w:tcPr>
            <w:tcW w:w="1800" w:type="dxa"/>
            <w:vAlign w:val="center"/>
          </w:tcPr>
          <w:p>
            <w:pPr>
              <w:pStyle w:val="TableNumber"/>
            </w:pPr>
            <w:r>
              <w:t>95.59%</w:t>
            </w:r>
          </w:p>
        </w:tc>
        <w:tc>
          <w:tcPr>
            <w:tcW w:w="1800" w:type="dxa"/>
            <w:vAlign w:val="center"/>
          </w:tcPr>
          <w:p>
            <w:pPr>
              <w:pStyle w:val="TableNumber"/>
            </w:pPr>
            <w:r>
              <w:t>0.36%</w:t>
            </w:r>
          </w:p>
        </w:tc>
        <w:tc>
          <w:tcPr>
            <w:tcW w:w="1800" w:type="dxa"/>
            <w:vAlign w:val="center"/>
          </w:tcPr>
          <w:p>
            <w:pPr>
              <w:pStyle w:val="TableNumber"/>
            </w:pPr>
            <w:r>
              <w:t>4.05%</w:t>
            </w:r>
          </w:p>
        </w:tc>
        <w:tc>
          <w:tcPr>
            <w:tcW w:w="3060" w:type="dxa"/>
            <w:vAlign w:val="center"/>
          </w:tcPr>
          <w:p>
            <w:pPr>
              <w:pStyle w:val="TableNumber"/>
            </w:pPr>
            <w:r>
              <w:t>0/0</w:t>
            </w:r>
          </w:p>
        </w:tc>
      </w:tr>
    </w:tbl>
    <w:p>
      <w:pPr>
        <w:pStyle w:val="a"/>
      </w:pPr>
      <w:r>
        <w:t>The bearish share rises from 56.33% at day 1 to 97.27% at day 12 and remains 95.59% at day 14. Every horizon has zero strong-bearish and zero strong-bullish labels. Most q50 values are negative while q10-to-q90 intervals still cross zero. These are rule labels, not probabilities of decline; direct position mapping would create extreme short exposure at longer horizons.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EODHD / US</w:t>
            </w:r>
          </w:p>
        </w:tc>
        <w:tc>
          <w:tcPr>
            <w:tcW w:w="1100" w:type="dxa"/>
            <w:vAlign w:val="center"/>
          </w:tcPr>
          <w:p>
            <w:pPr>
              <w:pStyle w:val="TableNumber"/>
            </w:pPr>
            <w:r>
              <w:t>17,056</w:t>
            </w:r>
          </w:p>
        </w:tc>
        <w:tc>
          <w:tcPr>
            <w:tcW w:w="1300" w:type="dxa"/>
            <w:vAlign w:val="center"/>
          </w:tcPr>
          <w:p>
            <w:pPr>
              <w:pStyle w:val="TableNumber"/>
            </w:pPr>
            <w:r>
              <w:t>0.3311</w:t>
            </w:r>
          </w:p>
        </w:tc>
        <w:tc>
          <w:tcPr>
            <w:tcW w:w="1400" w:type="dxa"/>
            <w:vAlign w:val="center"/>
          </w:tcPr>
          <w:p>
            <w:pPr>
              <w:pStyle w:val="TableNumber"/>
            </w:pPr>
            <w:r>
              <w:t>0.0908</w:t>
            </w:r>
          </w:p>
        </w:tc>
        <w:tc>
          <w:tcPr>
            <w:tcW w:w="1800" w:type="dxa"/>
            <w:vAlign w:val="center"/>
          </w:tcPr>
          <w:p>
            <w:pPr>
              <w:pStyle w:val="TableNumber"/>
            </w:pPr>
            <w:r>
              <w:t>0.0571 to 0.1205</w:t>
            </w:r>
          </w:p>
        </w:tc>
        <w:tc>
          <w:tcPr>
            <w:tcW w:w="1250" w:type="dxa"/>
            <w:vAlign w:val="center"/>
          </w:tcPr>
          <w:p>
            <w:pPr>
              <w:pStyle w:val="TableNumber"/>
            </w:pPr>
            <w:r>
              <w:t>53.32%</w:t>
            </w:r>
          </w:p>
        </w:tc>
        <w:tc>
          <w:tcPr>
            <w:tcW w:w="1010" w:type="dxa"/>
            <w:vAlign w:val="center"/>
          </w:tcPr>
          <w:p>
            <w:pPr>
              <w:pStyle w:val="TableNumber"/>
            </w:pPr>
            <w:r>
              <w:t>78.47%</w:t>
            </w:r>
          </w:p>
        </w:tc>
      </w:tr>
      <w:tr>
        <w:trPr>
          <w:cantSplit/>
        </w:trPr>
        <w:tc>
          <w:tcPr>
            <w:tcW w:w="1500" w:type="dxa"/>
            <w:vAlign w:val="center"/>
          </w:tcPr>
          <w:p>
            <w:pPr>
              <w:pStyle w:val="TableText"/>
            </w:pPr>
            <w:r>
              <w:t>TPEx</w:t>
            </w:r>
          </w:p>
        </w:tc>
        <w:tc>
          <w:tcPr>
            <w:tcW w:w="1100" w:type="dxa"/>
            <w:vAlign w:val="center"/>
          </w:tcPr>
          <w:p>
            <w:pPr>
              <w:pStyle w:val="TableNumber"/>
            </w:pPr>
            <w:r>
              <w:t>1,377</w:t>
            </w:r>
          </w:p>
        </w:tc>
        <w:tc>
          <w:tcPr>
            <w:tcW w:w="1300" w:type="dxa"/>
            <w:vAlign w:val="center"/>
          </w:tcPr>
          <w:p>
            <w:pPr>
              <w:pStyle w:val="TableNumber"/>
            </w:pPr>
            <w:r>
              <w:t>0.2245</w:t>
            </w:r>
          </w:p>
        </w:tc>
        <w:tc>
          <w:tcPr>
            <w:tcW w:w="1400" w:type="dxa"/>
            <w:vAlign w:val="center"/>
          </w:tcPr>
          <w:p>
            <w:pPr>
              <w:pStyle w:val="TableNumber"/>
            </w:pPr>
            <w:r>
              <w:t>0.0934</w:t>
            </w:r>
          </w:p>
        </w:tc>
        <w:tc>
          <w:tcPr>
            <w:tcW w:w="1800" w:type="dxa"/>
            <w:vAlign w:val="center"/>
          </w:tcPr>
          <w:p>
            <w:pPr>
              <w:pStyle w:val="TableNumber"/>
            </w:pPr>
            <w:r>
              <w:t>0.0013 to 0.1396</w:t>
            </w:r>
          </w:p>
        </w:tc>
        <w:tc>
          <w:tcPr>
            <w:tcW w:w="1250" w:type="dxa"/>
            <w:vAlign w:val="center"/>
          </w:tcPr>
          <w:p>
            <w:pPr>
              <w:pStyle w:val="TableNumber"/>
            </w:pPr>
            <w:r>
              <w:t>55.19%</w:t>
            </w:r>
          </w:p>
        </w:tc>
        <w:tc>
          <w:tcPr>
            <w:tcW w:w="1010" w:type="dxa"/>
            <w:vAlign w:val="center"/>
          </w:tcPr>
          <w:p>
            <w:pPr>
              <w:pStyle w:val="TableNumber"/>
            </w:pPr>
            <w:r>
              <w:t>80.59%</w:t>
            </w:r>
          </w:p>
        </w:tc>
      </w:tr>
      <w:tr>
        <w:trPr>
          <w:cantSplit/>
        </w:trPr>
        <w:tc>
          <w:tcPr>
            <w:tcW w:w="1500" w:type="dxa"/>
            <w:vAlign w:val="center"/>
          </w:tcPr>
          <w:p>
            <w:pPr>
              <w:pStyle w:val="TableText"/>
            </w:pPr>
            <w:r>
              <w:t>TWSE</w:t>
            </w:r>
          </w:p>
        </w:tc>
        <w:tc>
          <w:tcPr>
            <w:tcW w:w="1100" w:type="dxa"/>
            <w:vAlign w:val="center"/>
          </w:tcPr>
          <w:p>
            <w:pPr>
              <w:pStyle w:val="TableNumber"/>
            </w:pPr>
            <w:r>
              <w:t>1,567</w:t>
            </w:r>
          </w:p>
        </w:tc>
        <w:tc>
          <w:tcPr>
            <w:tcW w:w="1300" w:type="dxa"/>
            <w:vAlign w:val="center"/>
          </w:tcPr>
          <w:p>
            <w:pPr>
              <w:pStyle w:val="TableNumber"/>
            </w:pPr>
            <w:r>
              <w:t>0.2167</w:t>
            </w:r>
          </w:p>
        </w:tc>
        <w:tc>
          <w:tcPr>
            <w:tcW w:w="1400" w:type="dxa"/>
            <w:vAlign w:val="center"/>
          </w:tcPr>
          <w:p>
            <w:pPr>
              <w:pStyle w:val="TableNumber"/>
            </w:pPr>
            <w:r>
              <w:t>0.0345</w:t>
            </w:r>
          </w:p>
        </w:tc>
        <w:tc>
          <w:tcPr>
            <w:tcW w:w="1800" w:type="dxa"/>
            <w:vAlign w:val="center"/>
          </w:tcPr>
          <w:p>
            <w:pPr>
              <w:pStyle w:val="TableNumber"/>
            </w:pPr>
            <w:r>
              <w:t>-0.0019 to 0.0767</w:t>
            </w:r>
          </w:p>
        </w:tc>
        <w:tc>
          <w:tcPr>
            <w:tcW w:w="1250" w:type="dxa"/>
            <w:vAlign w:val="center"/>
          </w:tcPr>
          <w:p>
            <w:pPr>
              <w:pStyle w:val="TableNumber"/>
            </w:pPr>
            <w:r>
              <w:t>59.17%</w:t>
            </w:r>
          </w:p>
        </w:tc>
        <w:tc>
          <w:tcPr>
            <w:tcW w:w="1010" w:type="dxa"/>
            <w:vAlign w:val="center"/>
          </w:tcPr>
          <w:p>
            <w:pPr>
              <w:pStyle w:val="TableNumber"/>
            </w:pPr>
            <w:r>
              <w:t>80.38%</w:t>
            </w:r>
          </w:p>
        </w:tc>
      </w:tr>
    </w:tbl>
    <w:p>
      <w:pPr>
        <w:pStyle w:val="a"/>
      </w:pPr>
      <w:r>
        <w:t>Taiwan slices have lower 14-horizon scores but far fewer rows than EODHD / US, and the markets, periods, and universes differ. TWSE has higher mean direction agreement but lower mean correlation. A single slice metric cannot establish that one market is easier to predict.</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2024</w:t>
            </w:r>
          </w:p>
        </w:tc>
        <w:tc>
          <w:tcPr>
            <w:tcW w:w="1200" w:type="dxa"/>
            <w:vAlign w:val="center"/>
          </w:tcPr>
          <w:p>
            <w:pPr>
              <w:pStyle w:val="TableNumber"/>
            </w:pPr>
            <w:r>
              <w:t>1,928</w:t>
            </w:r>
          </w:p>
        </w:tc>
        <w:tc>
          <w:tcPr>
            <w:tcW w:w="1400" w:type="dxa"/>
            <w:vAlign w:val="center"/>
          </w:tcPr>
          <w:p>
            <w:pPr>
              <w:pStyle w:val="TableNumber"/>
            </w:pPr>
            <w:r>
              <w:t>0.3178</w:t>
            </w:r>
          </w:p>
        </w:tc>
        <w:tc>
          <w:tcPr>
            <w:tcW w:w="1400" w:type="dxa"/>
            <w:vAlign w:val="center"/>
          </w:tcPr>
          <w:p>
            <w:pPr>
              <w:pStyle w:val="TableNumber"/>
            </w:pPr>
            <w:r>
              <w:t>0.0012</w:t>
            </w:r>
          </w:p>
        </w:tc>
        <w:tc>
          <w:tcPr>
            <w:tcW w:w="1800" w:type="dxa"/>
            <w:vAlign w:val="center"/>
          </w:tcPr>
          <w:p>
            <w:pPr>
              <w:pStyle w:val="TableNumber"/>
            </w:pPr>
            <w:r>
              <w:t>-0.0379 to 0.1100</w:t>
            </w:r>
          </w:p>
        </w:tc>
        <w:tc>
          <w:tcPr>
            <w:tcW w:w="1200" w:type="dxa"/>
            <w:vAlign w:val="center"/>
          </w:tcPr>
          <w:p>
            <w:pPr>
              <w:pStyle w:val="TableNumber"/>
            </w:pPr>
            <w:r>
              <w:t>46.85%</w:t>
            </w:r>
          </w:p>
        </w:tc>
        <w:tc>
          <w:tcPr>
            <w:tcW w:w="1060" w:type="dxa"/>
            <w:vAlign w:val="center"/>
          </w:tcPr>
          <w:p>
            <w:pPr>
              <w:pStyle w:val="TableNumber"/>
            </w:pPr>
            <w:r>
              <w:t>82.14%</w:t>
            </w:r>
          </w:p>
        </w:tc>
      </w:tr>
      <w:tr>
        <w:trPr>
          <w:cantSplit/>
        </w:trPr>
        <w:tc>
          <w:tcPr>
            <w:tcW w:w="1300" w:type="dxa"/>
            <w:vAlign w:val="center"/>
          </w:tcPr>
          <w:p>
            <w:pPr>
              <w:pStyle w:val="TableText"/>
            </w:pPr>
            <w:r>
              <w:t>2025</w:t>
            </w:r>
          </w:p>
        </w:tc>
        <w:tc>
          <w:tcPr>
            <w:tcW w:w="1200" w:type="dxa"/>
            <w:vAlign w:val="center"/>
          </w:tcPr>
          <w:p>
            <w:pPr>
              <w:pStyle w:val="TableNumber"/>
            </w:pPr>
            <w:r>
              <w:t>18,072</w:t>
            </w:r>
          </w:p>
        </w:tc>
        <w:tc>
          <w:tcPr>
            <w:tcW w:w="1400" w:type="dxa"/>
            <w:vAlign w:val="center"/>
          </w:tcPr>
          <w:p>
            <w:pPr>
              <w:pStyle w:val="TableNumber"/>
            </w:pPr>
            <w:r>
              <w:t>0.3144</w:t>
            </w:r>
          </w:p>
        </w:tc>
        <w:tc>
          <w:tcPr>
            <w:tcW w:w="1400" w:type="dxa"/>
            <w:vAlign w:val="center"/>
          </w:tcPr>
          <w:p>
            <w:pPr>
              <w:pStyle w:val="TableNumber"/>
            </w:pPr>
            <w:r>
              <w:t>0.0902</w:t>
            </w:r>
          </w:p>
        </w:tc>
        <w:tc>
          <w:tcPr>
            <w:tcW w:w="1800" w:type="dxa"/>
            <w:vAlign w:val="center"/>
          </w:tcPr>
          <w:p>
            <w:pPr>
              <w:pStyle w:val="TableNumber"/>
            </w:pPr>
            <w:r>
              <w:t>0.0413 to 0.1154</w:t>
            </w:r>
          </w:p>
        </w:tc>
        <w:tc>
          <w:tcPr>
            <w:tcW w:w="1200" w:type="dxa"/>
            <w:vAlign w:val="center"/>
          </w:tcPr>
          <w:p>
            <w:pPr>
              <w:pStyle w:val="TableNumber"/>
            </w:pPr>
            <w:r>
              <w:t>54.66%</w:t>
            </w:r>
          </w:p>
        </w:tc>
        <w:tc>
          <w:tcPr>
            <w:tcW w:w="1060" w:type="dxa"/>
            <w:vAlign w:val="center"/>
          </w:tcPr>
          <w:p>
            <w:pPr>
              <w:pStyle w:val="TableNumber"/>
            </w:pPr>
            <w:r>
              <w:t>78.41%</w:t>
            </w:r>
          </w:p>
        </w:tc>
      </w:tr>
    </w:tbl>
    <w:p>
      <w:pPr>
        <w:pStyle w:val="Lead"/>
      </w:pPr>
      <w:r>
        <w:t>The 2024 slice has mean correlation of only 0.0012 across 14 horizons, a range of -0.0379 to 0.1100, and mean direction agreement of 46.85%. In 2025, mean correlation is 0.0902 and mean direction agreement is 54.66%. The sample sizes are 1,928 versus 18,072, so temporal stability is a primary Stage 2 risk.</w:t>
      </w:r>
    </w:p>
    <w:p>
      <w:pPr>
        <w:pStyle w:val="11"/>
      </w:pPr>
      <w:r>
        <w:t>9. Risks and next stage</w:t>
      </w:r>
    </w:p>
    <w:p>
      <w:pPr>
        <w:pStyle w:val="Decision"/>
        <w:keepNext/>
        <w:spacing w:after="80"/>
      </w:pPr>
      <w:r>
        <w:t>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Required validation</w:t>
            </w:r>
          </w:p>
        </w:tc>
      </w:tr>
      <w:tr>
        <w:trPr>
          <w:cantSplit/>
        </w:trPr>
        <w:tc>
          <w:tcPr>
            <w:tcW w:w="2500" w:type="dxa"/>
            <w:vAlign w:val="center"/>
          </w:tcPr>
          <w:p>
            <w:pPr>
              <w:pStyle w:val="TableText"/>
            </w:pPr>
            <w:r>
              <w:t>Test remains locked</w:t>
            </w:r>
          </w:p>
        </w:tc>
        <w:tc>
          <w:tcPr>
            <w:tcW w:w="2900" w:type="dxa"/>
            <w:vAlign w:val="center"/>
          </w:tcPr>
          <w:p>
            <w:pPr>
              <w:pStyle w:val="TableText"/>
            </w:pPr>
            <w:r>
              <w:t>Every conclusion is validation-only</w:t>
            </w:r>
          </w:p>
        </w:tc>
        <w:tc>
          <w:tcPr>
            <w:tcW w:w="3960" w:type="dxa"/>
            <w:vAlign w:val="center"/>
          </w:tcPr>
          <w:p>
            <w:pPr>
              <w:pStyle w:val="TableText"/>
            </w:pPr>
            <w:r>
              <w:t>Pre-register Stage 2 and one-time test thresholds</w:t>
            </w:r>
          </w:p>
        </w:tc>
      </w:tr>
      <w:tr>
        <w:trPr>
          <w:cantSplit/>
        </w:trPr>
        <w:tc>
          <w:tcPr>
            <w:tcW w:w="2500" w:type="dxa"/>
            <w:vAlign w:val="center"/>
          </w:tcPr>
          <w:p>
            <w:pPr>
              <w:pStyle w:val="TableText"/>
            </w:pPr>
            <w:r>
              <w:t>Single seed</w:t>
            </w:r>
          </w:p>
        </w:tc>
        <w:tc>
          <w:tcPr>
            <w:tcW w:w="2900" w:type="dxa"/>
            <w:vAlign w:val="center"/>
          </w:tcPr>
          <w:p>
            <w:pPr>
              <w:pStyle w:val="TableText"/>
            </w:pPr>
            <w:r>
              <w:t>seed=42</w:t>
            </w:r>
          </w:p>
        </w:tc>
        <w:tc>
          <w:tcPr>
            <w:tcW w:w="3960" w:type="dxa"/>
            <w:vAlign w:val="center"/>
          </w:tcPr>
          <w:p>
            <w:pPr>
              <w:pStyle w:val="TableText"/>
            </w:pPr>
            <w:r>
              <w:t>Run multiple seeds and report median, dispersion, and worst case</w:t>
            </w:r>
          </w:p>
        </w:tc>
      </w:tr>
      <w:tr>
        <w:trPr>
          <w:cantSplit/>
        </w:trPr>
        <w:tc>
          <w:tcPr>
            <w:tcW w:w="2500" w:type="dxa"/>
            <w:vAlign w:val="center"/>
          </w:tcPr>
          <w:p>
            <w:pPr>
              <w:pStyle w:val="TableText"/>
            </w:pPr>
            <w:r>
              <w:t>Stage 1 subset</w:t>
            </w:r>
          </w:p>
        </w:tc>
        <w:tc>
          <w:tcPr>
            <w:tcW w:w="2900" w:type="dxa"/>
            <w:vAlign w:val="center"/>
          </w:tcPr>
          <w:p>
            <w:pPr>
              <w:pStyle w:val="TableText"/>
            </w:pPr>
            <w:r>
              <w:t>At most 500,000 rows per epoch</w:t>
            </w:r>
          </w:p>
        </w:tc>
        <w:tc>
          <w:tcPr>
            <w:tcW w:w="3960" w:type="dxa"/>
            <w:vAlign w:val="center"/>
          </w:tcPr>
          <w:p>
            <w:pPr>
              <w:pStyle w:val="TableText"/>
            </w:pPr>
            <w:r>
              <w:t>Restart full Stage 2 from the original pretrained base</w:t>
            </w:r>
          </w:p>
        </w:tc>
      </w:tr>
      <w:tr>
        <w:trPr>
          <w:cantSplit/>
        </w:trPr>
        <w:tc>
          <w:tcPr>
            <w:tcW w:w="2500" w:type="dxa"/>
            <w:vAlign w:val="center"/>
          </w:tcPr>
          <w:p>
            <w:pPr>
              <w:pStyle w:val="TableText"/>
            </w:pPr>
            <w:r>
              <w:t>Long-horizon drawdown</w:t>
            </w:r>
          </w:p>
        </w:tc>
        <w:tc>
          <w:tcPr>
            <w:tcW w:w="2900" w:type="dxa"/>
            <w:vAlign w:val="center"/>
          </w:tcPr>
          <w:p>
            <w:pPr>
              <w:pStyle w:val="TableText"/>
            </w:pPr>
            <w:r>
              <w:t>About -66.7% at days 13 and 14</w:t>
            </w:r>
          </w:p>
        </w:tc>
        <w:tc>
          <w:tcPr>
            <w:tcW w:w="3960" w:type="dxa"/>
            <w:vAlign w:val="center"/>
          </w:tcPr>
          <w:p>
            <w:pPr>
              <w:pStyle w:val="TableText"/>
            </w:pPr>
            <w:r>
              <w:t>Compare holding-period, exposure, and risk constraints</w:t>
            </w:r>
          </w:p>
        </w:tc>
      </w:tr>
      <w:tr>
        <w:trPr>
          <w:cantSplit/>
        </w:trPr>
        <w:tc>
          <w:tcPr>
            <w:tcW w:w="2500" w:type="dxa"/>
            <w:vAlign w:val="center"/>
          </w:tcPr>
          <w:p>
            <w:pPr>
              <w:pStyle w:val="TableText"/>
            </w:pPr>
            <w:r>
              <w:t>Long-horizon bearish skew</w:t>
            </w:r>
          </w:p>
        </w:tc>
        <w:tc>
          <w:tcPr>
            <w:tcW w:w="2900" w:type="dxa"/>
            <w:vAlign w:val="center"/>
          </w:tcPr>
          <w:p>
            <w:pPr>
              <w:pStyle w:val="TableText"/>
            </w:pPr>
            <w:r>
              <w:t>97.27% bearish at day 12</w:t>
            </w:r>
          </w:p>
        </w:tc>
        <w:tc>
          <w:tcPr>
            <w:tcW w:w="3960" w:type="dxa"/>
            <w:vAlign w:val="center"/>
          </w:tcPr>
          <w:p>
            <w:pPr>
              <w:pStyle w:val="TableText"/>
            </w:pPr>
            <w:r>
              <w:t>Fix threshold and position mapping on validation first</w:t>
            </w:r>
          </w:p>
        </w:tc>
      </w:tr>
      <w:tr>
        <w:trPr>
          <w:cantSplit/>
        </w:trPr>
        <w:tc>
          <w:tcPr>
            <w:tcW w:w="2500" w:type="dxa"/>
            <w:vAlign w:val="center"/>
          </w:tcPr>
          <w:p>
            <w:pPr>
              <w:pStyle w:val="TableText"/>
            </w:pPr>
            <w:r>
              <w:t>Year instability</w:t>
            </w:r>
          </w:p>
        </w:tc>
        <w:tc>
          <w:tcPr>
            <w:tcW w:w="2900" w:type="dxa"/>
            <w:vAlign w:val="center"/>
          </w:tcPr>
          <w:p>
            <w:pPr>
              <w:pStyle w:val="TableText"/>
            </w:pPr>
            <w:r>
              <w:t>Mean 2024 correlation is near zero</w:t>
            </w:r>
          </w:p>
        </w:tc>
        <w:tc>
          <w:tcPr>
            <w:tcW w:w="3960" w:type="dxa"/>
            <w:vAlign w:val="center"/>
          </w:tcPr>
          <w:p>
            <w:pPr>
              <w:pStyle w:val="TableText"/>
            </w:pPr>
            <w:r>
              <w:t>Expand year, regime, rolling, and provider stability analysis</w:t>
            </w:r>
          </w:p>
        </w:tc>
      </w:tr>
      <w:tr>
        <w:trPr>
          <w:cantSplit/>
        </w:trPr>
        <w:tc>
          <w:tcPr>
            <w:tcW w:w="2500" w:type="dxa"/>
            <w:vAlign w:val="center"/>
          </w:tcPr>
          <w:p>
            <w:pPr>
              <w:pStyle w:val="TableText"/>
            </w:pPr>
            <w:r>
              <w:t>Simplified costs</w:t>
            </w:r>
          </w:p>
        </w:tc>
        <w:tc>
          <w:tcPr>
            <w:tcW w:w="2900" w:type="dxa"/>
            <w:vAlign w:val="center"/>
          </w:tcPr>
          <w:p>
            <w:pPr>
              <w:pStyle w:val="TableText"/>
            </w:pPr>
            <w:r>
              <w:t>Fixed 10 bps per unit turnover</w:t>
            </w:r>
          </w:p>
        </w:tc>
        <w:tc>
          <w:tcPr>
            <w:tcW w:w="3960" w:type="dxa"/>
            <w:vAlign w:val="center"/>
          </w:tcPr>
          <w:p>
            <w:pPr>
              <w:pStyle w:val="TableText"/>
            </w:pPr>
            <w:r>
              <w:t>Add slippage, impact, borrow, capacity, and tax scenarios</w:t>
            </w:r>
          </w:p>
        </w:tc>
      </w:tr>
    </w:tbl>
    <w:p>
      <w:pPr>
        <w:pStyle w:val="Lead"/>
      </w:pPr>
      <w:r>
        <w:t>Final assessment: the model shows a broad validation advantage in distribution error and cross-sectional ranking across days 1 through 14. Long-horizon drawdown, bearish skew, year instability, and the single seed still prevent a deployment conclusion.</w:t>
      </w:r>
    </w:p>
    <w:p>
      <w:pPr>
        <w:pStyle w:val="a"/>
        <w:spacing w:after="0"/>
      </w:pPr>
      <w:r>
        <w:br w:type="page"/>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 1-14 score</w:t>
            </w:r>
          </w:p>
        </w:tc>
        <w:tc>
          <w:tcPr>
            <w:tcW w:w="1330" w:type="dxa"/>
            <w:shd w:val="clear" w:fill="DCE6F1"/>
            <w:vAlign w:val="center"/>
          </w:tcPr>
          <w:p>
            <w:pPr>
              <w:pStyle w:val="TableHeader"/>
            </w:pPr>
            <w:r>
              <w:t>Day 1</w:t>
            </w:r>
          </w:p>
        </w:tc>
        <w:tc>
          <w:tcPr>
            <w:tcW w:w="1330" w:type="dxa"/>
            <w:shd w:val="clear" w:fill="DCE6F1"/>
            <w:vAlign w:val="center"/>
          </w:tcPr>
          <w:p>
            <w:pPr>
              <w:pStyle w:val="TableHeader"/>
            </w:pPr>
            <w:r>
              <w:t>Day 7</w:t>
            </w:r>
          </w:p>
        </w:tc>
        <w:tc>
          <w:tcPr>
            <w:tcW w:w="1350" w:type="dxa"/>
            <w:shd w:val="clear" w:fill="DCE6F1"/>
            <w:vAlign w:val="center"/>
          </w:tcPr>
          <w:p>
            <w:pPr>
              <w:pStyle w:val="TableHeader"/>
            </w:pPr>
            <w:r>
              <w:t>Day 14</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0.314759</w:t>
            </w:r>
          </w:p>
        </w:tc>
        <w:tc>
          <w:tcPr>
            <w:tcW w:w="1330" w:type="dxa"/>
            <w:shd w:val="clear" w:fill="EDF5FC"/>
            <w:vAlign w:val="center"/>
          </w:tcPr>
          <w:p>
            <w:pPr>
              <w:pStyle w:val="TableNumber"/>
            </w:pPr>
            <w:r>
              <w:t>0.3748</w:t>
            </w:r>
          </w:p>
        </w:tc>
        <w:tc>
          <w:tcPr>
            <w:tcW w:w="1330" w:type="dxa"/>
            <w:shd w:val="clear" w:fill="EDF5FC"/>
            <w:vAlign w:val="center"/>
          </w:tcPr>
          <w:p>
            <w:pPr>
              <w:pStyle w:val="TableNumber"/>
            </w:pPr>
            <w:r>
              <w:t>0.3117</w:t>
            </w:r>
          </w:p>
        </w:tc>
        <w:tc>
          <w:tcPr>
            <w:tcW w:w="1350" w:type="dxa"/>
            <w:shd w:val="clear" w:fill="EDF5FC"/>
            <w:vAlign w:val="center"/>
          </w:tcPr>
          <w:p>
            <w:pPr>
              <w:pStyle w:val="TableNumber"/>
            </w:pPr>
            <w:r>
              <w:t>0.2921</w:t>
            </w:r>
          </w:p>
        </w:tc>
      </w:tr>
      <w:tr>
        <w:trPr>
          <w:cantSplit/>
        </w:trPr>
        <w:tc>
          <w:tcPr>
            <w:tcW w:w="650" w:type="dxa"/>
            <w:vAlign w:val="center"/>
          </w:tcPr>
          <w:p>
            <w:pPr>
              <w:pStyle w:val="TableNumber"/>
            </w:pPr>
            <w:r>
              <w:t>2</w:t>
            </w:r>
          </w:p>
        </w:tc>
        <w:tc>
          <w:tcPr>
            <w:tcW w:w="2800" w:type="dxa"/>
            <w:vAlign w:val="center"/>
          </w:tcPr>
          <w:p>
            <w:pPr>
              <w:pStyle w:val="TableText"/>
            </w:pPr>
            <w:r>
              <w:t>Paired GRU</w:t>
            </w:r>
          </w:p>
        </w:tc>
        <w:tc>
          <w:tcPr>
            <w:tcW w:w="1900" w:type="dxa"/>
            <w:vAlign w:val="center"/>
          </w:tcPr>
          <w:p>
            <w:pPr>
              <w:pStyle w:val="TableNumber"/>
            </w:pPr>
            <w:r>
              <w:t>0.336588</w:t>
            </w:r>
          </w:p>
        </w:tc>
        <w:tc>
          <w:tcPr>
            <w:tcW w:w="1330" w:type="dxa"/>
            <w:vAlign w:val="center"/>
          </w:tcPr>
          <w:p>
            <w:pPr>
              <w:pStyle w:val="TableNumber"/>
            </w:pPr>
            <w:r>
              <w:t>0.3762</w:t>
            </w:r>
          </w:p>
        </w:tc>
        <w:tc>
          <w:tcPr>
            <w:tcW w:w="1330" w:type="dxa"/>
            <w:vAlign w:val="center"/>
          </w:tcPr>
          <w:p>
            <w:pPr>
              <w:pStyle w:val="TableNumber"/>
            </w:pPr>
            <w:r>
              <w:t>0.3335</w:t>
            </w:r>
          </w:p>
        </w:tc>
        <w:tc>
          <w:tcPr>
            <w:tcW w:w="1350" w:type="dxa"/>
            <w:vAlign w:val="center"/>
          </w:tcPr>
          <w:p>
            <w:pPr>
              <w:pStyle w:val="TableNumber"/>
            </w:pPr>
            <w:r>
              <w:t>0.3290</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0.344088</w:t>
            </w:r>
          </w:p>
        </w:tc>
        <w:tc>
          <w:tcPr>
            <w:tcW w:w="1330" w:type="dxa"/>
            <w:vAlign w:val="center"/>
          </w:tcPr>
          <w:p>
            <w:pPr>
              <w:pStyle w:val="TableNumber"/>
            </w:pPr>
            <w:r>
              <w:t>0.4054</w:t>
            </w:r>
          </w:p>
        </w:tc>
        <w:tc>
          <w:tcPr>
            <w:tcW w:w="1330" w:type="dxa"/>
            <w:vAlign w:val="center"/>
          </w:tcPr>
          <w:p>
            <w:pPr>
              <w:pStyle w:val="TableNumber"/>
            </w:pPr>
            <w:r>
              <w:t>0.3487</w:t>
            </w:r>
          </w:p>
        </w:tc>
        <w:tc>
          <w:tcPr>
            <w:tcW w:w="1350" w:type="dxa"/>
            <w:vAlign w:val="center"/>
          </w:tcPr>
          <w:p>
            <w:pPr>
              <w:pStyle w:val="TableNumber"/>
            </w:pPr>
            <w:r>
              <w:t>0.3334</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0.344933</w:t>
            </w:r>
          </w:p>
        </w:tc>
        <w:tc>
          <w:tcPr>
            <w:tcW w:w="1330" w:type="dxa"/>
            <w:vAlign w:val="center"/>
          </w:tcPr>
          <w:p>
            <w:pPr>
              <w:pStyle w:val="TableNumber"/>
            </w:pPr>
            <w:r>
              <w:t>0.3741</w:t>
            </w:r>
          </w:p>
        </w:tc>
        <w:tc>
          <w:tcPr>
            <w:tcW w:w="1330" w:type="dxa"/>
            <w:vAlign w:val="center"/>
          </w:tcPr>
          <w:p>
            <w:pPr>
              <w:pStyle w:val="TableNumber"/>
            </w:pPr>
            <w:r>
              <w:t>0.3403</w:t>
            </w:r>
          </w:p>
        </w:tc>
        <w:tc>
          <w:tcPr>
            <w:tcW w:w="1350" w:type="dxa"/>
            <w:vAlign w:val="center"/>
          </w:tcPr>
          <w:p>
            <w:pPr>
              <w:pStyle w:val="TableNumber"/>
            </w:pPr>
            <w:r>
              <w:t>0.3439</w:t>
            </w:r>
          </w:p>
        </w:tc>
      </w:tr>
      <w:tr>
        <w:trPr>
          <w:cantSplit/>
        </w:trPr>
        <w:tc>
          <w:tcPr>
            <w:tcW w:w="650" w:type="dxa"/>
            <w:vAlign w:val="center"/>
          </w:tcPr>
          <w:p>
            <w:pPr>
              <w:pStyle w:val="TableNumber"/>
            </w:pPr>
            <w:r>
              <w:t>5</w:t>
            </w:r>
          </w:p>
        </w:tc>
        <w:tc>
          <w:tcPr>
            <w:tcW w:w="2800" w:type="dxa"/>
            <w:vAlign w:val="center"/>
          </w:tcPr>
          <w:p>
            <w:pPr>
              <w:pStyle w:val="TableText"/>
            </w:pPr>
            <w:r>
              <w:t>Always-buy distribution</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6</w:t>
            </w:r>
          </w:p>
        </w:tc>
        <w:tc>
          <w:tcPr>
            <w:tcW w:w="2800" w:type="dxa"/>
            <w:vAlign w:val="center"/>
          </w:tcPr>
          <w:p>
            <w:pPr>
              <w:pStyle w:val="TableText"/>
            </w:pPr>
            <w:r>
              <w:t>Zero-return distribution</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7</w:t>
            </w:r>
          </w:p>
        </w:tc>
        <w:tc>
          <w:tcPr>
            <w:tcW w:w="2800" w:type="dxa"/>
            <w:vAlign w:val="center"/>
          </w:tcPr>
          <w:p>
            <w:pPr>
              <w:pStyle w:val="TableText"/>
            </w:pPr>
            <w:r>
              <w:t>MACD rule</w:t>
            </w:r>
          </w:p>
        </w:tc>
        <w:tc>
          <w:tcPr>
            <w:tcW w:w="1900" w:type="dxa"/>
            <w:vAlign w:val="center"/>
          </w:tcPr>
          <w:p>
            <w:pPr>
              <w:pStyle w:val="TableNumber"/>
            </w:pPr>
            <w:r>
              <w:t>0.365315</w:t>
            </w:r>
          </w:p>
        </w:tc>
        <w:tc>
          <w:tcPr>
            <w:tcW w:w="1330" w:type="dxa"/>
            <w:vAlign w:val="center"/>
          </w:tcPr>
          <w:p>
            <w:pPr>
              <w:pStyle w:val="TableNumber"/>
            </w:pPr>
            <w:r>
              <w:t>0.4116</w:t>
            </w:r>
          </w:p>
        </w:tc>
        <w:tc>
          <w:tcPr>
            <w:tcW w:w="1330" w:type="dxa"/>
            <w:vAlign w:val="center"/>
          </w:tcPr>
          <w:p>
            <w:pPr>
              <w:pStyle w:val="TableNumber"/>
            </w:pPr>
            <w:r>
              <w:t>0.3602</w:t>
            </w:r>
          </w:p>
        </w:tc>
        <w:tc>
          <w:tcPr>
            <w:tcW w:w="1350" w:type="dxa"/>
            <w:vAlign w:val="center"/>
          </w:tcPr>
          <w:p>
            <w:pPr>
              <w:pStyle w:val="TableNumber"/>
            </w:pPr>
            <w:r>
              <w:t>0.3570</w:t>
            </w:r>
          </w:p>
        </w:tc>
      </w:tr>
      <w:tr>
        <w:trPr>
          <w:cantSplit/>
        </w:trPr>
        <w:tc>
          <w:tcPr>
            <w:tcW w:w="650" w:type="dxa"/>
            <w:vAlign w:val="center"/>
          </w:tcPr>
          <w:p>
            <w:pPr>
              <w:pStyle w:val="TableNumber"/>
            </w:pPr>
            <w:r>
              <w:t>8</w:t>
            </w:r>
          </w:p>
        </w:tc>
        <w:tc>
          <w:tcPr>
            <w:tcW w:w="2800" w:type="dxa"/>
            <w:vAlign w:val="center"/>
          </w:tcPr>
          <w:p>
            <w:pPr>
              <w:pStyle w:val="TableText"/>
            </w:pPr>
            <w:r>
              <w:t>MA crossover</w:t>
            </w:r>
          </w:p>
        </w:tc>
        <w:tc>
          <w:tcPr>
            <w:tcW w:w="1900" w:type="dxa"/>
            <w:vAlign w:val="center"/>
          </w:tcPr>
          <w:p>
            <w:pPr>
              <w:pStyle w:val="TableNumber"/>
            </w:pPr>
            <w:r>
              <w:t>0.404804</w:t>
            </w:r>
          </w:p>
        </w:tc>
        <w:tc>
          <w:tcPr>
            <w:tcW w:w="1330" w:type="dxa"/>
            <w:vAlign w:val="center"/>
          </w:tcPr>
          <w:p>
            <w:pPr>
              <w:pStyle w:val="TableNumber"/>
            </w:pPr>
            <w:r>
              <w:t>0.4180</w:t>
            </w:r>
          </w:p>
        </w:tc>
        <w:tc>
          <w:tcPr>
            <w:tcW w:w="1330" w:type="dxa"/>
            <w:vAlign w:val="center"/>
          </w:tcPr>
          <w:p>
            <w:pPr>
              <w:pStyle w:val="TableNumber"/>
            </w:pPr>
            <w:r>
              <w:t>0.3975</w:t>
            </w:r>
          </w:p>
        </w:tc>
        <w:tc>
          <w:tcPr>
            <w:tcW w:w="1350" w:type="dxa"/>
            <w:vAlign w:val="center"/>
          </w:tcPr>
          <w:p>
            <w:pPr>
              <w:pStyle w:val="TableNumber"/>
            </w:pPr>
            <w:r>
              <w:t>0.4283</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0.405290</w:t>
            </w:r>
          </w:p>
        </w:tc>
        <w:tc>
          <w:tcPr>
            <w:tcW w:w="1330" w:type="dxa"/>
            <w:vAlign w:val="center"/>
          </w:tcPr>
          <w:p>
            <w:pPr>
              <w:pStyle w:val="TableNumber"/>
            </w:pPr>
            <w:r>
              <w:t>0.5413</w:t>
            </w:r>
          </w:p>
        </w:tc>
        <w:tc>
          <w:tcPr>
            <w:tcW w:w="1330" w:type="dxa"/>
            <w:vAlign w:val="center"/>
          </w:tcPr>
          <w:p>
            <w:pPr>
              <w:pStyle w:val="TableNumber"/>
            </w:pPr>
            <w:r>
              <w:t>0.3895</w:t>
            </w:r>
          </w:p>
        </w:tc>
        <w:tc>
          <w:tcPr>
            <w:tcW w:w="1350" w:type="dxa"/>
            <w:vAlign w:val="center"/>
          </w:tcPr>
          <w:p>
            <w:pPr>
              <w:pStyle w:val="TableNumber"/>
            </w:pPr>
            <w:r>
              <w:t>0.3848</w:t>
            </w:r>
          </w:p>
        </w:tc>
      </w:tr>
      <w:tr>
        <w:trPr>
          <w:cantSplit/>
        </w:trPr>
        <w:tc>
          <w:tcPr>
            <w:tcW w:w="650" w:type="dxa"/>
            <w:vAlign w:val="center"/>
          </w:tcPr>
          <w:p>
            <w:pPr>
              <w:pStyle w:val="TableNumber"/>
            </w:pPr>
            <w:r>
              <w:t>10</w:t>
            </w:r>
          </w:p>
        </w:tc>
        <w:tc>
          <w:tcPr>
            <w:tcW w:w="2800" w:type="dxa"/>
            <w:vAlign w:val="center"/>
          </w:tcPr>
          <w:p>
            <w:pPr>
              <w:pStyle w:val="TableText"/>
            </w:pPr>
            <w:r>
              <w:t>RSI rule</w:t>
            </w:r>
          </w:p>
        </w:tc>
        <w:tc>
          <w:tcPr>
            <w:tcW w:w="1900" w:type="dxa"/>
            <w:vAlign w:val="center"/>
          </w:tcPr>
          <w:p>
            <w:pPr>
              <w:pStyle w:val="TableNumber"/>
            </w:pPr>
            <w:r>
              <w:t>0.432191</w:t>
            </w:r>
          </w:p>
        </w:tc>
        <w:tc>
          <w:tcPr>
            <w:tcW w:w="1330" w:type="dxa"/>
            <w:vAlign w:val="center"/>
          </w:tcPr>
          <w:p>
            <w:pPr>
              <w:pStyle w:val="TableNumber"/>
            </w:pPr>
            <w:r>
              <w:t>0.4255</w:t>
            </w:r>
          </w:p>
        </w:tc>
        <w:tc>
          <w:tcPr>
            <w:tcW w:w="1330" w:type="dxa"/>
            <w:vAlign w:val="center"/>
          </w:tcPr>
          <w:p>
            <w:pPr>
              <w:pStyle w:val="TableNumber"/>
            </w:pPr>
            <w:r>
              <w:t>0.4262</w:t>
            </w:r>
          </w:p>
        </w:tc>
        <w:tc>
          <w:tcPr>
            <w:tcW w:w="1350" w:type="dxa"/>
            <w:vAlign w:val="center"/>
          </w:tcPr>
          <w:p>
            <w:pPr>
              <w:pStyle w:val="TableNumber"/>
            </w:pPr>
            <w:r>
              <w:t>0.4710</w:t>
            </w:r>
          </w:p>
        </w:tc>
      </w:tr>
      <w:tr>
        <w:trPr>
          <w:cantSplit/>
        </w:trPr>
        <w:tc>
          <w:tcPr>
            <w:tcW w:w="650" w:type="dxa"/>
            <w:vAlign w:val="center"/>
          </w:tcPr>
          <w:p>
            <w:pPr>
              <w:pStyle w:val="TableNumber"/>
            </w:pPr>
            <w:r>
              <w:t>11</w:t>
            </w:r>
          </w:p>
        </w:tc>
        <w:tc>
          <w:tcPr>
            <w:tcW w:w="2800" w:type="dxa"/>
            <w:vAlign w:val="center"/>
          </w:tcPr>
          <w:p>
            <w:pPr>
              <w:pStyle w:val="TableText"/>
            </w:pPr>
            <w:r>
              <w:t>Volatility-scaled rule</w:t>
            </w:r>
          </w:p>
        </w:tc>
        <w:tc>
          <w:tcPr>
            <w:tcW w:w="1900" w:type="dxa"/>
            <w:vAlign w:val="center"/>
          </w:tcPr>
          <w:p>
            <w:pPr>
              <w:pStyle w:val="TableNumber"/>
            </w:pPr>
            <w:r>
              <w:t>0.566933</w:t>
            </w:r>
          </w:p>
        </w:tc>
        <w:tc>
          <w:tcPr>
            <w:tcW w:w="1330" w:type="dxa"/>
            <w:vAlign w:val="center"/>
          </w:tcPr>
          <w:p>
            <w:pPr>
              <w:pStyle w:val="TableNumber"/>
            </w:pPr>
            <w:r>
              <w:t>0.4548</w:t>
            </w:r>
          </w:p>
        </w:tc>
        <w:tc>
          <w:tcPr>
            <w:tcW w:w="1330" w:type="dxa"/>
            <w:vAlign w:val="center"/>
          </w:tcPr>
          <w:p>
            <w:pPr>
              <w:pStyle w:val="TableNumber"/>
            </w:pPr>
            <w:r>
              <w:t>0.5634</w:t>
            </w:r>
          </w:p>
        </w:tc>
        <w:tc>
          <w:tcPr>
            <w:tcW w:w="1350" w:type="dxa"/>
            <w:vAlign w:val="center"/>
          </w:tcPr>
          <w:p>
            <w:pPr>
              <w:pStyle w:val="TableNumber"/>
            </w:pPr>
            <w:r>
              <w:t>0.6839</w:t>
            </w:r>
          </w:p>
        </w:tc>
      </w:tr>
      <w:tr>
        <w:trPr>
          <w:cantSplit/>
        </w:trPr>
        <w:tc>
          <w:tcPr>
            <w:tcW w:w="650" w:type="dxa"/>
            <w:vAlign w:val="center"/>
          </w:tcPr>
          <w:p>
            <w:pPr>
              <w:pStyle w:val="TableNumber"/>
            </w:pPr>
            <w:r>
              <w:t>12</w:t>
            </w:r>
          </w:p>
        </w:tc>
        <w:tc>
          <w:tcPr>
            <w:tcW w:w="2800" w:type="dxa"/>
            <w:vAlign w:val="center"/>
          </w:tcPr>
          <w:p>
            <w:pPr>
              <w:pStyle w:val="TableText"/>
            </w:pPr>
            <w:r>
              <w:t>5-day reversal</w:t>
            </w:r>
          </w:p>
        </w:tc>
        <w:tc>
          <w:tcPr>
            <w:tcW w:w="1900" w:type="dxa"/>
            <w:vAlign w:val="center"/>
          </w:tcPr>
          <w:p>
            <w:pPr>
              <w:pStyle w:val="TableNumber"/>
            </w:pPr>
            <w:r>
              <w:t>0.571595</w:t>
            </w:r>
          </w:p>
        </w:tc>
        <w:tc>
          <w:tcPr>
            <w:tcW w:w="1330" w:type="dxa"/>
            <w:vAlign w:val="center"/>
          </w:tcPr>
          <w:p>
            <w:pPr>
              <w:pStyle w:val="TableNumber"/>
            </w:pPr>
            <w:r>
              <w:t>0.4586</w:t>
            </w:r>
          </w:p>
        </w:tc>
        <w:tc>
          <w:tcPr>
            <w:tcW w:w="1330" w:type="dxa"/>
            <w:vAlign w:val="center"/>
          </w:tcPr>
          <w:p>
            <w:pPr>
              <w:pStyle w:val="TableNumber"/>
            </w:pPr>
            <w:r>
              <w:t>0.5629</w:t>
            </w:r>
          </w:p>
        </w:tc>
        <w:tc>
          <w:tcPr>
            <w:tcW w:w="1350" w:type="dxa"/>
            <w:vAlign w:val="center"/>
          </w:tcPr>
          <w:p>
            <w:pPr>
              <w:pStyle w:val="TableNumber"/>
            </w:pPr>
            <w:r>
              <w:t>0.7012</w:t>
            </w:r>
          </w:p>
        </w:tc>
      </w:tr>
      <w:tr>
        <w:trPr>
          <w:cantSplit/>
        </w:trPr>
        <w:tc>
          <w:tcPr>
            <w:tcW w:w="650" w:type="dxa"/>
            <w:vAlign w:val="center"/>
          </w:tcPr>
          <w:p>
            <w:pPr>
              <w:pStyle w:val="TableNumber"/>
            </w:pPr>
            <w:r>
              <w:t>13</w:t>
            </w:r>
          </w:p>
        </w:tc>
        <w:tc>
          <w:tcPr>
            <w:tcW w:w="2800" w:type="dxa"/>
            <w:vAlign w:val="center"/>
          </w:tcPr>
          <w:p>
            <w:pPr>
              <w:pStyle w:val="TableText"/>
            </w:pPr>
            <w:r>
              <w:t>5-day momentum</w:t>
            </w:r>
          </w:p>
        </w:tc>
        <w:tc>
          <w:tcPr>
            <w:tcW w:w="1900" w:type="dxa"/>
            <w:vAlign w:val="center"/>
          </w:tcPr>
          <w:p>
            <w:pPr>
              <w:pStyle w:val="TableNumber"/>
            </w:pPr>
            <w:r>
              <w:t>0.588425</w:t>
            </w:r>
          </w:p>
        </w:tc>
        <w:tc>
          <w:tcPr>
            <w:tcW w:w="1330" w:type="dxa"/>
            <w:vAlign w:val="center"/>
          </w:tcPr>
          <w:p>
            <w:pPr>
              <w:pStyle w:val="TableNumber"/>
            </w:pPr>
            <w:r>
              <w:t>0.4608</w:t>
            </w:r>
          </w:p>
        </w:tc>
        <w:tc>
          <w:tcPr>
            <w:tcW w:w="1330" w:type="dxa"/>
            <w:vAlign w:val="center"/>
          </w:tcPr>
          <w:p>
            <w:pPr>
              <w:pStyle w:val="TableNumber"/>
            </w:pPr>
            <w:r>
              <w:t>0.5853</w:t>
            </w:r>
          </w:p>
        </w:tc>
        <w:tc>
          <w:tcPr>
            <w:tcW w:w="1350" w:type="dxa"/>
            <w:vAlign w:val="center"/>
          </w:tcPr>
          <w:p>
            <w:pPr>
              <w:pStyle w:val="TableNumber"/>
            </w:pPr>
            <w:r>
              <w:t>0.7159</w:t>
            </w:r>
          </w:p>
        </w:tc>
      </w:tr>
    </w:tbl>
    <w:p>
      <w:pPr>
        <w:pStyle w:val="Note"/>
      </w:pPr>
      <w:r>
        <w:t>All learned baselines use seed 42. Primary ranking uses only the 14-horizon selection score.</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use</w:t>
            </w:r>
          </w:p>
        </w:tc>
      </w:tr>
      <w:tr>
        <w:trPr>
          <w:cantSplit/>
        </w:trPr>
        <w:tc>
          <w:tcPr>
            <w:tcW w:w="3000" w:type="dxa"/>
            <w:vAlign w:val="center"/>
          </w:tcPr>
          <w:p>
            <w:pPr>
              <w:pStyle w:val="TableText"/>
            </w:pPr>
            <w:r>
              <w:t>Run ID</w:t>
            </w:r>
          </w:p>
        </w:tc>
        <w:tc>
          <w:tcPr>
            <w:tcW w:w="6360" w:type="dxa"/>
            <w:vAlign w:val="center"/>
          </w:tcPr>
          <w:p>
            <w:pPr>
              <w:pStyle w:val="TableText"/>
            </w:pPr>
            <w:r>
              <w:t>run-20260903T140429Z-1247813592</w:t>
            </w:r>
          </w:p>
        </w:tc>
      </w:tr>
      <w:tr>
        <w:trPr>
          <w:cantSplit/>
        </w:trPr>
        <w:tc>
          <w:tcPr>
            <w:tcW w:w="3000" w:type="dxa"/>
            <w:vAlign w:val="center"/>
          </w:tcPr>
          <w:p>
            <w:pPr>
              <w:pStyle w:val="TableText"/>
            </w:pPr>
            <w:r>
              <w:t>Best checkpoint</w:t>
            </w:r>
          </w:p>
        </w:tc>
        <w:tc>
          <w:tcPr>
            <w:tcW w:w="6360" w:type="dxa"/>
            <w:vAlign w:val="center"/>
          </w:tcPr>
          <w:p>
            <w:pPr>
              <w:pStyle w:val="TableText"/>
            </w:pPr>
            <w:r>
              <w:t>checkpoint-003908; selection score 0.31475936576408564</w:t>
            </w:r>
          </w:p>
        </w:tc>
      </w:tr>
      <w:tr>
        <w:trPr>
          <w:cantSplit/>
        </w:trPr>
        <w:tc>
          <w:tcPr>
            <w:tcW w:w="3000" w:type="dxa"/>
            <w:vAlign w:val="center"/>
          </w:tcPr>
          <w:p>
            <w:pPr>
              <w:pStyle w:val="TableText"/>
            </w:pPr>
            <w:r>
              <w:t>Output schema</w:t>
            </w:r>
          </w:p>
        </w:tc>
        <w:tc>
          <w:tcPr>
            <w:tcW w:w="6360" w:type="dxa"/>
            <w:vAlign w:val="center"/>
          </w:tcPr>
          <w:p>
            <w:pPr>
              <w:pStyle w:val="TableText"/>
            </w:pPr>
            <w:r>
              <w:t>model_output_schema_version=5.0; horizons 1-14; q10/q50/q90</w:t>
            </w:r>
          </w:p>
        </w:tc>
      </w:tr>
      <w:tr>
        <w:trPr>
          <w:cantSplit/>
        </w:trPr>
        <w:tc>
          <w:tcPr>
            <w:tcW w:w="3000" w:type="dxa"/>
            <w:vAlign w:val="center"/>
          </w:tcPr>
          <w:p>
            <w:pPr>
              <w:pStyle w:val="TableText"/>
            </w:pPr>
            <w:r>
              <w:t>Validation state</w:t>
            </w:r>
          </w:p>
        </w:tc>
        <w:tc>
          <w:tcPr>
            <w:tcW w:w="6360" w:type="dxa"/>
            <w:vAlign w:val="center"/>
          </w:tcPr>
          <w:p>
            <w:pPr>
              <w:pStyle w:val="TableText"/>
            </w:pPr>
            <w:r>
              <w:t>ready; exit code 0; test_unlocked=false</w:t>
            </w:r>
          </w:p>
        </w:tc>
      </w:tr>
      <w:tr>
        <w:trPr>
          <w:cantSplit/>
        </w:trPr>
        <w:tc>
          <w:tcPr>
            <w:tcW w:w="3000" w:type="dxa"/>
            <w:vAlign w:val="center"/>
          </w:tcPr>
          <w:p>
            <w:pPr>
              <w:pStyle w:val="TableText"/>
            </w:pPr>
            <w:r>
              <w:t>Dataset request SHA-256</w:t>
            </w:r>
          </w:p>
        </w:tc>
        <w:tc>
          <w:tcPr>
            <w:tcW w:w="6360" w:type="dxa"/>
            <w:vAlign w:val="center"/>
          </w:tcPr>
          <w:p>
            <w:pPr>
              <w:pStyle w:val="TableText"/>
            </w:pPr>
            <w:r>
              <w:t>bbe0e0662867673393b742822ffc54ac5476e10015bfaacef02831560a8e3bf0</w:t>
            </w:r>
          </w:p>
        </w:tc>
      </w:tr>
      <w:tr>
        <w:trPr>
          <w:cantSplit/>
        </w:trPr>
        <w:tc>
          <w:tcPr>
            <w:tcW w:w="3000" w:type="dxa"/>
            <w:vAlign w:val="center"/>
          </w:tcPr>
          <w:p>
            <w:pPr>
              <w:pStyle w:val="TableText"/>
            </w:pPr>
            <w:r>
              <w:t>Primary artifacts</w:t>
            </w:r>
          </w:p>
        </w:tc>
        <w:tc>
          <w:tcPr>
            <w:tcW w:w="6360" w:type="dxa"/>
            <w:vAlign w:val="center"/>
          </w:tcPr>
          <w:p>
            <w:pPr>
              <w:pStyle w:val="TableText"/>
            </w:pPr>
            <w:r>
              <w:t>best-checkpoint.json; checkpoint-leaderboard.json; training-result.json; validation-benchmark.json; resolved-config.yaml; run-manifest.json</w:t>
            </w:r>
          </w:p>
        </w:tc>
      </w:tr>
    </w:tbl>
    <w:p>
      <w:pPr>
        <w:pStyle w:val="Note"/>
      </w:pPr>
      <w:r>
        <w:t>All values come directly from run artifacts. This report did not retrain, resample, or unlock test.</w:t>
      </w:r>
    </w:p>
    <w:sectPr w:rsidR="00A97D95">
      <w:footerReference r: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One to Fourteen Day Alpha Validation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Quant-only Alpha Model Performance Evaluation | run-20260903T140429Z-1247813592</dc:title>
  <dc:subject>Stage 1 validation report using schema 5.0 outputs</dc:subject>
  <dc:creator>stock_forecasting project</dc:creator>
  <ns0:keywords>Kronos, quantile forecast, benchmark-relative alpha, pinball loss, RankIC, validation</ns0:keywords>
  <dc:description>Bilingual Stage 1 model performance evaluation based on immutable run artifacts.</dc:description>
  <ns0:lastModifiedBy>鷹揚 牧野</ns0:lastModifiedBy>
  <ns0:revision>2</ns0:revision>
  <dcterms:created xsi:type="dcterms:W3CDTF">2026-07-17T00:00:00Z</dcterms:created>
  <dcterms:modified xsi:type="dcterms:W3CDTF">2026-09-04T15:59:25Z</dcterms:modified>
</ns0:coreProperties>
</file>