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Kicker"/>
      </w:pPr>
      <w:r>
        <w:t>模型效能評估報告</w:t>
      </w:r>
    </w:p>
    <w:p>
      <w:pPr>
        <w:pStyle w:val="ReportTitle"/>
      </w:pPr>
      <w:r>
        <w:t>1 至 14 日 Alpha 預測驗證</w:t>
      </w:r>
    </w:p>
    <w:p>
      <w:pPr>
        <w:pStyle w:val="1"/>
      </w:pPr>
      <w:r>
        <w:t>Stage 2｜run-20260903T184811Z-81563229</w:t>
      </w:r>
    </w:p>
    <w:p>
      <w:pPr>
        <w:pStyle w:val="Metadata"/>
      </w:pPr>
      <w:r>
        <w:t>報告日期：2026-09-05</w:t>
      </w:r>
    </w:p>
    <w:p>
      <w:pPr>
        <w:pStyle w:val="Metadata"/>
      </w:pPr>
      <w:r>
        <w:t>最佳 checkpoint：checkpoint-028982（global step 28,982）</w:t>
      </w:r>
    </w:p>
    <w:p>
      <w:pPr>
        <w:pStyle w:val="Metadata"/>
      </w:pPr>
      <w:r>
        <w:t>選模資料：validation；test split 仍鎖定</w:t>
      </w:r>
    </w:p>
    <w:p>
      <w:pPr>
        <w:pStyle w:val="Lead"/>
      </w:pPr>
      <w:r>
        <w:t>結論：Stage 2 最佳 checkpoint 的 1 至 14 日 selection score 為 0.307166，在 13 個模型中最低，也比 Stage 1 降低 2.41%。逐 horizon 的 normalized pinball 有 13 個第一名，1 日排名第三；14 個 horizon 的 RankIC 與成本後 Sharpe 都排名第一。這些結果支持保留本模型作為候選版本，但 q10 至 q90 全 horizon 低覆蓋、長天期最大回撤、單一 seed、test 未解鎖及訓練 lifecycle 的非零 exit code 仍阻止部署或實盤結論。</w:t>
      </w:r>
    </w:p>
    <w:p>
      <w:pPr>
        <w:pStyle w:val="11"/>
      </w:pPr>
      <w:r>
        <w:t>1. 執行摘要</w:t>
      </w:r>
    </w:p>
    <w:p>
      <w:pPr>
        <w:pStyle w:val="21"/>
      </w:pPr>
      <w:r>
        <w:t>1.1 評估單位是全部 14 個 horizon</w:t>
      </w:r>
    </w:p>
    <w:p>
      <w:pPr>
        <w:pStyle w:val="a"/>
      </w:pPr>
      <w:r>
        <w:t>每筆樣本包含 14 組獨立的 q10、q50、q90，分別回答持有 1、2、一直到 14 個共同交易日後，相對 benchmark 的可能報酬分布。selection score 是 14 個 horizon 的 normalized pinball 等權平均；報告中的逐 horizon 表格則檢查模型是否只在少數天期表現好。</w:t>
      </w:r>
    </w:p>
    <w:p>
      <w:pPr>
        <w:pStyle w:val="Decision"/>
        <w:keepNext/>
        <w:spacing w:after="80"/>
      </w:pPr>
      <w:r>
        <w:t>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全 horizon selection score</w:t>
            </w:r>
          </w:p>
        </w:tc>
        <w:tc>
          <w:tcPr>
            <w:tcW w:w="2800" w:type="dxa"/>
            <w:vAlign w:val="center"/>
          </w:tcPr>
          <w:p>
            <w:pPr>
              <w:pStyle w:val="TableNumber"/>
            </w:pPr>
            <w:r>
              <w:t>0.307166</w:t>
            </w:r>
          </w:p>
        </w:tc>
        <w:tc>
          <w:tcPr>
            <w:tcW w:w="3910" w:type="dxa"/>
            <w:vAlign w:val="center"/>
          </w:tcPr>
          <w:p>
            <w:pPr>
              <w:pStyle w:val="TableText"/>
            </w:pPr>
            <w:r>
              <w:t>13 模型第 1 名；14 個 horizon 等權</w:t>
            </w:r>
          </w:p>
        </w:tc>
      </w:tr>
      <w:tr>
        <w:trPr>
          <w:cantSplit/>
        </w:trPr>
        <w:tc>
          <w:tcPr>
            <w:tcW w:w="2650" w:type="dxa"/>
            <w:vAlign w:val="center"/>
          </w:tcPr>
          <w:p>
            <w:pPr>
              <w:pStyle w:val="TableText"/>
            </w:pPr>
            <w:r>
              <w:t>逐 horizon normalized pinball</w:t>
            </w:r>
          </w:p>
        </w:tc>
        <w:tc>
          <w:tcPr>
            <w:tcW w:w="2800" w:type="dxa"/>
            <w:vAlign w:val="center"/>
          </w:tcPr>
          <w:p>
            <w:pPr>
              <w:pStyle w:val="TableNumber"/>
            </w:pPr>
            <w:r>
              <w:t>第 1 名 13 個；第 3 名 1 個</w:t>
            </w:r>
          </w:p>
        </w:tc>
        <w:tc>
          <w:tcPr>
            <w:tcW w:w="3910" w:type="dxa"/>
            <w:vAlign w:val="center"/>
          </w:tcPr>
          <w:p>
            <w:pPr>
              <w:pStyle w:val="TableText"/>
            </w:pPr>
            <w:r>
              <w:t>1 日第 3；2 至 14 日皆第 1</w:t>
            </w:r>
          </w:p>
        </w:tc>
      </w:tr>
      <w:tr>
        <w:trPr>
          <w:cantSplit/>
        </w:trPr>
        <w:tc>
          <w:tcPr>
            <w:tcW w:w="2650" w:type="dxa"/>
            <w:vAlign w:val="center"/>
          </w:tcPr>
          <w:p>
            <w:pPr>
              <w:pStyle w:val="TableText"/>
            </w:pPr>
            <w:r>
              <w:t>q50 Pearson correlation</w:t>
            </w:r>
          </w:p>
        </w:tc>
        <w:tc>
          <w:tcPr>
            <w:tcW w:w="2800" w:type="dxa"/>
            <w:vAlign w:val="center"/>
          </w:tcPr>
          <w:p>
            <w:pPr>
              <w:pStyle w:val="TableNumber"/>
            </w:pPr>
            <w:r>
              <w:t>14／14 為正；0.0460 至 0.1493</w:t>
            </w:r>
          </w:p>
        </w:tc>
        <w:tc>
          <w:tcPr>
            <w:tcW w:w="3910" w:type="dxa"/>
            <w:vAlign w:val="center"/>
          </w:tcPr>
          <w:p>
            <w:pPr>
              <w:pStyle w:val="TableText"/>
            </w:pPr>
            <w:r>
              <w:t>較長 horizon 整體較高，但仍屬弱相關</w:t>
            </w:r>
          </w:p>
        </w:tc>
      </w:tr>
      <w:tr>
        <w:trPr>
          <w:cantSplit/>
        </w:trPr>
        <w:tc>
          <w:tcPr>
            <w:tcW w:w="2650" w:type="dxa"/>
            <w:vAlign w:val="center"/>
          </w:tcPr>
          <w:p>
            <w:pPr>
              <w:pStyle w:val="TableText"/>
            </w:pPr>
            <w:r>
              <w:t>方向一致率</w:t>
            </w:r>
          </w:p>
        </w:tc>
        <w:tc>
          <w:tcPr>
            <w:tcW w:w="2800" w:type="dxa"/>
            <w:vAlign w:val="center"/>
          </w:tcPr>
          <w:p>
            <w:pPr>
              <w:pStyle w:val="TableNumber"/>
            </w:pPr>
            <w:r>
              <w:t>48.33% 至 55.48%</w:t>
            </w:r>
          </w:p>
        </w:tc>
        <w:tc>
          <w:tcPr>
            <w:tcW w:w="3910" w:type="dxa"/>
            <w:vAlign w:val="center"/>
          </w:tcPr>
          <w:p>
            <w:pPr>
              <w:pStyle w:val="TableText"/>
            </w:pPr>
            <w:r>
              <w:t>12／14 高於 50%；1、2 日低於 50%</w:t>
            </w:r>
          </w:p>
        </w:tc>
      </w:tr>
      <w:tr>
        <w:trPr>
          <w:cantSplit/>
        </w:trPr>
        <w:tc>
          <w:tcPr>
            <w:tcW w:w="2650" w:type="dxa"/>
            <w:vAlign w:val="center"/>
          </w:tcPr>
          <w:p>
            <w:pPr>
              <w:pStyle w:val="TableText"/>
            </w:pPr>
            <w:r>
              <w:t>q10 至 q90 coverage</w:t>
            </w:r>
          </w:p>
        </w:tc>
        <w:tc>
          <w:tcPr>
            <w:tcW w:w="2800" w:type="dxa"/>
            <w:vAlign w:val="center"/>
          </w:tcPr>
          <w:p>
            <w:pPr>
              <w:pStyle w:val="TableNumber"/>
            </w:pPr>
            <w:r>
              <w:t>70.05% 至 74.79%</w:t>
            </w:r>
          </w:p>
        </w:tc>
        <w:tc>
          <w:tcPr>
            <w:tcW w:w="3910" w:type="dxa"/>
            <w:vAlign w:val="center"/>
          </w:tcPr>
          <w:p>
            <w:pPr>
              <w:pStyle w:val="TableText"/>
            </w:pPr>
            <w:r>
              <w:t>14／14 低於名目 80%，區間偏窄</w:t>
            </w:r>
          </w:p>
        </w:tc>
      </w:tr>
      <w:tr>
        <w:trPr>
          <w:cantSplit/>
        </w:trPr>
        <w:tc>
          <w:tcPr>
            <w:tcW w:w="2650" w:type="dxa"/>
            <w:vAlign w:val="center"/>
          </w:tcPr>
          <w:p>
            <w:pPr>
              <w:pStyle w:val="TableText"/>
            </w:pPr>
            <w:r>
              <w:t>RankIC</w:t>
            </w:r>
          </w:p>
        </w:tc>
        <w:tc>
          <w:tcPr>
            <w:tcW w:w="2800" w:type="dxa"/>
            <w:vAlign w:val="center"/>
          </w:tcPr>
          <w:p>
            <w:pPr>
              <w:pStyle w:val="TableNumber"/>
            </w:pPr>
            <w:r>
              <w:t>14／14 為正；第 1 名 14 個</w:t>
            </w:r>
          </w:p>
        </w:tc>
        <w:tc>
          <w:tcPr>
            <w:tcW w:w="3910" w:type="dxa"/>
            <w:vAlign w:val="center"/>
          </w:tcPr>
          <w:p>
            <w:pPr>
              <w:pStyle w:val="TableText"/>
            </w:pPr>
            <w:r>
              <w:t>全部 horizon 都是 13 模型第 1</w:t>
            </w:r>
          </w:p>
        </w:tc>
      </w:tr>
      <w:tr>
        <w:trPr>
          <w:cantSplit/>
        </w:trPr>
        <w:tc>
          <w:tcPr>
            <w:tcW w:w="2650" w:type="dxa"/>
            <w:vAlign w:val="center"/>
          </w:tcPr>
          <w:p>
            <w:pPr>
              <w:pStyle w:val="TableText"/>
            </w:pPr>
            <w:r>
              <w:t>成本後 Sharpe</w:t>
            </w:r>
          </w:p>
        </w:tc>
        <w:tc>
          <w:tcPr>
            <w:tcW w:w="2800" w:type="dxa"/>
            <w:vAlign w:val="center"/>
          </w:tcPr>
          <w:p>
            <w:pPr>
              <w:pStyle w:val="TableNumber"/>
            </w:pPr>
            <w:r>
              <w:t>14／14 為正；第 1 名 14 個</w:t>
            </w:r>
          </w:p>
        </w:tc>
        <w:tc>
          <w:tcPr>
            <w:tcW w:w="3910" w:type="dxa"/>
            <w:vAlign w:val="center"/>
          </w:tcPr>
          <w:p>
            <w:pPr>
              <w:pStyle w:val="TableText"/>
            </w:pPr>
            <w:r>
              <w:t>未校正重疊報酬的自相關</w:t>
            </w:r>
          </w:p>
        </w:tc>
      </w:tr>
      <w:tr>
        <w:trPr>
          <w:cantSplit/>
        </w:trPr>
        <w:tc>
          <w:tcPr>
            <w:tcW w:w="2650" w:type="dxa"/>
            <w:vAlign w:val="center"/>
          </w:tcPr>
          <w:p>
            <w:pPr>
              <w:pStyle w:val="TableText"/>
            </w:pPr>
            <w:r>
              <w:t>最大回撤</w:t>
            </w:r>
          </w:p>
        </w:tc>
        <w:tc>
          <w:tcPr>
            <w:tcW w:w="2800" w:type="dxa"/>
            <w:vAlign w:val="center"/>
          </w:tcPr>
          <w:p>
            <w:pPr>
              <w:pStyle w:val="TableNumber"/>
            </w:pPr>
            <w:r>
              <w:t>-9.90% 至 -69.48%</w:t>
            </w:r>
          </w:p>
        </w:tc>
        <w:tc>
          <w:tcPr>
            <w:tcW w:w="3910" w:type="dxa"/>
            <w:vAlign w:val="center"/>
          </w:tcPr>
          <w:p>
            <w:pPr>
              <w:pStyle w:val="TableText"/>
            </w:pPr>
            <w:r>
              <w:t>跨模型排名介於第 3 至第 8；長 horizon 風險明顯增加</w:t>
            </w:r>
          </w:p>
        </w:tc>
      </w:tr>
    </w:tbl>
    <w:p>
      <w:pPr>
        <w:pStyle w:val="21"/>
      </w:pPr>
      <w:r>
        <w:t>1.2 決策與證據強度</w:t>
      </w:r>
    </w:p>
    <w:p>
      <w:pPr>
        <w:pStyle w:val="a"/>
      </w:pPr>
      <w:r>
        <w:t>Kronos 的全 horizon score 為 0.307166，相較第二名 GRU 的 0.336588 低 8.74%，相較 zero-return baseline 的 0.363115 低 15.41%。相較 Stage 1 的 0.314759，Stage 2 再降低 2.41%。逐 horizon 比較 Stage 1，2 至 14 日的 normalized pinball 改善 1.59% 至 3.61%，只有 1 日惡化 1.91%。</w:t>
      </w:r>
    </w:p>
    <w:p>
      <w:pPr>
        <w:pStyle w:val="Decision"/>
      </w:pPr>
      <w:r>
        <w:t>決策：保留 Stage 2 最佳 checkpoint 作為候選模型；在校準、多 seed、營運異常與風險門檻完成前，不解鎖 test、不批准部署。</w:t>
      </w:r>
    </w:p>
    <w:p>
      <w:pPr>
        <w:pStyle w:val="Note"/>
      </w:pPr>
      <w:r>
        <w:t>selection score 衡量 14 個 horizon 的分布誤差。它不是報酬率、勝率或可交易性分數。</w:t>
      </w:r>
    </w:p>
    <w:p>
      <w:pPr>
        <w:pStyle w:val="11"/>
      </w:pPr>
      <w:r>
        <w:t>2. 驗證設計與證據邊界</w:t>
      </w:r>
    </w:p>
    <w:p>
      <w:pPr>
        <w:pStyle w:val="21"/>
      </w:pPr>
      <w:r>
        <w:t>2.1 資料與切分</w:t>
      </w:r>
    </w:p>
    <w:p>
      <w:pPr>
        <w:pStyle w:val="a"/>
      </w:pPr>
      <w:r>
        <w:t>資料 profile 為 us_tw_eodhd，來源包含 EODHD 美國資料、TPEx 官方資料與 TWSE 官方資料。所有模型使用相同 chronological split、benchmark mapping、cutoff-inclusive input context 與 entry／exit timestamps。</w:t>
      </w:r>
    </w:p>
    <w:p>
      <w:pPr>
        <w:pStyle w:val="Decision"/>
        <w:keepNext/>
        <w:spacing w:after="80"/>
      </w:pPr>
      <w:r>
        <w:t>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完整 train split</w:t>
            </w:r>
          </w:p>
        </w:tc>
        <w:tc>
          <w:tcPr>
            <w:tcW w:w="2050" w:type="dxa"/>
            <w:vAlign w:val="center"/>
          </w:tcPr>
          <w:p>
            <w:pPr>
              <w:pStyle w:val="TableNumber"/>
            </w:pPr>
            <w:r>
              <w:t>12,365,351</w:t>
            </w:r>
          </w:p>
        </w:tc>
        <w:tc>
          <w:tcPr>
            <w:tcW w:w="4510" w:type="dxa"/>
            <w:vAlign w:val="center"/>
          </w:tcPr>
          <w:p>
            <w:pPr>
              <w:pStyle w:val="TableText"/>
            </w:pPr>
            <w:r>
              <w:t>Stage 2 使用完整 train split；max_samples 未設上限</w:t>
            </w:r>
          </w:p>
        </w:tc>
      </w:tr>
      <w:tr>
        <w:trPr>
          <w:cantSplit/>
        </w:trPr>
        <w:tc>
          <w:tcPr>
            <w:tcW w:w="2800" w:type="dxa"/>
            <w:vAlign w:val="center"/>
          </w:tcPr>
          <w:p>
            <w:pPr>
              <w:pStyle w:val="TableText"/>
            </w:pPr>
            <w:r>
              <w:t>實際處理訓練樣本</w:t>
            </w:r>
          </w:p>
        </w:tc>
        <w:tc>
          <w:tcPr>
            <w:tcW w:w="2050" w:type="dxa"/>
            <w:vAlign w:val="center"/>
          </w:tcPr>
          <w:p>
            <w:pPr>
              <w:pStyle w:val="TableNumber"/>
            </w:pPr>
            <w:r>
              <w:t>19,784,768</w:t>
            </w:r>
          </w:p>
        </w:tc>
        <w:tc>
          <w:tcPr>
            <w:tcW w:w="4510" w:type="dxa"/>
            <w:vAlign w:val="center"/>
          </w:tcPr>
          <w:p>
            <w:pPr>
              <w:pStyle w:val="TableText"/>
            </w:pPr>
            <w:r>
              <w:t>約 1.60 個 epoch；early stopping 後停止</w:t>
            </w:r>
          </w:p>
        </w:tc>
      </w:tr>
      <w:tr>
        <w:trPr>
          <w:cantSplit/>
        </w:trPr>
        <w:tc>
          <w:tcPr>
            <w:tcW w:w="2800" w:type="dxa"/>
            <w:vAlign w:val="center"/>
          </w:tcPr>
          <w:p>
            <w:pPr>
              <w:pStyle w:val="TableText"/>
            </w:pPr>
            <w:r>
              <w:t>完整 validation split</w:t>
            </w:r>
          </w:p>
        </w:tc>
        <w:tc>
          <w:tcPr>
            <w:tcW w:w="2050" w:type="dxa"/>
            <w:vAlign w:val="center"/>
          </w:tcPr>
          <w:p>
            <w:pPr>
              <w:pStyle w:val="TableNumber"/>
            </w:pPr>
            <w:r>
              <w:t>1,704,618</w:t>
            </w:r>
          </w:p>
        </w:tc>
        <w:tc>
          <w:tcPr>
            <w:tcW w:w="4510" w:type="dxa"/>
            <w:vAlign w:val="center"/>
          </w:tcPr>
          <w:p>
            <w:pPr>
              <w:pStyle w:val="TableText"/>
            </w:pPr>
            <w:r>
              <w:t>本次 benchmark 確定性限量 20,000 筆</w:t>
            </w:r>
          </w:p>
        </w:tc>
      </w:tr>
      <w:tr>
        <w:trPr>
          <w:cantSplit/>
        </w:trPr>
        <w:tc>
          <w:tcPr>
            <w:tcW w:w="2800" w:type="dxa"/>
            <w:vAlign w:val="center"/>
          </w:tcPr>
          <w:p>
            <w:pPr>
              <w:pStyle w:val="TableText"/>
            </w:pPr>
            <w:r>
              <w:t>完整 test split</w:t>
            </w:r>
          </w:p>
        </w:tc>
        <w:tc>
          <w:tcPr>
            <w:tcW w:w="2050" w:type="dxa"/>
            <w:vAlign w:val="center"/>
          </w:tcPr>
          <w:p>
            <w:pPr>
              <w:pStyle w:val="TableNumber"/>
            </w:pPr>
            <w:r>
              <w:t>1,946,115</w:t>
            </w:r>
          </w:p>
        </w:tc>
        <w:tc>
          <w:tcPr>
            <w:tcW w:w="4510" w:type="dxa"/>
            <w:vAlign w:val="center"/>
          </w:tcPr>
          <w:p>
            <w:pPr>
              <w:pStyle w:val="TableText"/>
            </w:pPr>
            <w:r>
              <w:t>只記錄筆數；test_unlocked=false，沒有評分</w:t>
            </w:r>
          </w:p>
        </w:tc>
      </w:tr>
      <w:tr>
        <w:trPr>
          <w:cantSplit/>
        </w:trPr>
        <w:tc>
          <w:tcPr>
            <w:tcW w:w="2800" w:type="dxa"/>
            <w:vAlign w:val="center"/>
          </w:tcPr>
          <w:p>
            <w:pPr>
              <w:pStyle w:val="TableText"/>
            </w:pPr>
            <w:r>
              <w:t>每個 horizon 的 validation 樣本</w:t>
            </w:r>
          </w:p>
        </w:tc>
        <w:tc>
          <w:tcPr>
            <w:tcW w:w="2050" w:type="dxa"/>
            <w:vAlign w:val="center"/>
          </w:tcPr>
          <w:p>
            <w:pPr>
              <w:pStyle w:val="TableNumber"/>
            </w:pPr>
            <w:r>
              <w:t>20,000</w:t>
            </w:r>
          </w:p>
        </w:tc>
        <w:tc>
          <w:tcPr>
            <w:tcW w:w="4510" w:type="dxa"/>
            <w:vAlign w:val="center"/>
          </w:tcPr>
          <w:p>
            <w:pPr>
              <w:pStyle w:val="TableText"/>
            </w:pPr>
            <w:r>
              <w:t>1 至 14 日皆使用同一批次規模</w:t>
            </w:r>
          </w:p>
        </w:tc>
      </w:tr>
      <w:tr>
        <w:trPr>
          <w:cantSplit/>
        </w:trPr>
        <w:tc>
          <w:tcPr>
            <w:tcW w:w="2800" w:type="dxa"/>
            <w:vAlign w:val="center"/>
          </w:tcPr>
          <w:p>
            <w:pPr>
              <w:pStyle w:val="TableText"/>
            </w:pPr>
            <w:r>
              <w:t>橫斷面日期</w:t>
            </w:r>
          </w:p>
        </w:tc>
        <w:tc>
          <w:tcPr>
            <w:tcW w:w="2050" w:type="dxa"/>
            <w:vAlign w:val="center"/>
          </w:tcPr>
          <w:p>
            <w:pPr>
              <w:pStyle w:val="TableNumber"/>
            </w:pPr>
            <w:r>
              <w:t>155</w:t>
            </w:r>
          </w:p>
        </w:tc>
        <w:tc>
          <w:tcPr>
            <w:tcW w:w="4510" w:type="dxa"/>
            <w:vAlign w:val="center"/>
          </w:tcPr>
          <w:p>
            <w:pPr>
              <w:pStyle w:val="TableText"/>
            </w:pPr>
            <w:r>
              <w:t>每個 horizon 都由 155 個有效日期彙總</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seed，尚未量測隨機波動</w:t>
            </w:r>
          </w:p>
        </w:tc>
      </w:tr>
    </w:tbl>
    <w:p>
      <w:pPr>
        <w:pStyle w:val="a"/>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return)。它回答的是『這檔股票在同一段持有期間，相對大盤多賺或少賺多少』，不是股票估值、目標價或單獨的股價漲跌。若 q=0.05，精確的相對 gross ratio 是 exp(0.05)-1=5.13%；數值很小時可近似理解為優於 benchmark 約 5%。</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的結果可能比它更低、約 90% 可能更高；不是『下跌機率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一半結果可能較低、一半可能較高；用作點預測、方向與排序訊號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的結果可能比它低、約 10% 可能更高；不是保證上限</w:t>
            </w:r>
          </w:p>
        </w:tc>
      </w:tr>
    </w:tbl>
    <w:p>
      <w:pPr>
        <w:pStyle w:val="21"/>
      </w:pPr>
      <w:r>
        <w:t>3.2 三種股票情境</w:t>
      </w:r>
    </w:p>
    <w:p>
      <w:pPr>
        <w:pStyle w:val="Decision"/>
        <w:keepNext/>
        <w:spacing w:after="80"/>
      </w:pPr>
      <w:r>
        <w:t>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連偏悲觀的 q10 都大於 0；模型認為從悲觀到樂觀情境都優於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連偏樂觀的 q90 都小於 0；模型認為整段情境都落後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中間情境接近持平或略輸，但樂觀尾端很高；代表區間很寬、上行尾部大，不代表有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看多，但 q10 仍小於 0；典型結果可能贏大盤，悲觀情境仍可能輸</w:t>
            </w:r>
          </w:p>
        </w:tc>
      </w:tr>
    </w:tbl>
    <w:p>
      <w:pPr>
        <w:pStyle w:val="Note"/>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q50，再以兩個正值距離形成 q10=q50-lower_gap 與 q90=q50+upper_gap，因此結構上維持 q10≤q50≤q90。bullish、bearish 與 strong signal 都是後處理標籤，不是分類器輸出。primary_5d/selection_score 只是 checkpoint monitor 的舊相容路徑；它的值仍是 1 至 14 日 normalized pinball 的平均，本報告不把它當成 5 日主指標。</w:t>
      </w:r>
    </w:p>
    <w:p>
      <w:pPr>
        <w:pStyle w:val="11"/>
      </w:pPr>
      <w:r>
        <w:t>4. 訓練完成度 早停與 checkpoint</w:t>
      </w:r>
    </w:p>
    <w:p>
      <w:pPr>
        <w:pStyle w:val="21"/>
      </w:pPr>
      <w:r>
        <w:t>4.1 執行狀態</w:t>
      </w:r>
    </w:p>
    <w:p>
      <w:pPr>
        <w:pStyle w:val="Decision"/>
        <w:keepNext/>
        <w:spacing w:after="80"/>
      </w:pPr>
      <w:r>
        <w:t>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training_completed=true；marker 為 ready；completion result 已產生</w:t>
            </w:r>
          </w:p>
        </w:tc>
      </w:tr>
      <w:tr>
        <w:trPr>
          <w:cantSplit/>
        </w:trPr>
        <w:tc>
          <w:tcPr>
            <w:tcW w:w="3100" w:type="dxa"/>
            <w:vAlign w:val="center"/>
          </w:tcPr>
          <w:p>
            <w:pPr>
              <w:pStyle w:val="TableText"/>
            </w:pPr>
            <w:r>
              <w:t>Lifecycle 異常</w:t>
            </w:r>
          </w:p>
        </w:tc>
        <w:tc>
          <w:tcPr>
            <w:tcW w:w="6260" w:type="dxa"/>
            <w:vAlign w:val="center"/>
          </w:tcPr>
          <w:p>
            <w:pPr>
              <w:pStyle w:val="TableText"/>
            </w:pPr>
            <w:r>
              <w:t>exit code 1；未逾時；記錄 recovery_path，缺少本機 recovery log</w:t>
            </w:r>
          </w:p>
        </w:tc>
      </w:tr>
      <w:tr>
        <w:trPr>
          <w:cantSplit/>
        </w:trPr>
        <w:tc>
          <w:tcPr>
            <w:tcW w:w="3100" w:type="dxa"/>
            <w:vAlign w:val="center"/>
          </w:tcPr>
          <w:p>
            <w:pPr>
              <w:pStyle w:val="TableText"/>
            </w:pPr>
            <w:r>
              <w:t>epoch 與 global step</w:t>
            </w:r>
          </w:p>
        </w:tc>
        <w:tc>
          <w:tcPr>
            <w:tcW w:w="6260" w:type="dxa"/>
            <w:vAlign w:val="center"/>
          </w:tcPr>
          <w:p>
            <w:pPr>
              <w:pStyle w:val="TableText"/>
            </w:pPr>
            <w:r>
              <w:t>1 個完整 epoch；停止於 step 77,285</w:t>
            </w:r>
          </w:p>
        </w:tc>
      </w:tr>
      <w:tr>
        <w:trPr>
          <w:cantSplit/>
        </w:trPr>
        <w:tc>
          <w:tcPr>
            <w:tcW w:w="3100" w:type="dxa"/>
            <w:vAlign w:val="center"/>
          </w:tcPr>
          <w:p>
            <w:pPr>
              <w:pStyle w:val="TableText"/>
            </w:pPr>
            <w:r>
              <w:t>處理訓練樣本</w:t>
            </w:r>
          </w:p>
        </w:tc>
        <w:tc>
          <w:tcPr>
            <w:tcW w:w="6260" w:type="dxa"/>
            <w:vAlign w:val="center"/>
          </w:tcPr>
          <w:p>
            <w:pPr>
              <w:pStyle w:val="TableText"/>
            </w:pPr>
            <w:r>
              <w:t>19,784,768／61,826,755（32.00%）</w:t>
            </w:r>
          </w:p>
        </w:tc>
      </w:tr>
      <w:tr>
        <w:trPr>
          <w:cantSplit/>
        </w:trPr>
        <w:tc>
          <w:tcPr>
            <w:tcW w:w="3100" w:type="dxa"/>
            <w:vAlign w:val="center"/>
          </w:tcPr>
          <w:p>
            <w:pPr>
              <w:pStyle w:val="TableText"/>
            </w:pPr>
            <w:r>
              <w:t>validation 次數</w:t>
            </w:r>
          </w:p>
        </w:tc>
        <w:tc>
          <w:tcPr>
            <w:tcW w:w="6260" w:type="dxa"/>
            <w:vAlign w:val="center"/>
          </w:tcPr>
          <w:p>
            <w:pPr>
              <w:pStyle w:val="TableText"/>
            </w:pPr>
            <w:r>
              <w:t>8</w:t>
            </w:r>
          </w:p>
        </w:tc>
      </w:tr>
      <w:tr>
        <w:trPr>
          <w:cantSplit/>
        </w:trPr>
        <w:tc>
          <w:tcPr>
            <w:tcW w:w="3100" w:type="dxa"/>
            <w:vAlign w:val="center"/>
          </w:tcPr>
          <w:p>
            <w:pPr>
              <w:pStyle w:val="TableText"/>
            </w:pPr>
            <w:r>
              <w:t>停止原因</w:t>
            </w:r>
          </w:p>
        </w:tc>
        <w:tc>
          <w:tcPr>
            <w:tcW w:w="6260" w:type="dxa"/>
            <w:vAlign w:val="center"/>
          </w:tcPr>
          <w:p>
            <w:pPr>
              <w:pStyle w:val="TableText"/>
            </w:pPr>
            <w:r>
              <w:t>early_stopping；連續 5 次未改善</w:t>
            </w:r>
          </w:p>
        </w:tc>
      </w:tr>
      <w:tr>
        <w:trPr>
          <w:cantSplit/>
        </w:trPr>
        <w:tc>
          <w:tcPr>
            <w:tcW w:w="3100" w:type="dxa"/>
            <w:vAlign w:val="center"/>
          </w:tcPr>
          <w:p>
            <w:pPr>
              <w:pStyle w:val="TableText"/>
            </w:pPr>
            <w:r>
              <w:t>最佳與末次 score</w:t>
            </w:r>
          </w:p>
        </w:tc>
        <w:tc>
          <w:tcPr>
            <w:tcW w:w="6260" w:type="dxa"/>
            <w:vAlign w:val="center"/>
          </w:tcPr>
          <w:p>
            <w:pPr>
              <w:pStyle w:val="TableText"/>
            </w:pPr>
            <w:r>
              <w:t>0.307166／0.315644</w:t>
            </w:r>
          </w:p>
        </w:tc>
      </w:tr>
      <w:tr>
        <w:trPr>
          <w:cantSplit/>
        </w:trPr>
        <w:tc>
          <w:tcPr>
            <w:tcW w:w="3100" w:type="dxa"/>
            <w:vAlign w:val="center"/>
          </w:tcPr>
          <w:p>
            <w:pPr>
              <w:pStyle w:val="TableText"/>
            </w:pPr>
            <w:r>
              <w:t>模型</w:t>
            </w:r>
          </w:p>
        </w:tc>
        <w:tc>
          <w:tcPr>
            <w:tcW w:w="6260" w:type="dxa"/>
            <w:vAlign w:val="center"/>
          </w:tcPr>
          <w:p>
            <w:pPr>
              <w:pStyle w:val="TableText"/>
            </w:pPr>
            <w:r>
              <w:t>Kronos-base + LoRA；shared causal resampler；benchmark conditioner；alpha head</w:t>
            </w:r>
          </w:p>
        </w:tc>
      </w:tr>
      <w:tr>
        <w:trPr>
          <w:cantSplit/>
        </w:trPr>
        <w:tc>
          <w:tcPr>
            <w:tcW w:w="3100" w:type="dxa"/>
            <w:vAlign w:val="center"/>
          </w:tcPr>
          <w:p>
            <w:pPr>
              <w:pStyle w:val="TableText"/>
            </w:pPr>
            <w:r>
              <w:t>訓練硬體與精度</w:t>
            </w:r>
          </w:p>
        </w:tc>
        <w:tc>
          <w:tcPr>
            <w:tcW w:w="6260" w:type="dxa"/>
            <w:vAlign w:val="center"/>
          </w:tcPr>
          <w:p>
            <w:pPr>
              <w:pStyle w:val="TableText"/>
            </w:pPr>
            <w:r>
              <w:t>NVIDIA RTX PRO 6000 Blackwell Workstation Edition；bfloat16</w:t>
            </w:r>
          </w:p>
        </w:tc>
      </w:tr>
      <w:tr>
        <w:trPr>
          <w:cantSplit/>
        </w:trPr>
        <w:tc>
          <w:tcPr>
            <w:tcW w:w="3100" w:type="dxa"/>
            <w:vAlign w:val="center"/>
          </w:tcPr>
          <w:p>
            <w:pPr>
              <w:pStyle w:val="TableText"/>
            </w:pPr>
            <w:r>
              <w:t>驗證硬體</w:t>
            </w:r>
          </w:p>
        </w:tc>
        <w:tc>
          <w:tcPr>
            <w:tcW w:w="6260" w:type="dxa"/>
            <w:vAlign w:val="center"/>
          </w:tcPr>
          <w:p>
            <w:pPr>
              <w:pStyle w:val="TableText"/>
            </w:pPr>
            <w:r>
              <w:t>NVIDIA GeForce RTX 5090</w:t>
            </w:r>
          </w:p>
        </w:tc>
      </w:tr>
    </w:tbl>
    <w:p>
      <w:pPr>
        <w:pStyle w:val="21"/>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checkpoint-028982</w:t>
            </w:r>
          </w:p>
        </w:tc>
        <w:tc>
          <w:tcPr>
            <w:tcW w:w="1800" w:type="dxa"/>
            <w:shd w:val="clear" w:fill="EDF5FC"/>
            <w:vAlign w:val="center"/>
          </w:tcPr>
          <w:p>
            <w:pPr>
              <w:pStyle w:val="TableNumber"/>
            </w:pPr>
            <w:r>
              <w:t>28,982</w:t>
            </w:r>
          </w:p>
        </w:tc>
        <w:tc>
          <w:tcPr>
            <w:tcW w:w="3560" w:type="dxa"/>
            <w:shd w:val="clear" w:fill="EDF5FC"/>
            <w:vAlign w:val="center"/>
          </w:tcPr>
          <w:p>
            <w:pPr>
              <w:pStyle w:val="TableNumber"/>
            </w:pPr>
            <w:r>
              <w:t>0.307166</w:t>
            </w:r>
          </w:p>
        </w:tc>
      </w:tr>
      <w:tr>
        <w:trPr>
          <w:cantSplit/>
        </w:trPr>
        <w:tc>
          <w:tcPr>
            <w:tcW w:w="900" w:type="dxa"/>
            <w:vAlign w:val="center"/>
          </w:tcPr>
          <w:p>
            <w:pPr>
              <w:pStyle w:val="TableNumber"/>
            </w:pPr>
            <w:r>
              <w:t>2</w:t>
            </w:r>
          </w:p>
        </w:tc>
        <w:tc>
          <w:tcPr>
            <w:tcW w:w="3100" w:type="dxa"/>
            <w:vAlign w:val="center"/>
          </w:tcPr>
          <w:p>
            <w:pPr>
              <w:pStyle w:val="TableText"/>
            </w:pPr>
            <w:r>
              <w:t>checkpoint-019322</w:t>
            </w:r>
          </w:p>
        </w:tc>
        <w:tc>
          <w:tcPr>
            <w:tcW w:w="1800" w:type="dxa"/>
            <w:vAlign w:val="center"/>
          </w:tcPr>
          <w:p>
            <w:pPr>
              <w:pStyle w:val="TableNumber"/>
            </w:pPr>
            <w:r>
              <w:t>19,322</w:t>
            </w:r>
          </w:p>
        </w:tc>
        <w:tc>
          <w:tcPr>
            <w:tcW w:w="3560" w:type="dxa"/>
            <w:vAlign w:val="center"/>
          </w:tcPr>
          <w:p>
            <w:pPr>
              <w:pStyle w:val="TableNumber"/>
            </w:pPr>
            <w:r>
              <w:t>0.308430</w:t>
            </w:r>
          </w:p>
        </w:tc>
      </w:tr>
      <w:tr>
        <w:trPr>
          <w:cantSplit/>
        </w:trPr>
        <w:tc>
          <w:tcPr>
            <w:tcW w:w="900" w:type="dxa"/>
            <w:vAlign w:val="center"/>
          </w:tcPr>
          <w:p>
            <w:pPr>
              <w:pStyle w:val="TableNumber"/>
            </w:pPr>
            <w:r>
              <w:t>3</w:t>
            </w:r>
          </w:p>
        </w:tc>
        <w:tc>
          <w:tcPr>
            <w:tcW w:w="3100" w:type="dxa"/>
            <w:vAlign w:val="center"/>
          </w:tcPr>
          <w:p>
            <w:pPr>
              <w:pStyle w:val="TableText"/>
            </w:pPr>
            <w:r>
              <w:t>checkpoint-048303</w:t>
            </w:r>
          </w:p>
        </w:tc>
        <w:tc>
          <w:tcPr>
            <w:tcW w:w="1800" w:type="dxa"/>
            <w:vAlign w:val="center"/>
          </w:tcPr>
          <w:p>
            <w:pPr>
              <w:pStyle w:val="TableNumber"/>
            </w:pPr>
            <w:r>
              <w:t>48,303</w:t>
            </w:r>
          </w:p>
        </w:tc>
        <w:tc>
          <w:tcPr>
            <w:tcW w:w="3560" w:type="dxa"/>
            <w:vAlign w:val="center"/>
          </w:tcPr>
          <w:p>
            <w:pPr>
              <w:pStyle w:val="TableNumber"/>
            </w:pPr>
            <w:r>
              <w:t>0.308924</w:t>
            </w:r>
          </w:p>
        </w:tc>
      </w:tr>
      <w:tr>
        <w:trPr>
          <w:cantSplit/>
        </w:trPr>
        <w:tc>
          <w:tcPr>
            <w:tcW w:w="900" w:type="dxa"/>
            <w:vAlign w:val="center"/>
          </w:tcPr>
          <w:p>
            <w:pPr>
              <w:pStyle w:val="TableNumber"/>
            </w:pPr>
            <w:r>
              <w:t>4</w:t>
            </w:r>
          </w:p>
        </w:tc>
        <w:tc>
          <w:tcPr>
            <w:tcW w:w="3100" w:type="dxa"/>
            <w:vAlign w:val="center"/>
          </w:tcPr>
          <w:p>
            <w:pPr>
              <w:pStyle w:val="TableText"/>
            </w:pPr>
            <w:r>
              <w:t>checkpoint-038643</w:t>
            </w:r>
          </w:p>
        </w:tc>
        <w:tc>
          <w:tcPr>
            <w:tcW w:w="1800" w:type="dxa"/>
            <w:vAlign w:val="center"/>
          </w:tcPr>
          <w:p>
            <w:pPr>
              <w:pStyle w:val="TableNumber"/>
            </w:pPr>
            <w:r>
              <w:t>38,643</w:t>
            </w:r>
          </w:p>
        </w:tc>
        <w:tc>
          <w:tcPr>
            <w:tcW w:w="3560" w:type="dxa"/>
            <w:vAlign w:val="center"/>
          </w:tcPr>
          <w:p>
            <w:pPr>
              <w:pStyle w:val="TableNumber"/>
            </w:pPr>
            <w:r>
              <w:t>0.310781</w:t>
            </w:r>
          </w:p>
        </w:tc>
      </w:tr>
      <w:tr>
        <w:trPr>
          <w:cantSplit/>
        </w:trPr>
        <w:tc>
          <w:tcPr>
            <w:tcW w:w="900" w:type="dxa"/>
            <w:vAlign w:val="center"/>
          </w:tcPr>
          <w:p>
            <w:pPr>
              <w:pStyle w:val="TableNumber"/>
            </w:pPr>
            <w:r>
              <w:t>5</w:t>
            </w:r>
          </w:p>
        </w:tc>
        <w:tc>
          <w:tcPr>
            <w:tcW w:w="3100" w:type="dxa"/>
            <w:vAlign w:val="center"/>
          </w:tcPr>
          <w:p>
            <w:pPr>
              <w:pStyle w:val="TableText"/>
            </w:pPr>
            <w:r>
              <w:t>checkpoint-057964</w:t>
            </w:r>
          </w:p>
        </w:tc>
        <w:tc>
          <w:tcPr>
            <w:tcW w:w="1800" w:type="dxa"/>
            <w:vAlign w:val="center"/>
          </w:tcPr>
          <w:p>
            <w:pPr>
              <w:pStyle w:val="TableNumber"/>
            </w:pPr>
            <w:r>
              <w:t>57,964</w:t>
            </w:r>
          </w:p>
        </w:tc>
        <w:tc>
          <w:tcPr>
            <w:tcW w:w="3560" w:type="dxa"/>
            <w:vAlign w:val="center"/>
          </w:tcPr>
          <w:p>
            <w:pPr>
              <w:pStyle w:val="TableNumber"/>
            </w:pPr>
            <w:r>
              <w:t>0.313693</w:t>
            </w:r>
          </w:p>
        </w:tc>
      </w:tr>
    </w:tbl>
    <w:p>
      <w:pPr>
        <w:pStyle w:val="a"/>
      </w:pPr>
      <w:r>
        <w:t>checkpoint-028982 的 score 為 0.307166，比第二名 checkpoint-019322 的 0.308430 低 0.41%。訓練末次 score 為 0.315644，比最佳 checkpoint 高 2.76%，而早停在五次連續未改善後觸發。正式推論若誤用 completion-result 中的末次 adapter，結果不等同本報告驗證的最佳 checkpoint。</w:t>
      </w:r>
    </w:p>
    <w:p>
      <w:pPr>
        <w:pStyle w:val="11"/>
      </w:pPr>
      <w:r>
        <w:t>5. 十三個模型的全 horizon 比較</w:t>
      </w:r>
    </w:p>
    <w:p>
      <w:pPr>
        <w:pStyle w:val="Decision"/>
        <w:keepNext/>
        <w:spacing w:after="80"/>
      </w:pPr>
      <w:r>
        <w:t>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0.307166</w:t>
            </w:r>
          </w:p>
        </w:tc>
        <w:tc>
          <w:tcPr>
            <w:tcW w:w="1330" w:type="dxa"/>
            <w:shd w:val="clear" w:fill="EDF5FC"/>
            <w:vAlign w:val="center"/>
          </w:tcPr>
          <w:p>
            <w:pPr>
              <w:pStyle w:val="TableNumber"/>
            </w:pPr>
            <w:r>
              <w:t>0.3819</w:t>
            </w:r>
          </w:p>
        </w:tc>
        <w:tc>
          <w:tcPr>
            <w:tcW w:w="1330" w:type="dxa"/>
            <w:shd w:val="clear" w:fill="EDF5FC"/>
            <w:vAlign w:val="center"/>
          </w:tcPr>
          <w:p>
            <w:pPr>
              <w:pStyle w:val="TableNumber"/>
            </w:pPr>
            <w:r>
              <w:t>0.3020</w:t>
            </w:r>
          </w:p>
        </w:tc>
        <w:tc>
          <w:tcPr>
            <w:tcW w:w="1350" w:type="dxa"/>
            <w:shd w:val="clear" w:fill="EDF5FC"/>
            <w:vAlign w:val="center"/>
          </w:tcPr>
          <w:p>
            <w:pPr>
              <w:pStyle w:val="TableNumber"/>
            </w:pPr>
            <w:r>
              <w:t>0.2832</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0.342796</w:t>
            </w:r>
          </w:p>
        </w:tc>
        <w:tc>
          <w:tcPr>
            <w:tcW w:w="1330" w:type="dxa"/>
            <w:vAlign w:val="center"/>
          </w:tcPr>
          <w:p>
            <w:pPr>
              <w:pStyle w:val="TableNumber"/>
            </w:pPr>
            <w:r>
              <w:t>0.3848</w:t>
            </w:r>
          </w:p>
        </w:tc>
        <w:tc>
          <w:tcPr>
            <w:tcW w:w="1330" w:type="dxa"/>
            <w:vAlign w:val="center"/>
          </w:tcPr>
          <w:p>
            <w:pPr>
              <w:pStyle w:val="TableNumber"/>
            </w:pPr>
            <w:r>
              <w:t>0.3455</w:t>
            </w:r>
          </w:p>
        </w:tc>
        <w:tc>
          <w:tcPr>
            <w:tcW w:w="1350" w:type="dxa"/>
            <w:vAlign w:val="center"/>
          </w:tcPr>
          <w:p>
            <w:pPr>
              <w:pStyle w:val="TableNumber"/>
            </w:pPr>
            <w:r>
              <w:t>0.3287</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bl>
    <w:p>
      <w:pPr>
        <w:pStyle w:val="a"/>
      </w:pPr>
      <w:r>
        <w:t>Kronos 並不是只靠某一個固定天期取得第一。它在 2 至 14 日 normalized pinball 都排名第一，1 日排名第三。1 日仍比 zero-return baseline 低 7.09%，但比 GRU 高 1.52%；短天期弱點不能被 14 horizon 平均分數遮蔽。</w:t>
      </w:r>
    </w:p>
    <w:p>
      <w:pPr>
        <w:pStyle w:val="11"/>
      </w:pPr>
      <w:r>
        <w:t>6. 一至十四日完整結果</w:t>
      </w:r>
    </w:p>
    <w:p>
      <w:pPr>
        <w:pStyle w:val="21"/>
      </w:pPr>
      <w:r>
        <w:t>6.1 誤差與不同 horizon 的可比性</w:t>
      </w:r>
    </w:p>
    <w:p>
      <w:pPr>
        <w:pStyle w:val="Decision"/>
        <w:keepNext/>
        <w:spacing w:after="80"/>
      </w:pPr>
      <w:r>
        <w:t>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0.01892</w:t>
            </w:r>
          </w:p>
        </w:tc>
        <w:tc>
          <w:tcPr>
            <w:tcW w:w="1550" w:type="dxa"/>
            <w:vAlign w:val="center"/>
          </w:tcPr>
          <w:p>
            <w:pPr>
              <w:pStyle w:val="TableNumber"/>
            </w:pPr>
            <w:r>
              <w:t>0.00723</w:t>
            </w:r>
          </w:p>
        </w:tc>
        <w:tc>
          <w:tcPr>
            <w:tcW w:w="1550" w:type="dxa"/>
            <w:vAlign w:val="center"/>
          </w:tcPr>
          <w:p>
            <w:pPr>
              <w:pStyle w:val="TableNumber"/>
            </w:pPr>
            <w:r>
              <w:t>0.3819</w:t>
            </w:r>
          </w:p>
        </w:tc>
        <w:tc>
          <w:tcPr>
            <w:tcW w:w="1050" w:type="dxa"/>
            <w:vAlign w:val="center"/>
          </w:tcPr>
          <w:p>
            <w:pPr>
              <w:pStyle w:val="TableNumber"/>
            </w:pPr>
            <w:r>
              <w:t>3/13</w:t>
            </w:r>
          </w:p>
        </w:tc>
        <w:tc>
          <w:tcPr>
            <w:tcW w:w="1550" w:type="dxa"/>
            <w:vAlign w:val="center"/>
          </w:tcPr>
          <w:p>
            <w:pPr>
              <w:pStyle w:val="TableNumber"/>
            </w:pPr>
            <w:r>
              <w:t>0.02077</w:t>
            </w:r>
          </w:p>
        </w:tc>
        <w:tc>
          <w:tcPr>
            <w:tcW w:w="1610" w:type="dxa"/>
            <w:vAlign w:val="center"/>
          </w:tcPr>
          <w:p>
            <w:pPr>
              <w:pStyle w:val="TableNumber"/>
            </w:pPr>
            <w:r>
              <w:t>1.0976</w:t>
            </w:r>
          </w:p>
        </w:tc>
      </w:tr>
      <w:tr>
        <w:trPr>
          <w:cantSplit/>
        </w:trPr>
        <w:tc>
          <w:tcPr>
            <w:tcW w:w="650" w:type="dxa"/>
            <w:vAlign w:val="center"/>
          </w:tcPr>
          <w:p>
            <w:pPr>
              <w:pStyle w:val="TableText"/>
            </w:pPr>
            <w:r>
              <w:t>2d</w:t>
            </w:r>
          </w:p>
        </w:tc>
        <w:tc>
          <w:tcPr>
            <w:tcW w:w="1400" w:type="dxa"/>
            <w:vAlign w:val="center"/>
          </w:tcPr>
          <w:p>
            <w:pPr>
              <w:pStyle w:val="TableNumber"/>
            </w:pPr>
            <w:r>
              <w:t>0.03113</w:t>
            </w:r>
          </w:p>
        </w:tc>
        <w:tc>
          <w:tcPr>
            <w:tcW w:w="1550" w:type="dxa"/>
            <w:vAlign w:val="center"/>
          </w:tcPr>
          <w:p>
            <w:pPr>
              <w:pStyle w:val="TableNumber"/>
            </w:pPr>
            <w:r>
              <w:t>0.01010</w:t>
            </w:r>
          </w:p>
        </w:tc>
        <w:tc>
          <w:tcPr>
            <w:tcW w:w="1550" w:type="dxa"/>
            <w:vAlign w:val="center"/>
          </w:tcPr>
          <w:p>
            <w:pPr>
              <w:pStyle w:val="TableNumber"/>
            </w:pPr>
            <w:r>
              <w:t>0.3243</w:t>
            </w:r>
          </w:p>
        </w:tc>
        <w:tc>
          <w:tcPr>
            <w:tcW w:w="1050" w:type="dxa"/>
            <w:vAlign w:val="center"/>
          </w:tcPr>
          <w:p>
            <w:pPr>
              <w:pStyle w:val="TableNumber"/>
            </w:pPr>
            <w:r>
              <w:t>1/13</w:t>
            </w:r>
          </w:p>
        </w:tc>
        <w:tc>
          <w:tcPr>
            <w:tcW w:w="1550" w:type="dxa"/>
            <w:vAlign w:val="center"/>
          </w:tcPr>
          <w:p>
            <w:pPr>
              <w:pStyle w:val="TableNumber"/>
            </w:pPr>
            <w:r>
              <w:t>0.02919</w:t>
            </w:r>
          </w:p>
        </w:tc>
        <w:tc>
          <w:tcPr>
            <w:tcW w:w="1610" w:type="dxa"/>
            <w:vAlign w:val="center"/>
          </w:tcPr>
          <w:p>
            <w:pPr>
              <w:pStyle w:val="TableNumber"/>
            </w:pPr>
            <w:r>
              <w:t>0.9378</w:t>
            </w:r>
          </w:p>
        </w:tc>
      </w:tr>
      <w:tr>
        <w:trPr>
          <w:cantSplit/>
        </w:trPr>
        <w:tc>
          <w:tcPr>
            <w:tcW w:w="650" w:type="dxa"/>
            <w:vAlign w:val="center"/>
          </w:tcPr>
          <w:p>
            <w:pPr>
              <w:pStyle w:val="TableText"/>
            </w:pPr>
            <w:r>
              <w:t>3d</w:t>
            </w:r>
          </w:p>
        </w:tc>
        <w:tc>
          <w:tcPr>
            <w:tcW w:w="1400" w:type="dxa"/>
            <w:vAlign w:val="center"/>
          </w:tcPr>
          <w:p>
            <w:pPr>
              <w:pStyle w:val="TableNumber"/>
            </w:pPr>
            <w:r>
              <w:t>0.03906</w:t>
            </w:r>
          </w:p>
        </w:tc>
        <w:tc>
          <w:tcPr>
            <w:tcW w:w="1550" w:type="dxa"/>
            <w:vAlign w:val="center"/>
          </w:tcPr>
          <w:p>
            <w:pPr>
              <w:pStyle w:val="TableNumber"/>
            </w:pPr>
            <w:r>
              <w:t>0.01257</w:t>
            </w:r>
          </w:p>
        </w:tc>
        <w:tc>
          <w:tcPr>
            <w:tcW w:w="1550" w:type="dxa"/>
            <w:vAlign w:val="center"/>
          </w:tcPr>
          <w:p>
            <w:pPr>
              <w:pStyle w:val="TableNumber"/>
            </w:pPr>
            <w:r>
              <w:t>0.3219</w:t>
            </w:r>
          </w:p>
        </w:tc>
        <w:tc>
          <w:tcPr>
            <w:tcW w:w="1050" w:type="dxa"/>
            <w:vAlign w:val="center"/>
          </w:tcPr>
          <w:p>
            <w:pPr>
              <w:pStyle w:val="TableNumber"/>
            </w:pPr>
            <w:r>
              <w:t>1/13</w:t>
            </w:r>
          </w:p>
        </w:tc>
        <w:tc>
          <w:tcPr>
            <w:tcW w:w="1550" w:type="dxa"/>
            <w:vAlign w:val="center"/>
          </w:tcPr>
          <w:p>
            <w:pPr>
              <w:pStyle w:val="TableNumber"/>
            </w:pPr>
            <w:r>
              <w:t>0.03633</w:t>
            </w:r>
          </w:p>
        </w:tc>
        <w:tc>
          <w:tcPr>
            <w:tcW w:w="1610" w:type="dxa"/>
            <w:vAlign w:val="center"/>
          </w:tcPr>
          <w:p>
            <w:pPr>
              <w:pStyle w:val="TableNumber"/>
            </w:pPr>
            <w:r>
              <w:t>0.9301</w:t>
            </w:r>
          </w:p>
        </w:tc>
      </w:tr>
      <w:tr>
        <w:trPr>
          <w:cantSplit/>
        </w:trPr>
        <w:tc>
          <w:tcPr>
            <w:tcW w:w="650" w:type="dxa"/>
            <w:vAlign w:val="center"/>
          </w:tcPr>
          <w:p>
            <w:pPr>
              <w:pStyle w:val="TableText"/>
            </w:pPr>
            <w:r>
              <w:t>4d</w:t>
            </w:r>
          </w:p>
        </w:tc>
        <w:tc>
          <w:tcPr>
            <w:tcW w:w="1400" w:type="dxa"/>
            <w:vAlign w:val="center"/>
          </w:tcPr>
          <w:p>
            <w:pPr>
              <w:pStyle w:val="TableNumber"/>
            </w:pPr>
            <w:r>
              <w:t>0.04639</w:t>
            </w:r>
          </w:p>
        </w:tc>
        <w:tc>
          <w:tcPr>
            <w:tcW w:w="1550" w:type="dxa"/>
            <w:vAlign w:val="center"/>
          </w:tcPr>
          <w:p>
            <w:pPr>
              <w:pStyle w:val="TableNumber"/>
            </w:pPr>
            <w:r>
              <w:t>0.01457</w:t>
            </w:r>
          </w:p>
        </w:tc>
        <w:tc>
          <w:tcPr>
            <w:tcW w:w="1550" w:type="dxa"/>
            <w:vAlign w:val="center"/>
          </w:tcPr>
          <w:p>
            <w:pPr>
              <w:pStyle w:val="TableNumber"/>
            </w:pPr>
            <w:r>
              <w:t>0.3140</w:t>
            </w:r>
          </w:p>
        </w:tc>
        <w:tc>
          <w:tcPr>
            <w:tcW w:w="1050" w:type="dxa"/>
            <w:vAlign w:val="center"/>
          </w:tcPr>
          <w:p>
            <w:pPr>
              <w:pStyle w:val="TableNumber"/>
            </w:pPr>
            <w:r>
              <w:t>1/13</w:t>
            </w:r>
          </w:p>
        </w:tc>
        <w:tc>
          <w:tcPr>
            <w:tcW w:w="1550" w:type="dxa"/>
            <w:vAlign w:val="center"/>
          </w:tcPr>
          <w:p>
            <w:pPr>
              <w:pStyle w:val="TableNumber"/>
            </w:pPr>
            <w:r>
              <w:t>0.04228</w:t>
            </w:r>
          </w:p>
        </w:tc>
        <w:tc>
          <w:tcPr>
            <w:tcW w:w="1610" w:type="dxa"/>
            <w:vAlign w:val="center"/>
          </w:tcPr>
          <w:p>
            <w:pPr>
              <w:pStyle w:val="TableNumber"/>
            </w:pPr>
            <w:r>
              <w:t>0.9114</w:t>
            </w:r>
          </w:p>
        </w:tc>
      </w:tr>
      <w:tr>
        <w:trPr>
          <w:cantSplit/>
        </w:trPr>
        <w:tc>
          <w:tcPr>
            <w:tcW w:w="650" w:type="dxa"/>
            <w:vAlign w:val="center"/>
          </w:tcPr>
          <w:p>
            <w:pPr>
              <w:pStyle w:val="TableText"/>
            </w:pPr>
            <w:r>
              <w:t>5d</w:t>
            </w:r>
          </w:p>
        </w:tc>
        <w:tc>
          <w:tcPr>
            <w:tcW w:w="1400" w:type="dxa"/>
            <w:vAlign w:val="center"/>
          </w:tcPr>
          <w:p>
            <w:pPr>
              <w:pStyle w:val="TableNumber"/>
            </w:pPr>
            <w:r>
              <w:t>0.05225</w:t>
            </w:r>
          </w:p>
        </w:tc>
        <w:tc>
          <w:tcPr>
            <w:tcW w:w="1550" w:type="dxa"/>
            <w:vAlign w:val="center"/>
          </w:tcPr>
          <w:p>
            <w:pPr>
              <w:pStyle w:val="TableNumber"/>
            </w:pPr>
            <w:r>
              <w:t>0.01629</w:t>
            </w:r>
          </w:p>
        </w:tc>
        <w:tc>
          <w:tcPr>
            <w:tcW w:w="1550" w:type="dxa"/>
            <w:vAlign w:val="center"/>
          </w:tcPr>
          <w:p>
            <w:pPr>
              <w:pStyle w:val="TableNumber"/>
            </w:pPr>
            <w:r>
              <w:t>0.3118</w:t>
            </w:r>
          </w:p>
        </w:tc>
        <w:tc>
          <w:tcPr>
            <w:tcW w:w="1050" w:type="dxa"/>
            <w:vAlign w:val="center"/>
          </w:tcPr>
          <w:p>
            <w:pPr>
              <w:pStyle w:val="TableNumber"/>
            </w:pPr>
            <w:r>
              <w:t>1/13</w:t>
            </w:r>
          </w:p>
        </w:tc>
        <w:tc>
          <w:tcPr>
            <w:tcW w:w="1550" w:type="dxa"/>
            <w:vAlign w:val="center"/>
          </w:tcPr>
          <w:p>
            <w:pPr>
              <w:pStyle w:val="TableNumber"/>
            </w:pPr>
            <w:r>
              <w:t>0.04711</w:t>
            </w:r>
          </w:p>
        </w:tc>
        <w:tc>
          <w:tcPr>
            <w:tcW w:w="1610" w:type="dxa"/>
            <w:vAlign w:val="center"/>
          </w:tcPr>
          <w:p>
            <w:pPr>
              <w:pStyle w:val="TableNumber"/>
            </w:pPr>
            <w:r>
              <w:t>0.9018</w:t>
            </w:r>
          </w:p>
        </w:tc>
      </w:tr>
      <w:tr>
        <w:trPr>
          <w:cantSplit/>
        </w:trPr>
        <w:tc>
          <w:tcPr>
            <w:tcW w:w="650" w:type="dxa"/>
            <w:vAlign w:val="center"/>
          </w:tcPr>
          <w:p>
            <w:pPr>
              <w:pStyle w:val="TableText"/>
            </w:pPr>
            <w:r>
              <w:t>6d</w:t>
            </w:r>
          </w:p>
        </w:tc>
        <w:tc>
          <w:tcPr>
            <w:tcW w:w="1400" w:type="dxa"/>
            <w:vAlign w:val="center"/>
          </w:tcPr>
          <w:p>
            <w:pPr>
              <w:pStyle w:val="TableNumber"/>
            </w:pPr>
            <w:r>
              <w:t>0.05786</w:t>
            </w:r>
          </w:p>
        </w:tc>
        <w:tc>
          <w:tcPr>
            <w:tcW w:w="1550" w:type="dxa"/>
            <w:vAlign w:val="center"/>
          </w:tcPr>
          <w:p>
            <w:pPr>
              <w:pStyle w:val="TableNumber"/>
            </w:pPr>
            <w:r>
              <w:t>0.01777</w:t>
            </w:r>
          </w:p>
        </w:tc>
        <w:tc>
          <w:tcPr>
            <w:tcW w:w="1550" w:type="dxa"/>
            <w:vAlign w:val="center"/>
          </w:tcPr>
          <w:p>
            <w:pPr>
              <w:pStyle w:val="TableNumber"/>
            </w:pPr>
            <w:r>
              <w:t>0.3071</w:t>
            </w:r>
          </w:p>
        </w:tc>
        <w:tc>
          <w:tcPr>
            <w:tcW w:w="1050" w:type="dxa"/>
            <w:vAlign w:val="center"/>
          </w:tcPr>
          <w:p>
            <w:pPr>
              <w:pStyle w:val="TableNumber"/>
            </w:pPr>
            <w:r>
              <w:t>1/13</w:t>
            </w:r>
          </w:p>
        </w:tc>
        <w:tc>
          <w:tcPr>
            <w:tcW w:w="1550" w:type="dxa"/>
            <w:vAlign w:val="center"/>
          </w:tcPr>
          <w:p>
            <w:pPr>
              <w:pStyle w:val="TableNumber"/>
            </w:pPr>
            <w:r>
              <w:t>0.05146</w:t>
            </w:r>
          </w:p>
        </w:tc>
        <w:tc>
          <w:tcPr>
            <w:tcW w:w="1610" w:type="dxa"/>
            <w:vAlign w:val="center"/>
          </w:tcPr>
          <w:p>
            <w:pPr>
              <w:pStyle w:val="TableNumber"/>
            </w:pPr>
            <w:r>
              <w:t>0.8894</w:t>
            </w:r>
          </w:p>
        </w:tc>
      </w:tr>
      <w:tr>
        <w:trPr>
          <w:cantSplit/>
        </w:trPr>
        <w:tc>
          <w:tcPr>
            <w:tcW w:w="650" w:type="dxa"/>
            <w:vAlign w:val="center"/>
          </w:tcPr>
          <w:p>
            <w:pPr>
              <w:pStyle w:val="TableText"/>
            </w:pPr>
            <w:r>
              <w:t>7d</w:t>
            </w:r>
          </w:p>
        </w:tc>
        <w:tc>
          <w:tcPr>
            <w:tcW w:w="1400" w:type="dxa"/>
            <w:vAlign w:val="center"/>
          </w:tcPr>
          <w:p>
            <w:pPr>
              <w:pStyle w:val="TableNumber"/>
            </w:pPr>
            <w:r>
              <w:t>0.06348</w:t>
            </w:r>
          </w:p>
        </w:tc>
        <w:tc>
          <w:tcPr>
            <w:tcW w:w="1550" w:type="dxa"/>
            <w:vAlign w:val="center"/>
          </w:tcPr>
          <w:p>
            <w:pPr>
              <w:pStyle w:val="TableNumber"/>
            </w:pPr>
            <w:r>
              <w:t>0.01917</w:t>
            </w:r>
          </w:p>
        </w:tc>
        <w:tc>
          <w:tcPr>
            <w:tcW w:w="1550" w:type="dxa"/>
            <w:vAlign w:val="center"/>
          </w:tcPr>
          <w:p>
            <w:pPr>
              <w:pStyle w:val="TableNumber"/>
            </w:pPr>
            <w:r>
              <w:t>0.3020</w:t>
            </w:r>
          </w:p>
        </w:tc>
        <w:tc>
          <w:tcPr>
            <w:tcW w:w="1050" w:type="dxa"/>
            <w:vAlign w:val="center"/>
          </w:tcPr>
          <w:p>
            <w:pPr>
              <w:pStyle w:val="TableNumber"/>
            </w:pPr>
            <w:r>
              <w:t>1/13</w:t>
            </w:r>
          </w:p>
        </w:tc>
        <w:tc>
          <w:tcPr>
            <w:tcW w:w="1550" w:type="dxa"/>
            <w:vAlign w:val="center"/>
          </w:tcPr>
          <w:p>
            <w:pPr>
              <w:pStyle w:val="TableNumber"/>
            </w:pPr>
            <w:r>
              <w:t>0.05560</w:t>
            </w:r>
          </w:p>
        </w:tc>
        <w:tc>
          <w:tcPr>
            <w:tcW w:w="1610" w:type="dxa"/>
            <w:vAlign w:val="center"/>
          </w:tcPr>
          <w:p>
            <w:pPr>
              <w:pStyle w:val="TableNumber"/>
            </w:pPr>
            <w:r>
              <w:t>0.8760</w:t>
            </w:r>
          </w:p>
        </w:tc>
      </w:tr>
      <w:tr>
        <w:trPr>
          <w:cantSplit/>
        </w:trPr>
        <w:tc>
          <w:tcPr>
            <w:tcW w:w="650" w:type="dxa"/>
            <w:vAlign w:val="center"/>
          </w:tcPr>
          <w:p>
            <w:pPr>
              <w:pStyle w:val="TableText"/>
            </w:pPr>
            <w:r>
              <w:t>8d</w:t>
            </w:r>
          </w:p>
        </w:tc>
        <w:tc>
          <w:tcPr>
            <w:tcW w:w="1400" w:type="dxa"/>
            <w:vAlign w:val="center"/>
          </w:tcPr>
          <w:p>
            <w:pPr>
              <w:pStyle w:val="TableNumber"/>
            </w:pPr>
            <w:r>
              <w:t>0.06836</w:t>
            </w:r>
          </w:p>
        </w:tc>
        <w:tc>
          <w:tcPr>
            <w:tcW w:w="1550" w:type="dxa"/>
            <w:vAlign w:val="center"/>
          </w:tcPr>
          <w:p>
            <w:pPr>
              <w:pStyle w:val="TableNumber"/>
            </w:pPr>
            <w:r>
              <w:t>0.02044</w:t>
            </w:r>
          </w:p>
        </w:tc>
        <w:tc>
          <w:tcPr>
            <w:tcW w:w="1550" w:type="dxa"/>
            <w:vAlign w:val="center"/>
          </w:tcPr>
          <w:p>
            <w:pPr>
              <w:pStyle w:val="TableNumber"/>
            </w:pPr>
            <w:r>
              <w:t>0.2990</w:t>
            </w:r>
          </w:p>
        </w:tc>
        <w:tc>
          <w:tcPr>
            <w:tcW w:w="1050" w:type="dxa"/>
            <w:vAlign w:val="center"/>
          </w:tcPr>
          <w:p>
            <w:pPr>
              <w:pStyle w:val="TableNumber"/>
            </w:pPr>
            <w:r>
              <w:t>1/13</w:t>
            </w:r>
          </w:p>
        </w:tc>
        <w:tc>
          <w:tcPr>
            <w:tcW w:w="1550" w:type="dxa"/>
            <w:vAlign w:val="center"/>
          </w:tcPr>
          <w:p>
            <w:pPr>
              <w:pStyle w:val="TableNumber"/>
            </w:pPr>
            <w:r>
              <w:t>0.05927</w:t>
            </w:r>
          </w:p>
        </w:tc>
        <w:tc>
          <w:tcPr>
            <w:tcW w:w="1610" w:type="dxa"/>
            <w:vAlign w:val="center"/>
          </w:tcPr>
          <w:p>
            <w:pPr>
              <w:pStyle w:val="TableNumber"/>
            </w:pPr>
            <w:r>
              <w:t>0.8670</w:t>
            </w:r>
          </w:p>
        </w:tc>
      </w:tr>
      <w:tr>
        <w:trPr>
          <w:cantSplit/>
        </w:trPr>
        <w:tc>
          <w:tcPr>
            <w:tcW w:w="650" w:type="dxa"/>
            <w:vAlign w:val="center"/>
          </w:tcPr>
          <w:p>
            <w:pPr>
              <w:pStyle w:val="TableText"/>
            </w:pPr>
            <w:r>
              <w:t>9d</w:t>
            </w:r>
          </w:p>
        </w:tc>
        <w:tc>
          <w:tcPr>
            <w:tcW w:w="1400" w:type="dxa"/>
            <w:vAlign w:val="center"/>
          </w:tcPr>
          <w:p>
            <w:pPr>
              <w:pStyle w:val="TableNumber"/>
            </w:pPr>
            <w:r>
              <w:t>0.07324</w:t>
            </w:r>
          </w:p>
        </w:tc>
        <w:tc>
          <w:tcPr>
            <w:tcW w:w="1550" w:type="dxa"/>
            <w:vAlign w:val="center"/>
          </w:tcPr>
          <w:p>
            <w:pPr>
              <w:pStyle w:val="TableNumber"/>
            </w:pPr>
            <w:r>
              <w:t>0.02162</w:t>
            </w:r>
          </w:p>
        </w:tc>
        <w:tc>
          <w:tcPr>
            <w:tcW w:w="1550" w:type="dxa"/>
            <w:vAlign w:val="center"/>
          </w:tcPr>
          <w:p>
            <w:pPr>
              <w:pStyle w:val="TableNumber"/>
            </w:pPr>
            <w:r>
              <w:t>0.2952</w:t>
            </w:r>
          </w:p>
        </w:tc>
        <w:tc>
          <w:tcPr>
            <w:tcW w:w="1050" w:type="dxa"/>
            <w:vAlign w:val="center"/>
          </w:tcPr>
          <w:p>
            <w:pPr>
              <w:pStyle w:val="TableNumber"/>
            </w:pPr>
            <w:r>
              <w:t>1/13</w:t>
            </w:r>
          </w:p>
        </w:tc>
        <w:tc>
          <w:tcPr>
            <w:tcW w:w="1550" w:type="dxa"/>
            <w:vAlign w:val="center"/>
          </w:tcPr>
          <w:p>
            <w:pPr>
              <w:pStyle w:val="TableNumber"/>
            </w:pPr>
            <w:r>
              <w:t>0.06278</w:t>
            </w:r>
          </w:p>
        </w:tc>
        <w:tc>
          <w:tcPr>
            <w:tcW w:w="1610" w:type="dxa"/>
            <w:vAlign w:val="center"/>
          </w:tcPr>
          <w:p>
            <w:pPr>
              <w:pStyle w:val="TableNumber"/>
            </w:pPr>
            <w:r>
              <w:t>0.8572</w:t>
            </w:r>
          </w:p>
        </w:tc>
      </w:tr>
      <w:tr>
        <w:trPr>
          <w:cantSplit/>
        </w:trPr>
        <w:tc>
          <w:tcPr>
            <w:tcW w:w="650" w:type="dxa"/>
            <w:vAlign w:val="center"/>
          </w:tcPr>
          <w:p>
            <w:pPr>
              <w:pStyle w:val="TableText"/>
            </w:pPr>
            <w:r>
              <w:t>10d</w:t>
            </w:r>
          </w:p>
        </w:tc>
        <w:tc>
          <w:tcPr>
            <w:tcW w:w="1400" w:type="dxa"/>
            <w:vAlign w:val="center"/>
          </w:tcPr>
          <w:p>
            <w:pPr>
              <w:pStyle w:val="TableNumber"/>
            </w:pPr>
            <w:r>
              <w:t>0.07715</w:t>
            </w:r>
          </w:p>
        </w:tc>
        <w:tc>
          <w:tcPr>
            <w:tcW w:w="1550" w:type="dxa"/>
            <w:vAlign w:val="center"/>
          </w:tcPr>
          <w:p>
            <w:pPr>
              <w:pStyle w:val="TableNumber"/>
            </w:pPr>
            <w:r>
              <w:t>0.02269</w:t>
            </w:r>
          </w:p>
        </w:tc>
        <w:tc>
          <w:tcPr>
            <w:tcW w:w="1550" w:type="dxa"/>
            <w:vAlign w:val="center"/>
          </w:tcPr>
          <w:p>
            <w:pPr>
              <w:pStyle w:val="TableNumber"/>
            </w:pPr>
            <w:r>
              <w:t>0.2941</w:t>
            </w:r>
          </w:p>
        </w:tc>
        <w:tc>
          <w:tcPr>
            <w:tcW w:w="1050" w:type="dxa"/>
            <w:vAlign w:val="center"/>
          </w:tcPr>
          <w:p>
            <w:pPr>
              <w:pStyle w:val="TableNumber"/>
            </w:pPr>
            <w:r>
              <w:t>1/13</w:t>
            </w:r>
          </w:p>
        </w:tc>
        <w:tc>
          <w:tcPr>
            <w:tcW w:w="1550" w:type="dxa"/>
            <w:vAlign w:val="center"/>
          </w:tcPr>
          <w:p>
            <w:pPr>
              <w:pStyle w:val="TableNumber"/>
            </w:pPr>
            <w:r>
              <w:t>0.06601</w:t>
            </w:r>
          </w:p>
        </w:tc>
        <w:tc>
          <w:tcPr>
            <w:tcW w:w="1610" w:type="dxa"/>
            <w:vAlign w:val="center"/>
          </w:tcPr>
          <w:p>
            <w:pPr>
              <w:pStyle w:val="TableNumber"/>
            </w:pPr>
            <w:r>
              <w:t>0.8556</w:t>
            </w:r>
          </w:p>
        </w:tc>
      </w:tr>
      <w:tr>
        <w:trPr>
          <w:cantSplit/>
        </w:trPr>
        <w:tc>
          <w:tcPr>
            <w:tcW w:w="650" w:type="dxa"/>
            <w:vAlign w:val="center"/>
          </w:tcPr>
          <w:p>
            <w:pPr>
              <w:pStyle w:val="TableText"/>
            </w:pPr>
            <w:r>
              <w:t>11d</w:t>
            </w:r>
          </w:p>
        </w:tc>
        <w:tc>
          <w:tcPr>
            <w:tcW w:w="1400" w:type="dxa"/>
            <w:vAlign w:val="center"/>
          </w:tcPr>
          <w:p>
            <w:pPr>
              <w:pStyle w:val="TableNumber"/>
            </w:pPr>
            <w:r>
              <w:t>0.08105</w:t>
            </w:r>
          </w:p>
        </w:tc>
        <w:tc>
          <w:tcPr>
            <w:tcW w:w="1550" w:type="dxa"/>
            <w:vAlign w:val="center"/>
          </w:tcPr>
          <w:p>
            <w:pPr>
              <w:pStyle w:val="TableNumber"/>
            </w:pPr>
            <w:r>
              <w:t>0.02382</w:t>
            </w:r>
          </w:p>
        </w:tc>
        <w:tc>
          <w:tcPr>
            <w:tcW w:w="1550" w:type="dxa"/>
            <w:vAlign w:val="center"/>
          </w:tcPr>
          <w:p>
            <w:pPr>
              <w:pStyle w:val="TableNumber"/>
            </w:pPr>
            <w:r>
              <w:t>0.2938</w:t>
            </w:r>
          </w:p>
        </w:tc>
        <w:tc>
          <w:tcPr>
            <w:tcW w:w="1050" w:type="dxa"/>
            <w:vAlign w:val="center"/>
          </w:tcPr>
          <w:p>
            <w:pPr>
              <w:pStyle w:val="TableNumber"/>
            </w:pPr>
            <w:r>
              <w:t>1/13</w:t>
            </w:r>
          </w:p>
        </w:tc>
        <w:tc>
          <w:tcPr>
            <w:tcW w:w="1550" w:type="dxa"/>
            <w:vAlign w:val="center"/>
          </w:tcPr>
          <w:p>
            <w:pPr>
              <w:pStyle w:val="TableNumber"/>
            </w:pPr>
            <w:r>
              <w:t>0.06944</w:t>
            </w:r>
          </w:p>
        </w:tc>
        <w:tc>
          <w:tcPr>
            <w:tcW w:w="1610" w:type="dxa"/>
            <w:vAlign w:val="center"/>
          </w:tcPr>
          <w:p>
            <w:pPr>
              <w:pStyle w:val="TableNumber"/>
            </w:pPr>
            <w:r>
              <w:t>0.8567</w:t>
            </w:r>
          </w:p>
        </w:tc>
      </w:tr>
      <w:tr>
        <w:trPr>
          <w:cantSplit/>
        </w:trPr>
        <w:tc>
          <w:tcPr>
            <w:tcW w:w="650" w:type="dxa"/>
            <w:vAlign w:val="center"/>
          </w:tcPr>
          <w:p>
            <w:pPr>
              <w:pStyle w:val="TableText"/>
            </w:pPr>
            <w:r>
              <w:t>12d</w:t>
            </w:r>
          </w:p>
        </w:tc>
        <w:tc>
          <w:tcPr>
            <w:tcW w:w="1400" w:type="dxa"/>
            <w:vAlign w:val="center"/>
          </w:tcPr>
          <w:p>
            <w:pPr>
              <w:pStyle w:val="TableNumber"/>
            </w:pPr>
            <w:r>
              <w:t>0.08594</w:t>
            </w:r>
          </w:p>
        </w:tc>
        <w:tc>
          <w:tcPr>
            <w:tcW w:w="1550" w:type="dxa"/>
            <w:vAlign w:val="center"/>
          </w:tcPr>
          <w:p>
            <w:pPr>
              <w:pStyle w:val="TableNumber"/>
            </w:pPr>
            <w:r>
              <w:t>0.02478</w:t>
            </w:r>
          </w:p>
        </w:tc>
        <w:tc>
          <w:tcPr>
            <w:tcW w:w="1550" w:type="dxa"/>
            <w:vAlign w:val="center"/>
          </w:tcPr>
          <w:p>
            <w:pPr>
              <w:pStyle w:val="TableNumber"/>
            </w:pPr>
            <w:r>
              <w:t>0.2883</w:t>
            </w:r>
          </w:p>
        </w:tc>
        <w:tc>
          <w:tcPr>
            <w:tcW w:w="1050" w:type="dxa"/>
            <w:vAlign w:val="center"/>
          </w:tcPr>
          <w:p>
            <w:pPr>
              <w:pStyle w:val="TableNumber"/>
            </w:pPr>
            <w:r>
              <w:t>1/13</w:t>
            </w:r>
          </w:p>
        </w:tc>
        <w:tc>
          <w:tcPr>
            <w:tcW w:w="1550" w:type="dxa"/>
            <w:vAlign w:val="center"/>
          </w:tcPr>
          <w:p>
            <w:pPr>
              <w:pStyle w:val="TableNumber"/>
            </w:pPr>
            <w:r>
              <w:t>0.07245</w:t>
            </w:r>
          </w:p>
        </w:tc>
        <w:tc>
          <w:tcPr>
            <w:tcW w:w="1610" w:type="dxa"/>
            <w:vAlign w:val="center"/>
          </w:tcPr>
          <w:p>
            <w:pPr>
              <w:pStyle w:val="TableNumber"/>
            </w:pPr>
            <w:r>
              <w:t>0.8431</w:t>
            </w:r>
          </w:p>
        </w:tc>
      </w:tr>
      <w:tr>
        <w:trPr>
          <w:cantSplit/>
        </w:trPr>
        <w:tc>
          <w:tcPr>
            <w:tcW w:w="650" w:type="dxa"/>
            <w:vAlign w:val="center"/>
          </w:tcPr>
          <w:p>
            <w:pPr>
              <w:pStyle w:val="TableText"/>
            </w:pPr>
            <w:r>
              <w:t>13d</w:t>
            </w:r>
          </w:p>
        </w:tc>
        <w:tc>
          <w:tcPr>
            <w:tcW w:w="1400" w:type="dxa"/>
            <w:vAlign w:val="center"/>
          </w:tcPr>
          <w:p>
            <w:pPr>
              <w:pStyle w:val="TableNumber"/>
            </w:pPr>
            <w:r>
              <w:t>0.09082</w:t>
            </w:r>
          </w:p>
        </w:tc>
        <w:tc>
          <w:tcPr>
            <w:tcW w:w="1550" w:type="dxa"/>
            <w:vAlign w:val="center"/>
          </w:tcPr>
          <w:p>
            <w:pPr>
              <w:pStyle w:val="TableNumber"/>
            </w:pPr>
            <w:r>
              <w:t>0.02576</w:t>
            </w:r>
          </w:p>
        </w:tc>
        <w:tc>
          <w:tcPr>
            <w:tcW w:w="1550" w:type="dxa"/>
            <w:vAlign w:val="center"/>
          </w:tcPr>
          <w:p>
            <w:pPr>
              <w:pStyle w:val="TableNumber"/>
            </w:pPr>
            <w:r>
              <w:t>0.2836</w:t>
            </w:r>
          </w:p>
        </w:tc>
        <w:tc>
          <w:tcPr>
            <w:tcW w:w="1050" w:type="dxa"/>
            <w:vAlign w:val="center"/>
          </w:tcPr>
          <w:p>
            <w:pPr>
              <w:pStyle w:val="TableNumber"/>
            </w:pPr>
            <w:r>
              <w:t>1/13</w:t>
            </w:r>
          </w:p>
        </w:tc>
        <w:tc>
          <w:tcPr>
            <w:tcW w:w="1550" w:type="dxa"/>
            <w:vAlign w:val="center"/>
          </w:tcPr>
          <w:p>
            <w:pPr>
              <w:pStyle w:val="TableNumber"/>
            </w:pPr>
            <w:r>
              <w:t>0.07521</w:t>
            </w:r>
          </w:p>
        </w:tc>
        <w:tc>
          <w:tcPr>
            <w:tcW w:w="1610" w:type="dxa"/>
            <w:vAlign w:val="center"/>
          </w:tcPr>
          <w:p>
            <w:pPr>
              <w:pStyle w:val="TableNumber"/>
            </w:pPr>
            <w:r>
              <w:t>0.8281</w:t>
            </w:r>
          </w:p>
        </w:tc>
      </w:tr>
      <w:tr>
        <w:trPr>
          <w:cantSplit/>
        </w:trPr>
        <w:tc>
          <w:tcPr>
            <w:tcW w:w="650" w:type="dxa"/>
            <w:vAlign w:val="center"/>
          </w:tcPr>
          <w:p>
            <w:pPr>
              <w:pStyle w:val="TableText"/>
            </w:pPr>
            <w:r>
              <w:t>14d</w:t>
            </w:r>
          </w:p>
        </w:tc>
        <w:tc>
          <w:tcPr>
            <w:tcW w:w="1400" w:type="dxa"/>
            <w:vAlign w:val="center"/>
          </w:tcPr>
          <w:p>
            <w:pPr>
              <w:pStyle w:val="TableNumber"/>
            </w:pPr>
            <w:r>
              <w:t>0.09424</w:t>
            </w:r>
          </w:p>
        </w:tc>
        <w:tc>
          <w:tcPr>
            <w:tcW w:w="1550" w:type="dxa"/>
            <w:vAlign w:val="center"/>
          </w:tcPr>
          <w:p>
            <w:pPr>
              <w:pStyle w:val="TableNumber"/>
            </w:pPr>
            <w:r>
              <w:t>0.02668</w:t>
            </w:r>
          </w:p>
        </w:tc>
        <w:tc>
          <w:tcPr>
            <w:tcW w:w="1550" w:type="dxa"/>
            <w:vAlign w:val="center"/>
          </w:tcPr>
          <w:p>
            <w:pPr>
              <w:pStyle w:val="TableNumber"/>
            </w:pPr>
            <w:r>
              <w:t>0.2832</w:t>
            </w:r>
          </w:p>
        </w:tc>
        <w:tc>
          <w:tcPr>
            <w:tcW w:w="1050" w:type="dxa"/>
            <w:vAlign w:val="center"/>
          </w:tcPr>
          <w:p>
            <w:pPr>
              <w:pStyle w:val="TableNumber"/>
            </w:pPr>
            <w:r>
              <w:t>1/13</w:t>
            </w:r>
          </w:p>
        </w:tc>
        <w:tc>
          <w:tcPr>
            <w:tcW w:w="1550" w:type="dxa"/>
            <w:vAlign w:val="center"/>
          </w:tcPr>
          <w:p>
            <w:pPr>
              <w:pStyle w:val="TableNumber"/>
            </w:pPr>
            <w:r>
              <w:t>0.07808</w:t>
            </w:r>
          </w:p>
        </w:tc>
        <w:tc>
          <w:tcPr>
            <w:tcW w:w="1610" w:type="dxa"/>
            <w:vAlign w:val="center"/>
          </w:tcPr>
          <w:p>
            <w:pPr>
              <w:pStyle w:val="TableNumber"/>
            </w:pPr>
            <w:r>
              <w:t>0.8285</w:t>
            </w:r>
          </w:p>
        </w:tc>
      </w:tr>
    </w:tbl>
    <w:p>
      <w:pPr>
        <w:pStyle w:val="a"/>
      </w:pPr>
      <w:r>
        <w:t>raw pinball 與 MAE 隨 horizon 變長而增加，主要因長期真值本身波動較大。除以 train-only robust scale 後，normalized pinball 從 1 日 0.3819 下降到 14 日 0.2832；這表示模型相對於各 horizon 自身尺度的分布誤差較低，不表示 14 日的原始金額誤差較小。</w:t>
      </w:r>
    </w:p>
    <w:p>
      <w:pPr>
        <w:pStyle w:val="21"/>
      </w:pPr>
      <w:r>
        <w:t>6.2 q50 與區間校準</w:t>
      </w:r>
    </w:p>
    <w:p>
      <w:pPr>
        <w:pStyle w:val="Decision"/>
        <w:keepNext/>
        <w:spacing w:after="80"/>
      </w:pPr>
      <w:r>
        <w:t>表 8｜每個 horizon 的點預測與區間</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離80%差距</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0.0460</w:t>
            </w:r>
          </w:p>
        </w:tc>
        <w:tc>
          <w:tcPr>
            <w:tcW w:w="1650" w:type="dxa"/>
            <w:vAlign w:val="center"/>
          </w:tcPr>
          <w:p>
            <w:pPr>
              <w:pStyle w:val="TableNumber"/>
            </w:pPr>
            <w:r>
              <w:t>48.33%</w:t>
            </w:r>
          </w:p>
        </w:tc>
        <w:tc>
          <w:tcPr>
            <w:tcW w:w="1650" w:type="dxa"/>
            <w:vAlign w:val="center"/>
          </w:tcPr>
          <w:p>
            <w:pPr>
              <w:pStyle w:val="TableNumber"/>
            </w:pPr>
            <w:r>
              <w:t>72.15%</w:t>
            </w:r>
          </w:p>
        </w:tc>
        <w:tc>
          <w:tcPr>
            <w:tcW w:w="1800" w:type="dxa"/>
            <w:vAlign w:val="center"/>
          </w:tcPr>
          <w:p>
            <w:pPr>
              <w:pStyle w:val="TableNumber"/>
            </w:pPr>
            <w:r>
              <w:t>7.85 pp</w:t>
            </w:r>
          </w:p>
        </w:tc>
        <w:tc>
          <w:tcPr>
            <w:tcW w:w="1960" w:type="dxa"/>
            <w:vAlign w:val="center"/>
          </w:tcPr>
          <w:p>
            <w:pPr>
              <w:pStyle w:val="TableNumber"/>
            </w:pPr>
            <w:r>
              <w:t>0.0548</w:t>
            </w:r>
          </w:p>
        </w:tc>
      </w:tr>
      <w:tr>
        <w:trPr>
          <w:cantSplit/>
        </w:trPr>
        <w:tc>
          <w:tcPr>
            <w:tcW w:w="700" w:type="dxa"/>
            <w:vAlign w:val="center"/>
          </w:tcPr>
          <w:p>
            <w:pPr>
              <w:pStyle w:val="TableText"/>
            </w:pPr>
            <w:r>
              <w:t>2d</w:t>
            </w:r>
          </w:p>
        </w:tc>
        <w:tc>
          <w:tcPr>
            <w:tcW w:w="1600" w:type="dxa"/>
            <w:vAlign w:val="center"/>
          </w:tcPr>
          <w:p>
            <w:pPr>
              <w:pStyle w:val="TableNumber"/>
            </w:pPr>
            <w:r>
              <w:t>0.0702</w:t>
            </w:r>
          </w:p>
        </w:tc>
        <w:tc>
          <w:tcPr>
            <w:tcW w:w="1650" w:type="dxa"/>
            <w:vAlign w:val="center"/>
          </w:tcPr>
          <w:p>
            <w:pPr>
              <w:pStyle w:val="TableNumber"/>
            </w:pPr>
            <w:r>
              <w:t>48.84%</w:t>
            </w:r>
          </w:p>
        </w:tc>
        <w:tc>
          <w:tcPr>
            <w:tcW w:w="1650" w:type="dxa"/>
            <w:vAlign w:val="center"/>
          </w:tcPr>
          <w:p>
            <w:pPr>
              <w:pStyle w:val="TableNumber"/>
            </w:pPr>
            <w:r>
              <w:t>74.79%</w:t>
            </w:r>
          </w:p>
        </w:tc>
        <w:tc>
          <w:tcPr>
            <w:tcW w:w="1800" w:type="dxa"/>
            <w:vAlign w:val="center"/>
          </w:tcPr>
          <w:p>
            <w:pPr>
              <w:pStyle w:val="TableNumber"/>
            </w:pPr>
            <w:r>
              <w:t>5.21 pp</w:t>
            </w:r>
          </w:p>
        </w:tc>
        <w:tc>
          <w:tcPr>
            <w:tcW w:w="1960" w:type="dxa"/>
            <w:vAlign w:val="center"/>
          </w:tcPr>
          <w:p>
            <w:pPr>
              <w:pStyle w:val="TableNumber"/>
            </w:pPr>
            <w:r>
              <w:t>0.0800</w:t>
            </w:r>
          </w:p>
        </w:tc>
      </w:tr>
      <w:tr>
        <w:trPr>
          <w:cantSplit/>
        </w:trPr>
        <w:tc>
          <w:tcPr>
            <w:tcW w:w="700" w:type="dxa"/>
            <w:vAlign w:val="center"/>
          </w:tcPr>
          <w:p>
            <w:pPr>
              <w:pStyle w:val="TableText"/>
            </w:pPr>
            <w:r>
              <w:t>3d</w:t>
            </w:r>
          </w:p>
        </w:tc>
        <w:tc>
          <w:tcPr>
            <w:tcW w:w="1600" w:type="dxa"/>
            <w:vAlign w:val="center"/>
          </w:tcPr>
          <w:p>
            <w:pPr>
              <w:pStyle w:val="TableNumber"/>
            </w:pPr>
            <w:r>
              <w:t>0.0894</w:t>
            </w:r>
          </w:p>
        </w:tc>
        <w:tc>
          <w:tcPr>
            <w:tcW w:w="1650" w:type="dxa"/>
            <w:vAlign w:val="center"/>
          </w:tcPr>
          <w:p>
            <w:pPr>
              <w:pStyle w:val="TableNumber"/>
            </w:pPr>
            <w:r>
              <w:t>52.68%</w:t>
            </w:r>
          </w:p>
        </w:tc>
        <w:tc>
          <w:tcPr>
            <w:tcW w:w="1650" w:type="dxa"/>
            <w:vAlign w:val="center"/>
          </w:tcPr>
          <w:p>
            <w:pPr>
              <w:pStyle w:val="TableNumber"/>
            </w:pPr>
            <w:r>
              <w:t>73.95%</w:t>
            </w:r>
          </w:p>
        </w:tc>
        <w:tc>
          <w:tcPr>
            <w:tcW w:w="1800" w:type="dxa"/>
            <w:vAlign w:val="center"/>
          </w:tcPr>
          <w:p>
            <w:pPr>
              <w:pStyle w:val="TableNumber"/>
            </w:pPr>
            <w:r>
              <w:t>6.05 pp</w:t>
            </w:r>
          </w:p>
        </w:tc>
        <w:tc>
          <w:tcPr>
            <w:tcW w:w="1960" w:type="dxa"/>
            <w:vAlign w:val="center"/>
          </w:tcPr>
          <w:p>
            <w:pPr>
              <w:pStyle w:val="TableNumber"/>
            </w:pPr>
            <w:r>
              <w:t>0.0982</w:t>
            </w:r>
          </w:p>
        </w:tc>
      </w:tr>
      <w:tr>
        <w:trPr>
          <w:cantSplit/>
        </w:trPr>
        <w:tc>
          <w:tcPr>
            <w:tcW w:w="700" w:type="dxa"/>
            <w:vAlign w:val="center"/>
          </w:tcPr>
          <w:p>
            <w:pPr>
              <w:pStyle w:val="TableText"/>
            </w:pPr>
            <w:r>
              <w:t>4d</w:t>
            </w:r>
          </w:p>
        </w:tc>
        <w:tc>
          <w:tcPr>
            <w:tcW w:w="1600" w:type="dxa"/>
            <w:vAlign w:val="center"/>
          </w:tcPr>
          <w:p>
            <w:pPr>
              <w:pStyle w:val="TableNumber"/>
            </w:pPr>
            <w:r>
              <w:t>0.1016</w:t>
            </w:r>
          </w:p>
        </w:tc>
        <w:tc>
          <w:tcPr>
            <w:tcW w:w="1650" w:type="dxa"/>
            <w:vAlign w:val="center"/>
          </w:tcPr>
          <w:p>
            <w:pPr>
              <w:pStyle w:val="TableNumber"/>
            </w:pPr>
            <w:r>
              <w:t>53.06%</w:t>
            </w:r>
          </w:p>
        </w:tc>
        <w:tc>
          <w:tcPr>
            <w:tcW w:w="1650" w:type="dxa"/>
            <w:vAlign w:val="center"/>
          </w:tcPr>
          <w:p>
            <w:pPr>
              <w:pStyle w:val="TableNumber"/>
            </w:pPr>
            <w:r>
              <w:t>72.91%</w:t>
            </w:r>
          </w:p>
        </w:tc>
        <w:tc>
          <w:tcPr>
            <w:tcW w:w="1800" w:type="dxa"/>
            <w:vAlign w:val="center"/>
          </w:tcPr>
          <w:p>
            <w:pPr>
              <w:pStyle w:val="TableNumber"/>
            </w:pPr>
            <w:r>
              <w:t>7.10 pp</w:t>
            </w:r>
          </w:p>
        </w:tc>
        <w:tc>
          <w:tcPr>
            <w:tcW w:w="1960" w:type="dxa"/>
            <w:vAlign w:val="center"/>
          </w:tcPr>
          <w:p>
            <w:pPr>
              <w:pStyle w:val="TableNumber"/>
            </w:pPr>
            <w:r>
              <w:t>0.1112</w:t>
            </w:r>
          </w:p>
        </w:tc>
      </w:tr>
      <w:tr>
        <w:trPr>
          <w:cantSplit/>
        </w:trPr>
        <w:tc>
          <w:tcPr>
            <w:tcW w:w="700" w:type="dxa"/>
            <w:vAlign w:val="center"/>
          </w:tcPr>
          <w:p>
            <w:pPr>
              <w:pStyle w:val="TableText"/>
            </w:pPr>
            <w:r>
              <w:t>5d</w:t>
            </w:r>
          </w:p>
        </w:tc>
        <w:tc>
          <w:tcPr>
            <w:tcW w:w="1600" w:type="dxa"/>
            <w:vAlign w:val="center"/>
          </w:tcPr>
          <w:p>
            <w:pPr>
              <w:pStyle w:val="TableNumber"/>
            </w:pPr>
            <w:r>
              <w:t>0.1078</w:t>
            </w:r>
          </w:p>
        </w:tc>
        <w:tc>
          <w:tcPr>
            <w:tcW w:w="1650" w:type="dxa"/>
            <w:vAlign w:val="center"/>
          </w:tcPr>
          <w:p>
            <w:pPr>
              <w:pStyle w:val="TableNumber"/>
            </w:pPr>
            <w:r>
              <w:t>54.45%</w:t>
            </w:r>
          </w:p>
        </w:tc>
        <w:tc>
          <w:tcPr>
            <w:tcW w:w="1650" w:type="dxa"/>
            <w:vAlign w:val="center"/>
          </w:tcPr>
          <w:p>
            <w:pPr>
              <w:pStyle w:val="TableNumber"/>
            </w:pPr>
            <w:r>
              <w:t>72.26%</w:t>
            </w:r>
          </w:p>
        </w:tc>
        <w:tc>
          <w:tcPr>
            <w:tcW w:w="1800" w:type="dxa"/>
            <w:vAlign w:val="center"/>
          </w:tcPr>
          <w:p>
            <w:pPr>
              <w:pStyle w:val="TableNumber"/>
            </w:pPr>
            <w:r>
              <w:t>7.74 pp</w:t>
            </w:r>
          </w:p>
        </w:tc>
        <w:tc>
          <w:tcPr>
            <w:tcW w:w="1960" w:type="dxa"/>
            <w:vAlign w:val="center"/>
          </w:tcPr>
          <w:p>
            <w:pPr>
              <w:pStyle w:val="TableNumber"/>
            </w:pPr>
            <w:r>
              <w:t>0.1229</w:t>
            </w:r>
          </w:p>
        </w:tc>
      </w:tr>
      <w:tr>
        <w:trPr>
          <w:cantSplit/>
        </w:trPr>
        <w:tc>
          <w:tcPr>
            <w:tcW w:w="700" w:type="dxa"/>
            <w:vAlign w:val="center"/>
          </w:tcPr>
          <w:p>
            <w:pPr>
              <w:pStyle w:val="TableText"/>
            </w:pPr>
            <w:r>
              <w:t>6d</w:t>
            </w:r>
          </w:p>
        </w:tc>
        <w:tc>
          <w:tcPr>
            <w:tcW w:w="1600" w:type="dxa"/>
            <w:vAlign w:val="center"/>
          </w:tcPr>
          <w:p>
            <w:pPr>
              <w:pStyle w:val="TableNumber"/>
            </w:pPr>
            <w:r>
              <w:t>0.1116</w:t>
            </w:r>
          </w:p>
        </w:tc>
        <w:tc>
          <w:tcPr>
            <w:tcW w:w="1650" w:type="dxa"/>
            <w:vAlign w:val="center"/>
          </w:tcPr>
          <w:p>
            <w:pPr>
              <w:pStyle w:val="TableNumber"/>
            </w:pPr>
            <w:r>
              <w:t>54.97%</w:t>
            </w:r>
          </w:p>
        </w:tc>
        <w:tc>
          <w:tcPr>
            <w:tcW w:w="1650" w:type="dxa"/>
            <w:vAlign w:val="center"/>
          </w:tcPr>
          <w:p>
            <w:pPr>
              <w:pStyle w:val="TableNumber"/>
            </w:pPr>
            <w:r>
              <w:t>71.94%</w:t>
            </w:r>
          </w:p>
        </w:tc>
        <w:tc>
          <w:tcPr>
            <w:tcW w:w="1800" w:type="dxa"/>
            <w:vAlign w:val="center"/>
          </w:tcPr>
          <w:p>
            <w:pPr>
              <w:pStyle w:val="TableNumber"/>
            </w:pPr>
            <w:r>
              <w:t>8.06 pp</w:t>
            </w:r>
          </w:p>
        </w:tc>
        <w:tc>
          <w:tcPr>
            <w:tcW w:w="1960" w:type="dxa"/>
            <w:vAlign w:val="center"/>
          </w:tcPr>
          <w:p>
            <w:pPr>
              <w:pStyle w:val="TableNumber"/>
            </w:pPr>
            <w:r>
              <w:t>0.1337</w:t>
            </w:r>
          </w:p>
        </w:tc>
      </w:tr>
      <w:tr>
        <w:trPr>
          <w:cantSplit/>
        </w:trPr>
        <w:tc>
          <w:tcPr>
            <w:tcW w:w="700" w:type="dxa"/>
            <w:vAlign w:val="center"/>
          </w:tcPr>
          <w:p>
            <w:pPr>
              <w:pStyle w:val="TableText"/>
            </w:pPr>
            <w:r>
              <w:t>7d</w:t>
            </w:r>
          </w:p>
        </w:tc>
        <w:tc>
          <w:tcPr>
            <w:tcW w:w="1600" w:type="dxa"/>
            <w:vAlign w:val="center"/>
          </w:tcPr>
          <w:p>
            <w:pPr>
              <w:pStyle w:val="TableNumber"/>
            </w:pPr>
            <w:r>
              <w:t>0.1186</w:t>
            </w:r>
          </w:p>
        </w:tc>
        <w:tc>
          <w:tcPr>
            <w:tcW w:w="1650" w:type="dxa"/>
            <w:vAlign w:val="center"/>
          </w:tcPr>
          <w:p>
            <w:pPr>
              <w:pStyle w:val="TableNumber"/>
            </w:pPr>
            <w:r>
              <w:t>54.56%</w:t>
            </w:r>
          </w:p>
        </w:tc>
        <w:tc>
          <w:tcPr>
            <w:tcW w:w="1650" w:type="dxa"/>
            <w:vAlign w:val="center"/>
          </w:tcPr>
          <w:p>
            <w:pPr>
              <w:pStyle w:val="TableNumber"/>
            </w:pPr>
            <w:r>
              <w:t>71.75%</w:t>
            </w:r>
          </w:p>
        </w:tc>
        <w:tc>
          <w:tcPr>
            <w:tcW w:w="1800" w:type="dxa"/>
            <w:vAlign w:val="center"/>
          </w:tcPr>
          <w:p>
            <w:pPr>
              <w:pStyle w:val="TableNumber"/>
            </w:pPr>
            <w:r>
              <w:t>8.25 pp</w:t>
            </w:r>
          </w:p>
        </w:tc>
        <w:tc>
          <w:tcPr>
            <w:tcW w:w="1960" w:type="dxa"/>
            <w:vAlign w:val="center"/>
          </w:tcPr>
          <w:p>
            <w:pPr>
              <w:pStyle w:val="TableNumber"/>
            </w:pPr>
            <w:r>
              <w:t>0.1431</w:t>
            </w:r>
          </w:p>
        </w:tc>
      </w:tr>
      <w:tr>
        <w:trPr>
          <w:cantSplit/>
        </w:trPr>
        <w:tc>
          <w:tcPr>
            <w:tcW w:w="700" w:type="dxa"/>
            <w:vAlign w:val="center"/>
          </w:tcPr>
          <w:p>
            <w:pPr>
              <w:pStyle w:val="TableText"/>
            </w:pPr>
            <w:r>
              <w:t>8d</w:t>
            </w:r>
          </w:p>
        </w:tc>
        <w:tc>
          <w:tcPr>
            <w:tcW w:w="1600" w:type="dxa"/>
            <w:vAlign w:val="center"/>
          </w:tcPr>
          <w:p>
            <w:pPr>
              <w:pStyle w:val="TableNumber"/>
            </w:pPr>
            <w:r>
              <w:t>0.1159</w:t>
            </w:r>
          </w:p>
        </w:tc>
        <w:tc>
          <w:tcPr>
            <w:tcW w:w="1650" w:type="dxa"/>
            <w:vAlign w:val="center"/>
          </w:tcPr>
          <w:p>
            <w:pPr>
              <w:pStyle w:val="TableNumber"/>
            </w:pPr>
            <w:r>
              <w:t>55.21%</w:t>
            </w:r>
          </w:p>
        </w:tc>
        <w:tc>
          <w:tcPr>
            <w:tcW w:w="1650" w:type="dxa"/>
            <w:vAlign w:val="center"/>
          </w:tcPr>
          <w:p>
            <w:pPr>
              <w:pStyle w:val="TableNumber"/>
            </w:pPr>
            <w:r>
              <w:t>71.77%</w:t>
            </w:r>
          </w:p>
        </w:tc>
        <w:tc>
          <w:tcPr>
            <w:tcW w:w="1800" w:type="dxa"/>
            <w:vAlign w:val="center"/>
          </w:tcPr>
          <w:p>
            <w:pPr>
              <w:pStyle w:val="TableNumber"/>
            </w:pPr>
            <w:r>
              <w:t>8.23 pp</w:t>
            </w:r>
          </w:p>
        </w:tc>
        <w:tc>
          <w:tcPr>
            <w:tcW w:w="1960" w:type="dxa"/>
            <w:vAlign w:val="center"/>
          </w:tcPr>
          <w:p>
            <w:pPr>
              <w:pStyle w:val="TableNumber"/>
            </w:pPr>
            <w:r>
              <w:t>0.1532</w:t>
            </w:r>
          </w:p>
        </w:tc>
      </w:tr>
      <w:tr>
        <w:trPr>
          <w:cantSplit/>
        </w:trPr>
        <w:tc>
          <w:tcPr>
            <w:tcW w:w="700" w:type="dxa"/>
            <w:vAlign w:val="center"/>
          </w:tcPr>
          <w:p>
            <w:pPr>
              <w:pStyle w:val="TableText"/>
            </w:pPr>
            <w:r>
              <w:t>9d</w:t>
            </w:r>
          </w:p>
        </w:tc>
        <w:tc>
          <w:tcPr>
            <w:tcW w:w="1600" w:type="dxa"/>
            <w:vAlign w:val="center"/>
          </w:tcPr>
          <w:p>
            <w:pPr>
              <w:pStyle w:val="TableNumber"/>
            </w:pPr>
            <w:r>
              <w:t>0.1272</w:t>
            </w:r>
          </w:p>
        </w:tc>
        <w:tc>
          <w:tcPr>
            <w:tcW w:w="1650" w:type="dxa"/>
            <w:vAlign w:val="center"/>
          </w:tcPr>
          <w:p>
            <w:pPr>
              <w:pStyle w:val="TableNumber"/>
            </w:pPr>
            <w:r>
              <w:t>54.41%</w:t>
            </w:r>
          </w:p>
        </w:tc>
        <w:tc>
          <w:tcPr>
            <w:tcW w:w="1650" w:type="dxa"/>
            <w:vAlign w:val="center"/>
          </w:tcPr>
          <w:p>
            <w:pPr>
              <w:pStyle w:val="TableNumber"/>
            </w:pPr>
            <w:r>
              <w:t>70.49%</w:t>
            </w:r>
          </w:p>
        </w:tc>
        <w:tc>
          <w:tcPr>
            <w:tcW w:w="1800" w:type="dxa"/>
            <w:vAlign w:val="center"/>
          </w:tcPr>
          <w:p>
            <w:pPr>
              <w:pStyle w:val="TableNumber"/>
            </w:pPr>
            <w:r>
              <w:t>9.51 pp</w:t>
            </w:r>
          </w:p>
        </w:tc>
        <w:tc>
          <w:tcPr>
            <w:tcW w:w="1960" w:type="dxa"/>
            <w:vAlign w:val="center"/>
          </w:tcPr>
          <w:p>
            <w:pPr>
              <w:pStyle w:val="TableNumber"/>
            </w:pPr>
            <w:r>
              <w:t>0.1625</w:t>
            </w:r>
          </w:p>
        </w:tc>
      </w:tr>
      <w:tr>
        <w:trPr>
          <w:cantSplit/>
        </w:trPr>
        <w:tc>
          <w:tcPr>
            <w:tcW w:w="700" w:type="dxa"/>
            <w:vAlign w:val="center"/>
          </w:tcPr>
          <w:p>
            <w:pPr>
              <w:pStyle w:val="TableText"/>
            </w:pPr>
            <w:r>
              <w:t>10d</w:t>
            </w:r>
          </w:p>
        </w:tc>
        <w:tc>
          <w:tcPr>
            <w:tcW w:w="1600" w:type="dxa"/>
            <w:vAlign w:val="center"/>
          </w:tcPr>
          <w:p>
            <w:pPr>
              <w:pStyle w:val="TableNumber"/>
            </w:pPr>
            <w:r>
              <w:t>0.1297</w:t>
            </w:r>
          </w:p>
        </w:tc>
        <w:tc>
          <w:tcPr>
            <w:tcW w:w="1650" w:type="dxa"/>
            <w:vAlign w:val="center"/>
          </w:tcPr>
          <w:p>
            <w:pPr>
              <w:pStyle w:val="TableNumber"/>
            </w:pPr>
            <w:r>
              <w:t>54.16%</w:t>
            </w:r>
          </w:p>
        </w:tc>
        <w:tc>
          <w:tcPr>
            <w:tcW w:w="1650" w:type="dxa"/>
            <w:vAlign w:val="center"/>
          </w:tcPr>
          <w:p>
            <w:pPr>
              <w:pStyle w:val="TableNumber"/>
            </w:pPr>
            <w:r>
              <w:t>70.98%</w:t>
            </w:r>
          </w:p>
        </w:tc>
        <w:tc>
          <w:tcPr>
            <w:tcW w:w="1800" w:type="dxa"/>
            <w:vAlign w:val="center"/>
          </w:tcPr>
          <w:p>
            <w:pPr>
              <w:pStyle w:val="TableNumber"/>
            </w:pPr>
            <w:r>
              <w:t>9.02 pp</w:t>
            </w:r>
          </w:p>
        </w:tc>
        <w:tc>
          <w:tcPr>
            <w:tcW w:w="1960" w:type="dxa"/>
            <w:vAlign w:val="center"/>
          </w:tcPr>
          <w:p>
            <w:pPr>
              <w:pStyle w:val="TableNumber"/>
            </w:pPr>
            <w:r>
              <w:t>0.1718</w:t>
            </w:r>
          </w:p>
        </w:tc>
      </w:tr>
      <w:tr>
        <w:trPr>
          <w:cantSplit/>
        </w:trPr>
        <w:tc>
          <w:tcPr>
            <w:tcW w:w="700" w:type="dxa"/>
            <w:vAlign w:val="center"/>
          </w:tcPr>
          <w:p>
            <w:pPr>
              <w:pStyle w:val="TableText"/>
            </w:pPr>
            <w:r>
              <w:t>11d</w:t>
            </w:r>
          </w:p>
        </w:tc>
        <w:tc>
          <w:tcPr>
            <w:tcW w:w="1600" w:type="dxa"/>
            <w:vAlign w:val="center"/>
          </w:tcPr>
          <w:p>
            <w:pPr>
              <w:pStyle w:val="TableNumber"/>
            </w:pPr>
            <w:r>
              <w:t>0.1367</w:t>
            </w:r>
          </w:p>
        </w:tc>
        <w:tc>
          <w:tcPr>
            <w:tcW w:w="1650" w:type="dxa"/>
            <w:vAlign w:val="center"/>
          </w:tcPr>
          <w:p>
            <w:pPr>
              <w:pStyle w:val="TableNumber"/>
            </w:pPr>
            <w:r>
              <w:t>54.77%</w:t>
            </w:r>
          </w:p>
        </w:tc>
        <w:tc>
          <w:tcPr>
            <w:tcW w:w="1650" w:type="dxa"/>
            <w:vAlign w:val="center"/>
          </w:tcPr>
          <w:p>
            <w:pPr>
              <w:pStyle w:val="TableNumber"/>
            </w:pPr>
            <w:r>
              <w:t>70.05%</w:t>
            </w:r>
          </w:p>
        </w:tc>
        <w:tc>
          <w:tcPr>
            <w:tcW w:w="1800" w:type="dxa"/>
            <w:vAlign w:val="center"/>
          </w:tcPr>
          <w:p>
            <w:pPr>
              <w:pStyle w:val="TableNumber"/>
            </w:pPr>
            <w:r>
              <w:t>9.95 pp</w:t>
            </w:r>
          </w:p>
        </w:tc>
        <w:tc>
          <w:tcPr>
            <w:tcW w:w="1960" w:type="dxa"/>
            <w:vAlign w:val="center"/>
          </w:tcPr>
          <w:p>
            <w:pPr>
              <w:pStyle w:val="TableNumber"/>
            </w:pPr>
            <w:r>
              <w:t>0.1785</w:t>
            </w:r>
          </w:p>
        </w:tc>
      </w:tr>
      <w:tr>
        <w:trPr>
          <w:cantSplit/>
        </w:trPr>
        <w:tc>
          <w:tcPr>
            <w:tcW w:w="700" w:type="dxa"/>
            <w:vAlign w:val="center"/>
          </w:tcPr>
          <w:p>
            <w:pPr>
              <w:pStyle w:val="TableText"/>
            </w:pPr>
            <w:r>
              <w:t>12d</w:t>
            </w:r>
          </w:p>
        </w:tc>
        <w:tc>
          <w:tcPr>
            <w:tcW w:w="1600" w:type="dxa"/>
            <w:vAlign w:val="center"/>
          </w:tcPr>
          <w:p>
            <w:pPr>
              <w:pStyle w:val="TableNumber"/>
            </w:pPr>
            <w:r>
              <w:t>0.1447</w:t>
            </w:r>
          </w:p>
        </w:tc>
        <w:tc>
          <w:tcPr>
            <w:tcW w:w="1650" w:type="dxa"/>
            <w:vAlign w:val="center"/>
          </w:tcPr>
          <w:p>
            <w:pPr>
              <w:pStyle w:val="TableNumber"/>
            </w:pPr>
            <w:r>
              <w:t>54.93%</w:t>
            </w:r>
          </w:p>
        </w:tc>
        <w:tc>
          <w:tcPr>
            <w:tcW w:w="1650" w:type="dxa"/>
            <w:vAlign w:val="center"/>
          </w:tcPr>
          <w:p>
            <w:pPr>
              <w:pStyle w:val="TableNumber"/>
            </w:pPr>
            <w:r>
              <w:t>70.53%</w:t>
            </w:r>
          </w:p>
        </w:tc>
        <w:tc>
          <w:tcPr>
            <w:tcW w:w="1800" w:type="dxa"/>
            <w:vAlign w:val="center"/>
          </w:tcPr>
          <w:p>
            <w:pPr>
              <w:pStyle w:val="TableNumber"/>
            </w:pPr>
            <w:r>
              <w:t>9.47 pp</w:t>
            </w:r>
          </w:p>
        </w:tc>
        <w:tc>
          <w:tcPr>
            <w:tcW w:w="1960" w:type="dxa"/>
            <w:vAlign w:val="center"/>
          </w:tcPr>
          <w:p>
            <w:pPr>
              <w:pStyle w:val="TableNumber"/>
            </w:pPr>
            <w:r>
              <w:t>0.1893</w:t>
            </w:r>
          </w:p>
        </w:tc>
      </w:tr>
      <w:tr>
        <w:trPr>
          <w:cantSplit/>
        </w:trPr>
        <w:tc>
          <w:tcPr>
            <w:tcW w:w="700" w:type="dxa"/>
            <w:vAlign w:val="center"/>
          </w:tcPr>
          <w:p>
            <w:pPr>
              <w:pStyle w:val="TableText"/>
            </w:pPr>
            <w:r>
              <w:t>13d</w:t>
            </w:r>
          </w:p>
        </w:tc>
        <w:tc>
          <w:tcPr>
            <w:tcW w:w="1600" w:type="dxa"/>
            <w:vAlign w:val="center"/>
          </w:tcPr>
          <w:p>
            <w:pPr>
              <w:pStyle w:val="TableNumber"/>
            </w:pPr>
            <w:r>
              <w:t>0.1476</w:t>
            </w:r>
          </w:p>
        </w:tc>
        <w:tc>
          <w:tcPr>
            <w:tcW w:w="1650" w:type="dxa"/>
            <w:vAlign w:val="center"/>
          </w:tcPr>
          <w:p>
            <w:pPr>
              <w:pStyle w:val="TableNumber"/>
            </w:pPr>
            <w:r>
              <w:t>55.48%</w:t>
            </w:r>
          </w:p>
        </w:tc>
        <w:tc>
          <w:tcPr>
            <w:tcW w:w="1650" w:type="dxa"/>
            <w:vAlign w:val="center"/>
          </w:tcPr>
          <w:p>
            <w:pPr>
              <w:pStyle w:val="TableNumber"/>
            </w:pPr>
            <w:r>
              <w:t>70.49%</w:t>
            </w:r>
          </w:p>
        </w:tc>
        <w:tc>
          <w:tcPr>
            <w:tcW w:w="1800" w:type="dxa"/>
            <w:vAlign w:val="center"/>
          </w:tcPr>
          <w:p>
            <w:pPr>
              <w:pStyle w:val="TableNumber"/>
            </w:pPr>
            <w:r>
              <w:t>9.51 pp</w:t>
            </w:r>
          </w:p>
        </w:tc>
        <w:tc>
          <w:tcPr>
            <w:tcW w:w="1960" w:type="dxa"/>
            <w:vAlign w:val="center"/>
          </w:tcPr>
          <w:p>
            <w:pPr>
              <w:pStyle w:val="TableNumber"/>
            </w:pPr>
            <w:r>
              <w:t>0.1981</w:t>
            </w:r>
          </w:p>
        </w:tc>
      </w:tr>
      <w:tr>
        <w:trPr>
          <w:cantSplit/>
        </w:trPr>
        <w:tc>
          <w:tcPr>
            <w:tcW w:w="700" w:type="dxa"/>
            <w:vAlign w:val="center"/>
          </w:tcPr>
          <w:p>
            <w:pPr>
              <w:pStyle w:val="TableText"/>
            </w:pPr>
            <w:r>
              <w:t>14d</w:t>
            </w:r>
          </w:p>
        </w:tc>
        <w:tc>
          <w:tcPr>
            <w:tcW w:w="1600" w:type="dxa"/>
            <w:vAlign w:val="center"/>
          </w:tcPr>
          <w:p>
            <w:pPr>
              <w:pStyle w:val="TableNumber"/>
            </w:pPr>
            <w:r>
              <w:t>0.1493</w:t>
            </w:r>
          </w:p>
        </w:tc>
        <w:tc>
          <w:tcPr>
            <w:tcW w:w="1650" w:type="dxa"/>
            <w:vAlign w:val="center"/>
          </w:tcPr>
          <w:p>
            <w:pPr>
              <w:pStyle w:val="TableNumber"/>
            </w:pPr>
            <w:r>
              <w:t>54.63%</w:t>
            </w:r>
          </w:p>
        </w:tc>
        <w:tc>
          <w:tcPr>
            <w:tcW w:w="1650" w:type="dxa"/>
            <w:vAlign w:val="center"/>
          </w:tcPr>
          <w:p>
            <w:pPr>
              <w:pStyle w:val="TableNumber"/>
            </w:pPr>
            <w:r>
              <w:t>70.64%</w:t>
            </w:r>
          </w:p>
        </w:tc>
        <w:tc>
          <w:tcPr>
            <w:tcW w:w="1800" w:type="dxa"/>
            <w:vAlign w:val="center"/>
          </w:tcPr>
          <w:p>
            <w:pPr>
              <w:pStyle w:val="TableNumber"/>
            </w:pPr>
            <w:r>
              <w:t>9.37 pp</w:t>
            </w:r>
          </w:p>
        </w:tc>
        <w:tc>
          <w:tcPr>
            <w:tcW w:w="1960" w:type="dxa"/>
            <w:vAlign w:val="center"/>
          </w:tcPr>
          <w:p>
            <w:pPr>
              <w:pStyle w:val="TableNumber"/>
            </w:pPr>
            <w:r>
              <w:t>0.2053</w:t>
            </w:r>
          </w:p>
        </w:tc>
      </w:tr>
    </w:tbl>
    <w:p>
      <w:pPr>
        <w:pStyle w:val="a"/>
      </w:pPr>
      <w:r>
        <w:t>q50 correlation 從 1 日 0.0460 整體提高到 14 日 0.1493；方向一致率在 1、2 日低於 50%，其餘 12 個 horizon 高於 50%。coverage 全部低於名目 80%，介於 70.05% 與 74.79%，代表 q10 至 q90 區間系統性偏窄。區間寬度由 0.0548 增至 0.2053，但寬度隨 horizon 增加仍不足以達到名目覆蓋率。</w:t>
      </w:r>
    </w:p>
    <w:p>
      <w:pPr>
        <w:pStyle w:val="21"/>
      </w:pPr>
      <w:r>
        <w:t>6.3 橫斷面排序與資金路徑</w:t>
      </w:r>
    </w:p>
    <w:p>
      <w:pPr>
        <w:pStyle w:val="Decision"/>
        <w:keepNext/>
        <w:spacing w:after="80"/>
      </w:pPr>
      <w:r>
        <w:t>表 9｜每個 horizon 的經濟診斷</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0.0560 (1/13)</w:t>
            </w:r>
          </w:p>
        </w:tc>
        <w:tc>
          <w:tcPr>
            <w:tcW w:w="1100" w:type="dxa"/>
            <w:vAlign w:val="center"/>
          </w:tcPr>
          <w:p>
            <w:pPr>
              <w:pStyle w:val="TableNumber"/>
            </w:pPr>
            <w:r>
              <w:t>0.283</w:t>
            </w:r>
          </w:p>
        </w:tc>
        <w:tc>
          <w:tcPr>
            <w:tcW w:w="1500" w:type="dxa"/>
            <w:vAlign w:val="center"/>
          </w:tcPr>
          <w:p>
            <w:pPr>
              <w:pStyle w:val="TableNumber"/>
            </w:pPr>
            <w:r>
              <w:t>+0.36%</w:t>
            </w:r>
          </w:p>
        </w:tc>
        <w:tc>
          <w:tcPr>
            <w:tcW w:w="1650" w:type="dxa"/>
            <w:vAlign w:val="center"/>
          </w:tcPr>
          <w:p>
            <w:pPr>
              <w:pStyle w:val="TableNumber"/>
            </w:pPr>
            <w:r>
              <w:t>3.14 (1/13)</w:t>
            </w:r>
          </w:p>
        </w:tc>
        <w:tc>
          <w:tcPr>
            <w:tcW w:w="1600" w:type="dxa"/>
            <w:vAlign w:val="center"/>
          </w:tcPr>
          <w:p>
            <w:pPr>
              <w:pStyle w:val="TableNumber"/>
            </w:pPr>
            <w:r>
              <w:t>-9.9% (3/13)</w:t>
            </w:r>
          </w:p>
        </w:tc>
        <w:tc>
          <w:tcPr>
            <w:tcW w:w="960" w:type="dxa"/>
            <w:vAlign w:val="center"/>
          </w:tcPr>
          <w:p>
            <w:pPr>
              <w:pStyle w:val="TableNumber"/>
            </w:pPr>
            <w:r>
              <w:t>0.398</w:t>
            </w:r>
          </w:p>
        </w:tc>
      </w:tr>
      <w:tr>
        <w:trPr>
          <w:cantSplit/>
        </w:trPr>
        <w:tc>
          <w:tcPr>
            <w:tcW w:w="650" w:type="dxa"/>
            <w:vAlign w:val="center"/>
          </w:tcPr>
          <w:p>
            <w:pPr>
              <w:pStyle w:val="TableText"/>
            </w:pPr>
            <w:r>
              <w:t>2d</w:t>
            </w:r>
          </w:p>
        </w:tc>
        <w:tc>
          <w:tcPr>
            <w:tcW w:w="1900" w:type="dxa"/>
            <w:vAlign w:val="center"/>
          </w:tcPr>
          <w:p>
            <w:pPr>
              <w:pStyle w:val="TableNumber"/>
            </w:pPr>
            <w:r>
              <w:t>0.0703 (1/13)</w:t>
            </w:r>
          </w:p>
        </w:tc>
        <w:tc>
          <w:tcPr>
            <w:tcW w:w="1100" w:type="dxa"/>
            <w:vAlign w:val="center"/>
          </w:tcPr>
          <w:p>
            <w:pPr>
              <w:pStyle w:val="TableNumber"/>
            </w:pPr>
            <w:r>
              <w:t>0.348</w:t>
            </w:r>
          </w:p>
        </w:tc>
        <w:tc>
          <w:tcPr>
            <w:tcW w:w="1500" w:type="dxa"/>
            <w:vAlign w:val="center"/>
          </w:tcPr>
          <w:p>
            <w:pPr>
              <w:pStyle w:val="TableNumber"/>
            </w:pPr>
            <w:r>
              <w:t>+0.80%</w:t>
            </w:r>
          </w:p>
        </w:tc>
        <w:tc>
          <w:tcPr>
            <w:tcW w:w="1650" w:type="dxa"/>
            <w:vAlign w:val="center"/>
          </w:tcPr>
          <w:p>
            <w:pPr>
              <w:pStyle w:val="TableNumber"/>
            </w:pPr>
            <w:r>
              <w:t>3.58 (1/13)</w:t>
            </w:r>
          </w:p>
        </w:tc>
        <w:tc>
          <w:tcPr>
            <w:tcW w:w="1600" w:type="dxa"/>
            <w:vAlign w:val="center"/>
          </w:tcPr>
          <w:p>
            <w:pPr>
              <w:pStyle w:val="TableNumber"/>
            </w:pPr>
            <w:r>
              <w:t>-13.7% (5/13)</w:t>
            </w:r>
          </w:p>
        </w:tc>
        <w:tc>
          <w:tcPr>
            <w:tcW w:w="960" w:type="dxa"/>
            <w:vAlign w:val="center"/>
          </w:tcPr>
          <w:p>
            <w:pPr>
              <w:pStyle w:val="TableNumber"/>
            </w:pPr>
            <w:r>
              <w:t>0.510</w:t>
            </w:r>
          </w:p>
        </w:tc>
      </w:tr>
      <w:tr>
        <w:trPr>
          <w:cantSplit/>
        </w:trPr>
        <w:tc>
          <w:tcPr>
            <w:tcW w:w="650" w:type="dxa"/>
            <w:vAlign w:val="center"/>
          </w:tcPr>
          <w:p>
            <w:pPr>
              <w:pStyle w:val="TableText"/>
            </w:pPr>
            <w:r>
              <w:t>3d</w:t>
            </w:r>
          </w:p>
        </w:tc>
        <w:tc>
          <w:tcPr>
            <w:tcW w:w="1900" w:type="dxa"/>
            <w:vAlign w:val="center"/>
          </w:tcPr>
          <w:p>
            <w:pPr>
              <w:pStyle w:val="TableNumber"/>
            </w:pPr>
            <w:r>
              <w:t>0.0843 (1/13)</w:t>
            </w:r>
          </w:p>
        </w:tc>
        <w:tc>
          <w:tcPr>
            <w:tcW w:w="1100" w:type="dxa"/>
            <w:vAlign w:val="center"/>
          </w:tcPr>
          <w:p>
            <w:pPr>
              <w:pStyle w:val="TableNumber"/>
            </w:pPr>
            <w:r>
              <w:t>0.412</w:t>
            </w:r>
          </w:p>
        </w:tc>
        <w:tc>
          <w:tcPr>
            <w:tcW w:w="1500" w:type="dxa"/>
            <w:vAlign w:val="center"/>
          </w:tcPr>
          <w:p>
            <w:pPr>
              <w:pStyle w:val="TableNumber"/>
            </w:pPr>
            <w:r>
              <w:t>+1.12%</w:t>
            </w:r>
          </w:p>
        </w:tc>
        <w:tc>
          <w:tcPr>
            <w:tcW w:w="1650" w:type="dxa"/>
            <w:vAlign w:val="center"/>
          </w:tcPr>
          <w:p>
            <w:pPr>
              <w:pStyle w:val="TableNumber"/>
            </w:pPr>
            <w:r>
              <w:t>3.11 (1/13)</w:t>
            </w:r>
          </w:p>
        </w:tc>
        <w:tc>
          <w:tcPr>
            <w:tcW w:w="1600" w:type="dxa"/>
            <w:vAlign w:val="center"/>
          </w:tcPr>
          <w:p>
            <w:pPr>
              <w:pStyle w:val="TableNumber"/>
            </w:pPr>
            <w:r>
              <w:t>-23.7% (5/13)</w:t>
            </w:r>
          </w:p>
        </w:tc>
        <w:tc>
          <w:tcPr>
            <w:tcW w:w="960" w:type="dxa"/>
            <w:vAlign w:val="center"/>
          </w:tcPr>
          <w:p>
            <w:pPr>
              <w:pStyle w:val="TableNumber"/>
            </w:pPr>
            <w:r>
              <w:t>0.575</w:t>
            </w:r>
          </w:p>
        </w:tc>
      </w:tr>
      <w:tr>
        <w:trPr>
          <w:cantSplit/>
        </w:trPr>
        <w:tc>
          <w:tcPr>
            <w:tcW w:w="650" w:type="dxa"/>
            <w:vAlign w:val="center"/>
          </w:tcPr>
          <w:p>
            <w:pPr>
              <w:pStyle w:val="TableText"/>
            </w:pPr>
            <w:r>
              <w:t>4d</w:t>
            </w:r>
          </w:p>
        </w:tc>
        <w:tc>
          <w:tcPr>
            <w:tcW w:w="1900" w:type="dxa"/>
            <w:vAlign w:val="center"/>
          </w:tcPr>
          <w:p>
            <w:pPr>
              <w:pStyle w:val="TableNumber"/>
            </w:pPr>
            <w:r>
              <w:t>0.0986 (1/13)</w:t>
            </w:r>
          </w:p>
        </w:tc>
        <w:tc>
          <w:tcPr>
            <w:tcW w:w="1100" w:type="dxa"/>
            <w:vAlign w:val="center"/>
          </w:tcPr>
          <w:p>
            <w:pPr>
              <w:pStyle w:val="TableNumber"/>
            </w:pPr>
            <w:r>
              <w:t>0.489</w:t>
            </w:r>
          </w:p>
        </w:tc>
        <w:tc>
          <w:tcPr>
            <w:tcW w:w="1500" w:type="dxa"/>
            <w:vAlign w:val="center"/>
          </w:tcPr>
          <w:p>
            <w:pPr>
              <w:pStyle w:val="TableNumber"/>
            </w:pPr>
            <w:r>
              <w:t>+1.64%</w:t>
            </w:r>
          </w:p>
        </w:tc>
        <w:tc>
          <w:tcPr>
            <w:tcW w:w="1650" w:type="dxa"/>
            <w:vAlign w:val="center"/>
          </w:tcPr>
          <w:p>
            <w:pPr>
              <w:pStyle w:val="TableNumber"/>
            </w:pPr>
            <w:r>
              <w:t>3.30 (1/13)</w:t>
            </w:r>
          </w:p>
        </w:tc>
        <w:tc>
          <w:tcPr>
            <w:tcW w:w="1600" w:type="dxa"/>
            <w:vAlign w:val="center"/>
          </w:tcPr>
          <w:p>
            <w:pPr>
              <w:pStyle w:val="TableNumber"/>
            </w:pPr>
            <w:r>
              <w:t>-30.4% (6/13)</w:t>
            </w:r>
          </w:p>
        </w:tc>
        <w:tc>
          <w:tcPr>
            <w:tcW w:w="960" w:type="dxa"/>
            <w:vAlign w:val="center"/>
          </w:tcPr>
          <w:p>
            <w:pPr>
              <w:pStyle w:val="TableNumber"/>
            </w:pPr>
            <w:r>
              <w:t>0.556</w:t>
            </w:r>
          </w:p>
        </w:tc>
      </w:tr>
      <w:tr>
        <w:trPr>
          <w:cantSplit/>
        </w:trPr>
        <w:tc>
          <w:tcPr>
            <w:tcW w:w="650" w:type="dxa"/>
            <w:vAlign w:val="center"/>
          </w:tcPr>
          <w:p>
            <w:pPr>
              <w:pStyle w:val="TableText"/>
            </w:pPr>
            <w:r>
              <w:t>5d</w:t>
            </w:r>
          </w:p>
        </w:tc>
        <w:tc>
          <w:tcPr>
            <w:tcW w:w="1900" w:type="dxa"/>
            <w:vAlign w:val="center"/>
          </w:tcPr>
          <w:p>
            <w:pPr>
              <w:pStyle w:val="TableNumber"/>
            </w:pPr>
            <w:r>
              <w:t>0.1021 (1/13)</w:t>
            </w:r>
          </w:p>
        </w:tc>
        <w:tc>
          <w:tcPr>
            <w:tcW w:w="1100" w:type="dxa"/>
            <w:vAlign w:val="center"/>
          </w:tcPr>
          <w:p>
            <w:pPr>
              <w:pStyle w:val="TableNumber"/>
            </w:pPr>
            <w:r>
              <w:t>0.529</w:t>
            </w:r>
          </w:p>
        </w:tc>
        <w:tc>
          <w:tcPr>
            <w:tcW w:w="1500" w:type="dxa"/>
            <w:vAlign w:val="center"/>
          </w:tcPr>
          <w:p>
            <w:pPr>
              <w:pStyle w:val="TableNumber"/>
            </w:pPr>
            <w:r>
              <w:t>+1.94%</w:t>
            </w:r>
          </w:p>
        </w:tc>
        <w:tc>
          <w:tcPr>
            <w:tcW w:w="1650" w:type="dxa"/>
            <w:vAlign w:val="center"/>
          </w:tcPr>
          <w:p>
            <w:pPr>
              <w:pStyle w:val="TableNumber"/>
            </w:pPr>
            <w:r>
              <w:t>3.18 (1/13)</w:t>
            </w:r>
          </w:p>
        </w:tc>
        <w:tc>
          <w:tcPr>
            <w:tcW w:w="1600" w:type="dxa"/>
            <w:vAlign w:val="center"/>
          </w:tcPr>
          <w:p>
            <w:pPr>
              <w:pStyle w:val="TableNumber"/>
            </w:pPr>
            <w:r>
              <w:t>-39.8% (7/13)</w:t>
            </w:r>
          </w:p>
        </w:tc>
        <w:tc>
          <w:tcPr>
            <w:tcW w:w="960" w:type="dxa"/>
            <w:vAlign w:val="center"/>
          </w:tcPr>
          <w:p>
            <w:pPr>
              <w:pStyle w:val="TableNumber"/>
            </w:pPr>
            <w:r>
              <w:t>0.575</w:t>
            </w:r>
          </w:p>
        </w:tc>
      </w:tr>
      <w:tr>
        <w:trPr>
          <w:cantSplit/>
        </w:trPr>
        <w:tc>
          <w:tcPr>
            <w:tcW w:w="650" w:type="dxa"/>
            <w:vAlign w:val="center"/>
          </w:tcPr>
          <w:p>
            <w:pPr>
              <w:pStyle w:val="TableText"/>
            </w:pPr>
            <w:r>
              <w:t>6d</w:t>
            </w:r>
          </w:p>
        </w:tc>
        <w:tc>
          <w:tcPr>
            <w:tcW w:w="1900" w:type="dxa"/>
            <w:vAlign w:val="center"/>
          </w:tcPr>
          <w:p>
            <w:pPr>
              <w:pStyle w:val="TableNumber"/>
            </w:pPr>
            <w:r>
              <w:t>0.0998 (1/13)</w:t>
            </w:r>
          </w:p>
        </w:tc>
        <w:tc>
          <w:tcPr>
            <w:tcW w:w="1100" w:type="dxa"/>
            <w:vAlign w:val="center"/>
          </w:tcPr>
          <w:p>
            <w:pPr>
              <w:pStyle w:val="TableNumber"/>
            </w:pPr>
            <w:r>
              <w:t>0.498</w:t>
            </w:r>
          </w:p>
        </w:tc>
        <w:tc>
          <w:tcPr>
            <w:tcW w:w="1500" w:type="dxa"/>
            <w:vAlign w:val="center"/>
          </w:tcPr>
          <w:p>
            <w:pPr>
              <w:pStyle w:val="TableNumber"/>
            </w:pPr>
            <w:r>
              <w:t>+2.24%</w:t>
            </w:r>
          </w:p>
        </w:tc>
        <w:tc>
          <w:tcPr>
            <w:tcW w:w="1650" w:type="dxa"/>
            <w:vAlign w:val="center"/>
          </w:tcPr>
          <w:p>
            <w:pPr>
              <w:pStyle w:val="TableNumber"/>
            </w:pPr>
            <w:r>
              <w:t>3.05 (1/13)</w:t>
            </w:r>
          </w:p>
        </w:tc>
        <w:tc>
          <w:tcPr>
            <w:tcW w:w="1600" w:type="dxa"/>
            <w:vAlign w:val="center"/>
          </w:tcPr>
          <w:p>
            <w:pPr>
              <w:pStyle w:val="TableNumber"/>
            </w:pPr>
            <w:r>
              <w:t>-47.2% (6/13)</w:t>
            </w:r>
          </w:p>
        </w:tc>
        <w:tc>
          <w:tcPr>
            <w:tcW w:w="960" w:type="dxa"/>
            <w:vAlign w:val="center"/>
          </w:tcPr>
          <w:p>
            <w:pPr>
              <w:pStyle w:val="TableNumber"/>
            </w:pPr>
            <w:r>
              <w:t>0.567</w:t>
            </w:r>
          </w:p>
        </w:tc>
      </w:tr>
      <w:tr>
        <w:trPr>
          <w:cantSplit/>
        </w:trPr>
        <w:tc>
          <w:tcPr>
            <w:tcW w:w="650" w:type="dxa"/>
            <w:vAlign w:val="center"/>
          </w:tcPr>
          <w:p>
            <w:pPr>
              <w:pStyle w:val="TableText"/>
            </w:pPr>
            <w:r>
              <w:t>7d</w:t>
            </w:r>
          </w:p>
        </w:tc>
        <w:tc>
          <w:tcPr>
            <w:tcW w:w="1900" w:type="dxa"/>
            <w:vAlign w:val="center"/>
          </w:tcPr>
          <w:p>
            <w:pPr>
              <w:pStyle w:val="TableNumber"/>
            </w:pPr>
            <w:r>
              <w:t>0.1000 (1/13)</w:t>
            </w:r>
          </w:p>
        </w:tc>
        <w:tc>
          <w:tcPr>
            <w:tcW w:w="1100" w:type="dxa"/>
            <w:vAlign w:val="center"/>
          </w:tcPr>
          <w:p>
            <w:pPr>
              <w:pStyle w:val="TableNumber"/>
            </w:pPr>
            <w:r>
              <w:t>0.484</w:t>
            </w:r>
          </w:p>
        </w:tc>
        <w:tc>
          <w:tcPr>
            <w:tcW w:w="1500" w:type="dxa"/>
            <w:vAlign w:val="center"/>
          </w:tcPr>
          <w:p>
            <w:pPr>
              <w:pStyle w:val="TableNumber"/>
            </w:pPr>
            <w:r>
              <w:t>+2.60%</w:t>
            </w:r>
          </w:p>
        </w:tc>
        <w:tc>
          <w:tcPr>
            <w:tcW w:w="1650" w:type="dxa"/>
            <w:vAlign w:val="center"/>
          </w:tcPr>
          <w:p>
            <w:pPr>
              <w:pStyle w:val="TableNumber"/>
            </w:pPr>
            <w:r>
              <w:t>2.91 (1/13)</w:t>
            </w:r>
          </w:p>
        </w:tc>
        <w:tc>
          <w:tcPr>
            <w:tcW w:w="1600" w:type="dxa"/>
            <w:vAlign w:val="center"/>
          </w:tcPr>
          <w:p>
            <w:pPr>
              <w:pStyle w:val="TableNumber"/>
            </w:pPr>
            <w:r>
              <w:t>-51.6% (7/13)</w:t>
            </w:r>
          </w:p>
        </w:tc>
        <w:tc>
          <w:tcPr>
            <w:tcW w:w="960" w:type="dxa"/>
            <w:vAlign w:val="center"/>
          </w:tcPr>
          <w:p>
            <w:pPr>
              <w:pStyle w:val="TableNumber"/>
            </w:pPr>
            <w:r>
              <w:t>0.561</w:t>
            </w:r>
          </w:p>
        </w:tc>
      </w:tr>
      <w:tr>
        <w:trPr>
          <w:cantSplit/>
        </w:trPr>
        <w:tc>
          <w:tcPr>
            <w:tcW w:w="650" w:type="dxa"/>
            <w:vAlign w:val="center"/>
          </w:tcPr>
          <w:p>
            <w:pPr>
              <w:pStyle w:val="TableText"/>
            </w:pPr>
            <w:r>
              <w:t>8d</w:t>
            </w:r>
          </w:p>
        </w:tc>
        <w:tc>
          <w:tcPr>
            <w:tcW w:w="1900" w:type="dxa"/>
            <w:vAlign w:val="center"/>
          </w:tcPr>
          <w:p>
            <w:pPr>
              <w:pStyle w:val="TableNumber"/>
            </w:pPr>
            <w:r>
              <w:t>0.0967 (1/13)</w:t>
            </w:r>
          </w:p>
        </w:tc>
        <w:tc>
          <w:tcPr>
            <w:tcW w:w="1100" w:type="dxa"/>
            <w:vAlign w:val="center"/>
          </w:tcPr>
          <w:p>
            <w:pPr>
              <w:pStyle w:val="TableNumber"/>
            </w:pPr>
            <w:r>
              <w:t>0.473</w:t>
            </w:r>
          </w:p>
        </w:tc>
        <w:tc>
          <w:tcPr>
            <w:tcW w:w="1500" w:type="dxa"/>
            <w:vAlign w:val="center"/>
          </w:tcPr>
          <w:p>
            <w:pPr>
              <w:pStyle w:val="TableNumber"/>
            </w:pPr>
            <w:r>
              <w:t>+2.62%</w:t>
            </w:r>
          </w:p>
        </w:tc>
        <w:tc>
          <w:tcPr>
            <w:tcW w:w="1650" w:type="dxa"/>
            <w:vAlign w:val="center"/>
          </w:tcPr>
          <w:p>
            <w:pPr>
              <w:pStyle w:val="TableNumber"/>
            </w:pPr>
            <w:r>
              <w:t>2.62 (1/13)</w:t>
            </w:r>
          </w:p>
        </w:tc>
        <w:tc>
          <w:tcPr>
            <w:tcW w:w="1600" w:type="dxa"/>
            <w:vAlign w:val="center"/>
          </w:tcPr>
          <w:p>
            <w:pPr>
              <w:pStyle w:val="TableNumber"/>
            </w:pPr>
            <w:r>
              <w:t>-58.2% (7/13)</w:t>
            </w:r>
          </w:p>
        </w:tc>
        <w:tc>
          <w:tcPr>
            <w:tcW w:w="960" w:type="dxa"/>
            <w:vAlign w:val="center"/>
          </w:tcPr>
          <w:p>
            <w:pPr>
              <w:pStyle w:val="TableNumber"/>
            </w:pPr>
            <w:r>
              <w:t>0.581</w:t>
            </w:r>
          </w:p>
        </w:tc>
      </w:tr>
      <w:tr>
        <w:trPr>
          <w:cantSplit/>
        </w:trPr>
        <w:tc>
          <w:tcPr>
            <w:tcW w:w="650" w:type="dxa"/>
            <w:vAlign w:val="center"/>
          </w:tcPr>
          <w:p>
            <w:pPr>
              <w:pStyle w:val="TableText"/>
            </w:pPr>
            <w:r>
              <w:t>9d</w:t>
            </w:r>
          </w:p>
        </w:tc>
        <w:tc>
          <w:tcPr>
            <w:tcW w:w="1900" w:type="dxa"/>
            <w:vAlign w:val="center"/>
          </w:tcPr>
          <w:p>
            <w:pPr>
              <w:pStyle w:val="TableNumber"/>
            </w:pPr>
            <w:r>
              <w:t>0.0982 (1/13)</w:t>
            </w:r>
          </w:p>
        </w:tc>
        <w:tc>
          <w:tcPr>
            <w:tcW w:w="1100" w:type="dxa"/>
            <w:vAlign w:val="center"/>
          </w:tcPr>
          <w:p>
            <w:pPr>
              <w:pStyle w:val="TableNumber"/>
            </w:pPr>
            <w:r>
              <w:t>0.468</w:t>
            </w:r>
          </w:p>
        </w:tc>
        <w:tc>
          <w:tcPr>
            <w:tcW w:w="1500" w:type="dxa"/>
            <w:vAlign w:val="center"/>
          </w:tcPr>
          <w:p>
            <w:pPr>
              <w:pStyle w:val="TableNumber"/>
            </w:pPr>
            <w:r>
              <w:t>+3.13%</w:t>
            </w:r>
          </w:p>
        </w:tc>
        <w:tc>
          <w:tcPr>
            <w:tcW w:w="1650" w:type="dxa"/>
            <w:vAlign w:val="center"/>
          </w:tcPr>
          <w:p>
            <w:pPr>
              <w:pStyle w:val="TableNumber"/>
            </w:pPr>
            <w:r>
              <w:t>2.74 (1/13)</w:t>
            </w:r>
          </w:p>
        </w:tc>
        <w:tc>
          <w:tcPr>
            <w:tcW w:w="1600" w:type="dxa"/>
            <w:vAlign w:val="center"/>
          </w:tcPr>
          <w:p>
            <w:pPr>
              <w:pStyle w:val="TableNumber"/>
            </w:pPr>
            <w:r>
              <w:t>-57.4% (7/13)</w:t>
            </w:r>
          </w:p>
        </w:tc>
        <w:tc>
          <w:tcPr>
            <w:tcW w:w="960" w:type="dxa"/>
            <w:vAlign w:val="center"/>
          </w:tcPr>
          <w:p>
            <w:pPr>
              <w:pStyle w:val="TableNumber"/>
            </w:pPr>
            <w:r>
              <w:t>0.567</w:t>
            </w:r>
          </w:p>
        </w:tc>
      </w:tr>
      <w:tr>
        <w:trPr>
          <w:cantSplit/>
        </w:trPr>
        <w:tc>
          <w:tcPr>
            <w:tcW w:w="650" w:type="dxa"/>
            <w:vAlign w:val="center"/>
          </w:tcPr>
          <w:p>
            <w:pPr>
              <w:pStyle w:val="TableText"/>
            </w:pPr>
            <w:r>
              <w:t>10d</w:t>
            </w:r>
          </w:p>
        </w:tc>
        <w:tc>
          <w:tcPr>
            <w:tcW w:w="1900" w:type="dxa"/>
            <w:vAlign w:val="center"/>
          </w:tcPr>
          <w:p>
            <w:pPr>
              <w:pStyle w:val="TableNumber"/>
            </w:pPr>
            <w:r>
              <w:t>0.0971 (1/13)</w:t>
            </w:r>
          </w:p>
        </w:tc>
        <w:tc>
          <w:tcPr>
            <w:tcW w:w="1100" w:type="dxa"/>
            <w:vAlign w:val="center"/>
          </w:tcPr>
          <w:p>
            <w:pPr>
              <w:pStyle w:val="TableNumber"/>
            </w:pPr>
            <w:r>
              <w:t>0.463</w:t>
            </w:r>
          </w:p>
        </w:tc>
        <w:tc>
          <w:tcPr>
            <w:tcW w:w="1500" w:type="dxa"/>
            <w:vAlign w:val="center"/>
          </w:tcPr>
          <w:p>
            <w:pPr>
              <w:pStyle w:val="TableNumber"/>
            </w:pPr>
            <w:r>
              <w:t>+3.26%</w:t>
            </w:r>
          </w:p>
        </w:tc>
        <w:tc>
          <w:tcPr>
            <w:tcW w:w="1650" w:type="dxa"/>
            <w:vAlign w:val="center"/>
          </w:tcPr>
          <w:p>
            <w:pPr>
              <w:pStyle w:val="TableNumber"/>
            </w:pPr>
            <w:r>
              <w:t>2.61 (1/13)</w:t>
            </w:r>
          </w:p>
        </w:tc>
        <w:tc>
          <w:tcPr>
            <w:tcW w:w="1600" w:type="dxa"/>
            <w:vAlign w:val="center"/>
          </w:tcPr>
          <w:p>
            <w:pPr>
              <w:pStyle w:val="TableNumber"/>
            </w:pPr>
            <w:r>
              <w:t>-62.2% (8/13)</w:t>
            </w:r>
          </w:p>
        </w:tc>
        <w:tc>
          <w:tcPr>
            <w:tcW w:w="960" w:type="dxa"/>
            <w:vAlign w:val="center"/>
          </w:tcPr>
          <w:p>
            <w:pPr>
              <w:pStyle w:val="TableNumber"/>
            </w:pPr>
            <w:r>
              <w:t>0.585</w:t>
            </w:r>
          </w:p>
        </w:tc>
      </w:tr>
      <w:tr>
        <w:trPr>
          <w:cantSplit/>
        </w:trPr>
        <w:tc>
          <w:tcPr>
            <w:tcW w:w="650" w:type="dxa"/>
            <w:vAlign w:val="center"/>
          </w:tcPr>
          <w:p>
            <w:pPr>
              <w:pStyle w:val="TableText"/>
            </w:pPr>
            <w:r>
              <w:t>11d</w:t>
            </w:r>
          </w:p>
        </w:tc>
        <w:tc>
          <w:tcPr>
            <w:tcW w:w="1900" w:type="dxa"/>
            <w:vAlign w:val="center"/>
          </w:tcPr>
          <w:p>
            <w:pPr>
              <w:pStyle w:val="TableNumber"/>
            </w:pPr>
            <w:r>
              <w:t>0.0972 (1/13)</w:t>
            </w:r>
          </w:p>
        </w:tc>
        <w:tc>
          <w:tcPr>
            <w:tcW w:w="1100" w:type="dxa"/>
            <w:vAlign w:val="center"/>
          </w:tcPr>
          <w:p>
            <w:pPr>
              <w:pStyle w:val="TableNumber"/>
            </w:pPr>
            <w:r>
              <w:t>0.480</w:t>
            </w:r>
          </w:p>
        </w:tc>
        <w:tc>
          <w:tcPr>
            <w:tcW w:w="1500" w:type="dxa"/>
            <w:vAlign w:val="center"/>
          </w:tcPr>
          <w:p>
            <w:pPr>
              <w:pStyle w:val="TableNumber"/>
            </w:pPr>
            <w:r>
              <w:t>+3.45%</w:t>
            </w:r>
          </w:p>
        </w:tc>
        <w:tc>
          <w:tcPr>
            <w:tcW w:w="1650" w:type="dxa"/>
            <w:vAlign w:val="center"/>
          </w:tcPr>
          <w:p>
            <w:pPr>
              <w:pStyle w:val="TableNumber"/>
            </w:pPr>
            <w:r>
              <w:t>2.55 (1/13)</w:t>
            </w:r>
          </w:p>
        </w:tc>
        <w:tc>
          <w:tcPr>
            <w:tcW w:w="1600" w:type="dxa"/>
            <w:vAlign w:val="center"/>
          </w:tcPr>
          <w:p>
            <w:pPr>
              <w:pStyle w:val="TableNumber"/>
            </w:pPr>
            <w:r>
              <w:t>-64.5% (7/13)</w:t>
            </w:r>
          </w:p>
        </w:tc>
        <w:tc>
          <w:tcPr>
            <w:tcW w:w="960" w:type="dxa"/>
            <w:vAlign w:val="center"/>
          </w:tcPr>
          <w:p>
            <w:pPr>
              <w:pStyle w:val="TableNumber"/>
            </w:pPr>
            <w:r>
              <w:t>0.576</w:t>
            </w:r>
          </w:p>
        </w:tc>
      </w:tr>
      <w:tr>
        <w:trPr>
          <w:cantSplit/>
        </w:trPr>
        <w:tc>
          <w:tcPr>
            <w:tcW w:w="650" w:type="dxa"/>
            <w:vAlign w:val="center"/>
          </w:tcPr>
          <w:p>
            <w:pPr>
              <w:pStyle w:val="TableText"/>
            </w:pPr>
            <w:r>
              <w:t>12d</w:t>
            </w:r>
          </w:p>
        </w:tc>
        <w:tc>
          <w:tcPr>
            <w:tcW w:w="1900" w:type="dxa"/>
            <w:vAlign w:val="center"/>
          </w:tcPr>
          <w:p>
            <w:pPr>
              <w:pStyle w:val="TableNumber"/>
            </w:pPr>
            <w:r>
              <w:t>0.0935 (1/13)</w:t>
            </w:r>
          </w:p>
        </w:tc>
        <w:tc>
          <w:tcPr>
            <w:tcW w:w="1100" w:type="dxa"/>
            <w:vAlign w:val="center"/>
          </w:tcPr>
          <w:p>
            <w:pPr>
              <w:pStyle w:val="TableNumber"/>
            </w:pPr>
            <w:r>
              <w:t>0.463</w:t>
            </w:r>
          </w:p>
        </w:tc>
        <w:tc>
          <w:tcPr>
            <w:tcW w:w="1500" w:type="dxa"/>
            <w:vAlign w:val="center"/>
          </w:tcPr>
          <w:p>
            <w:pPr>
              <w:pStyle w:val="TableNumber"/>
            </w:pPr>
            <w:r>
              <w:t>+3.78%</w:t>
            </w:r>
          </w:p>
        </w:tc>
        <w:tc>
          <w:tcPr>
            <w:tcW w:w="1650" w:type="dxa"/>
            <w:vAlign w:val="center"/>
          </w:tcPr>
          <w:p>
            <w:pPr>
              <w:pStyle w:val="TableNumber"/>
            </w:pPr>
            <w:r>
              <w:t>2.54 (1/13)</w:t>
            </w:r>
          </w:p>
        </w:tc>
        <w:tc>
          <w:tcPr>
            <w:tcW w:w="1600" w:type="dxa"/>
            <w:vAlign w:val="center"/>
          </w:tcPr>
          <w:p>
            <w:pPr>
              <w:pStyle w:val="TableNumber"/>
            </w:pPr>
            <w:r>
              <w:t>-66.0% (8/13)</w:t>
            </w:r>
          </w:p>
        </w:tc>
        <w:tc>
          <w:tcPr>
            <w:tcW w:w="960" w:type="dxa"/>
            <w:vAlign w:val="center"/>
          </w:tcPr>
          <w:p>
            <w:pPr>
              <w:pStyle w:val="TableNumber"/>
            </w:pPr>
            <w:r>
              <w:t>0.558</w:t>
            </w:r>
          </w:p>
        </w:tc>
      </w:tr>
      <w:tr>
        <w:trPr>
          <w:cantSplit/>
        </w:trPr>
        <w:tc>
          <w:tcPr>
            <w:tcW w:w="650" w:type="dxa"/>
            <w:vAlign w:val="center"/>
          </w:tcPr>
          <w:p>
            <w:pPr>
              <w:pStyle w:val="TableText"/>
            </w:pPr>
            <w:r>
              <w:t>13d</w:t>
            </w:r>
          </w:p>
        </w:tc>
        <w:tc>
          <w:tcPr>
            <w:tcW w:w="1900" w:type="dxa"/>
            <w:vAlign w:val="center"/>
          </w:tcPr>
          <w:p>
            <w:pPr>
              <w:pStyle w:val="TableNumber"/>
            </w:pPr>
            <w:r>
              <w:t>0.0949 (1/13)</w:t>
            </w:r>
          </w:p>
        </w:tc>
        <w:tc>
          <w:tcPr>
            <w:tcW w:w="1100" w:type="dxa"/>
            <w:vAlign w:val="center"/>
          </w:tcPr>
          <w:p>
            <w:pPr>
              <w:pStyle w:val="TableNumber"/>
            </w:pPr>
            <w:r>
              <w:t>0.462</w:t>
            </w:r>
          </w:p>
        </w:tc>
        <w:tc>
          <w:tcPr>
            <w:tcW w:w="1500" w:type="dxa"/>
            <w:vAlign w:val="center"/>
          </w:tcPr>
          <w:p>
            <w:pPr>
              <w:pStyle w:val="TableNumber"/>
            </w:pPr>
            <w:r>
              <w:t>+3.85%</w:t>
            </w:r>
          </w:p>
        </w:tc>
        <w:tc>
          <w:tcPr>
            <w:tcW w:w="1650" w:type="dxa"/>
            <w:vAlign w:val="center"/>
          </w:tcPr>
          <w:p>
            <w:pPr>
              <w:pStyle w:val="TableNumber"/>
            </w:pPr>
            <w:r>
              <w:t>2.40 (1/13)</w:t>
            </w:r>
          </w:p>
        </w:tc>
        <w:tc>
          <w:tcPr>
            <w:tcW w:w="1600" w:type="dxa"/>
            <w:vAlign w:val="center"/>
          </w:tcPr>
          <w:p>
            <w:pPr>
              <w:pStyle w:val="TableNumber"/>
            </w:pPr>
            <w:r>
              <w:t>-68.0% (8/13)</w:t>
            </w:r>
          </w:p>
        </w:tc>
        <w:tc>
          <w:tcPr>
            <w:tcW w:w="960" w:type="dxa"/>
            <w:vAlign w:val="center"/>
          </w:tcPr>
          <w:p>
            <w:pPr>
              <w:pStyle w:val="TableNumber"/>
            </w:pPr>
            <w:r>
              <w:t>0.581</w:t>
            </w:r>
          </w:p>
        </w:tc>
      </w:tr>
      <w:tr>
        <w:trPr>
          <w:cantSplit/>
        </w:trPr>
        <w:tc>
          <w:tcPr>
            <w:tcW w:w="650" w:type="dxa"/>
            <w:vAlign w:val="center"/>
          </w:tcPr>
          <w:p>
            <w:pPr>
              <w:pStyle w:val="TableText"/>
            </w:pPr>
            <w:r>
              <w:t>14d</w:t>
            </w:r>
          </w:p>
        </w:tc>
        <w:tc>
          <w:tcPr>
            <w:tcW w:w="1900" w:type="dxa"/>
            <w:vAlign w:val="center"/>
          </w:tcPr>
          <w:p>
            <w:pPr>
              <w:pStyle w:val="TableNumber"/>
            </w:pPr>
            <w:r>
              <w:t>0.0964 (1/13)</w:t>
            </w:r>
          </w:p>
        </w:tc>
        <w:tc>
          <w:tcPr>
            <w:tcW w:w="1100" w:type="dxa"/>
            <w:vAlign w:val="center"/>
          </w:tcPr>
          <w:p>
            <w:pPr>
              <w:pStyle w:val="TableNumber"/>
            </w:pPr>
            <w:r>
              <w:t>0.476</w:t>
            </w:r>
          </w:p>
        </w:tc>
        <w:tc>
          <w:tcPr>
            <w:tcW w:w="1500" w:type="dxa"/>
            <w:vAlign w:val="center"/>
          </w:tcPr>
          <w:p>
            <w:pPr>
              <w:pStyle w:val="TableNumber"/>
            </w:pPr>
            <w:r>
              <w:t>+4.05%</w:t>
            </w:r>
          </w:p>
        </w:tc>
        <w:tc>
          <w:tcPr>
            <w:tcW w:w="1650" w:type="dxa"/>
            <w:vAlign w:val="center"/>
          </w:tcPr>
          <w:p>
            <w:pPr>
              <w:pStyle w:val="TableNumber"/>
            </w:pPr>
            <w:r>
              <w:t>2.33 (1/13)</w:t>
            </w:r>
          </w:p>
        </w:tc>
        <w:tc>
          <w:tcPr>
            <w:tcW w:w="1600" w:type="dxa"/>
            <w:vAlign w:val="center"/>
          </w:tcPr>
          <w:p>
            <w:pPr>
              <w:pStyle w:val="TableNumber"/>
            </w:pPr>
            <w:r>
              <w:t>-69.5% (6/13)</w:t>
            </w:r>
          </w:p>
        </w:tc>
        <w:tc>
          <w:tcPr>
            <w:tcW w:w="960" w:type="dxa"/>
            <w:vAlign w:val="center"/>
          </w:tcPr>
          <w:p>
            <w:pPr>
              <w:pStyle w:val="TableNumber"/>
            </w:pPr>
            <w:r>
              <w:t>0.576</w:t>
            </w:r>
          </w:p>
        </w:tc>
      </w:tr>
    </w:tbl>
    <w:p>
      <w:pPr>
        <w:pStyle w:val="a"/>
      </w:pPr>
      <w:r>
        <w:t>RankIC 與成本後 Sharpe 在 14 個 horizon 全為正，且每個 horizon 都排名第一。相對地，最大回撤只落在第 3 至第 8 名，並由 1 日 -9.9% 擴大到 14 日 -69.5%。Stage 2 的橫斷面排序比 Stage 1 更強，但長 horizon 的資金路徑風險仍未同步改善。</w:t>
      </w:r>
    </w:p>
    <w:p>
      <w:pPr>
        <w:pStyle w:val="Note"/>
      </w:pPr>
      <w:r>
        <w:t>不同 horizon 的 forward return 可能重疊；Sharpe 的 sqrt(252/h) 年化沒有校正重疊造成的自相關，也沒有完整市場衝擊、借券、容量、滑價與稅費。</w:t>
      </w:r>
    </w:p>
    <w:p>
      <w:pPr>
        <w:pStyle w:val="11"/>
      </w:pPr>
      <w:r>
        <w:t>7. 一至十四日衍生訊號分布</w:t>
      </w:r>
    </w:p>
    <w:p>
      <w:pPr>
        <w:pStyle w:val="Decision"/>
        <w:keepNext/>
        <w:spacing w:after="80"/>
      </w:pPr>
      <w:r>
        <w:t>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空／多</w:t>
            </w:r>
          </w:p>
        </w:tc>
      </w:tr>
      <w:tr>
        <w:trPr>
          <w:cantSplit/>
        </w:trPr>
        <w:tc>
          <w:tcPr>
            <w:tcW w:w="900" w:type="dxa"/>
            <w:vAlign w:val="center"/>
          </w:tcPr>
          <w:p>
            <w:pPr>
              <w:pStyle w:val="TableText"/>
            </w:pPr>
            <w:r>
              <w:t>1d</w:t>
            </w:r>
          </w:p>
        </w:tc>
        <w:tc>
          <w:tcPr>
            <w:tcW w:w="1800" w:type="dxa"/>
            <w:vAlign w:val="center"/>
          </w:tcPr>
          <w:p>
            <w:pPr>
              <w:pStyle w:val="TableNumber"/>
            </w:pPr>
            <w:r>
              <w:t>10.06%</w:t>
            </w:r>
          </w:p>
        </w:tc>
        <w:tc>
          <w:tcPr>
            <w:tcW w:w="1800" w:type="dxa"/>
            <w:vAlign w:val="center"/>
          </w:tcPr>
          <w:p>
            <w:pPr>
              <w:pStyle w:val="TableNumber"/>
            </w:pPr>
            <w:r>
              <w:t>0.64%</w:t>
            </w:r>
          </w:p>
        </w:tc>
        <w:tc>
          <w:tcPr>
            <w:tcW w:w="1800" w:type="dxa"/>
            <w:vAlign w:val="center"/>
          </w:tcPr>
          <w:p>
            <w:pPr>
              <w:pStyle w:val="TableNumber"/>
            </w:pPr>
            <w:r>
              <w:t>88.38%</w:t>
            </w:r>
          </w:p>
        </w:tc>
        <w:tc>
          <w:tcPr>
            <w:tcW w:w="3060" w:type="dxa"/>
            <w:vAlign w:val="center"/>
          </w:tcPr>
          <w:p>
            <w:pPr>
              <w:pStyle w:val="TableNumber"/>
            </w:pPr>
            <w:r>
              <w:t>0/184</w:t>
            </w:r>
          </w:p>
        </w:tc>
      </w:tr>
      <w:tr>
        <w:trPr>
          <w:cantSplit/>
        </w:trPr>
        <w:tc>
          <w:tcPr>
            <w:tcW w:w="900" w:type="dxa"/>
            <w:vAlign w:val="center"/>
          </w:tcPr>
          <w:p>
            <w:pPr>
              <w:pStyle w:val="TableText"/>
            </w:pPr>
            <w:r>
              <w:t>2d</w:t>
            </w:r>
          </w:p>
        </w:tc>
        <w:tc>
          <w:tcPr>
            <w:tcW w:w="1800" w:type="dxa"/>
            <w:vAlign w:val="center"/>
          </w:tcPr>
          <w:p>
            <w:pPr>
              <w:pStyle w:val="TableNumber"/>
            </w:pPr>
            <w:r>
              <w:t>36.66%</w:t>
            </w:r>
          </w:p>
        </w:tc>
        <w:tc>
          <w:tcPr>
            <w:tcW w:w="1800" w:type="dxa"/>
            <w:vAlign w:val="center"/>
          </w:tcPr>
          <w:p>
            <w:pPr>
              <w:pStyle w:val="TableNumber"/>
            </w:pPr>
            <w:r>
              <w:t>1.14%</w:t>
            </w:r>
          </w:p>
        </w:tc>
        <w:tc>
          <w:tcPr>
            <w:tcW w:w="1800" w:type="dxa"/>
            <w:vAlign w:val="center"/>
          </w:tcPr>
          <w:p>
            <w:pPr>
              <w:pStyle w:val="TableNumber"/>
            </w:pPr>
            <w:r>
              <w:t>62.20%</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60.70%</w:t>
            </w:r>
          </w:p>
        </w:tc>
        <w:tc>
          <w:tcPr>
            <w:tcW w:w="1800" w:type="dxa"/>
            <w:vAlign w:val="center"/>
          </w:tcPr>
          <w:p>
            <w:pPr>
              <w:pStyle w:val="TableNumber"/>
            </w:pPr>
            <w:r>
              <w:t>1.36%</w:t>
            </w:r>
          </w:p>
        </w:tc>
        <w:tc>
          <w:tcPr>
            <w:tcW w:w="1800" w:type="dxa"/>
            <w:vAlign w:val="center"/>
          </w:tcPr>
          <w:p>
            <w:pPr>
              <w:pStyle w:val="TableNumber"/>
            </w:pPr>
            <w:r>
              <w:t>37.94%</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67.18%</w:t>
            </w:r>
          </w:p>
        </w:tc>
        <w:tc>
          <w:tcPr>
            <w:tcW w:w="1800" w:type="dxa"/>
            <w:vAlign w:val="center"/>
          </w:tcPr>
          <w:p>
            <w:pPr>
              <w:pStyle w:val="TableNumber"/>
            </w:pPr>
            <w:r>
              <w:t>0.94%</w:t>
            </w:r>
          </w:p>
        </w:tc>
        <w:tc>
          <w:tcPr>
            <w:tcW w:w="1800" w:type="dxa"/>
            <w:vAlign w:val="center"/>
          </w:tcPr>
          <w:p>
            <w:pPr>
              <w:pStyle w:val="TableNumber"/>
            </w:pPr>
            <w:r>
              <w:t>31.88%</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72.47%</w:t>
            </w:r>
          </w:p>
        </w:tc>
        <w:tc>
          <w:tcPr>
            <w:tcW w:w="1800" w:type="dxa"/>
            <w:vAlign w:val="center"/>
          </w:tcPr>
          <w:p>
            <w:pPr>
              <w:pStyle w:val="TableNumber"/>
            </w:pPr>
            <w:r>
              <w:t>0.78%</w:t>
            </w:r>
          </w:p>
        </w:tc>
        <w:tc>
          <w:tcPr>
            <w:tcW w:w="1800" w:type="dxa"/>
            <w:vAlign w:val="center"/>
          </w:tcPr>
          <w:p>
            <w:pPr>
              <w:pStyle w:val="TableNumber"/>
            </w:pPr>
            <w:r>
              <w:t>25.82%</w:t>
            </w:r>
          </w:p>
        </w:tc>
        <w:tc>
          <w:tcPr>
            <w:tcW w:w="3060" w:type="dxa"/>
            <w:vAlign w:val="center"/>
          </w:tcPr>
          <w:p>
            <w:pPr>
              <w:pStyle w:val="TableNumber"/>
            </w:pPr>
            <w:r>
              <w:t>187/0</w:t>
            </w:r>
          </w:p>
        </w:tc>
      </w:tr>
      <w:tr>
        <w:trPr>
          <w:cantSplit/>
        </w:trPr>
        <w:tc>
          <w:tcPr>
            <w:tcW w:w="900" w:type="dxa"/>
            <w:vAlign w:val="center"/>
          </w:tcPr>
          <w:p>
            <w:pPr>
              <w:pStyle w:val="TableText"/>
            </w:pPr>
            <w:r>
              <w:t>6d</w:t>
            </w:r>
          </w:p>
        </w:tc>
        <w:tc>
          <w:tcPr>
            <w:tcW w:w="1800" w:type="dxa"/>
            <w:vAlign w:val="center"/>
          </w:tcPr>
          <w:p>
            <w:pPr>
              <w:pStyle w:val="TableNumber"/>
            </w:pPr>
            <w:r>
              <w:t>79.15%</w:t>
            </w:r>
          </w:p>
        </w:tc>
        <w:tc>
          <w:tcPr>
            <w:tcW w:w="1800" w:type="dxa"/>
            <w:vAlign w:val="center"/>
          </w:tcPr>
          <w:p>
            <w:pPr>
              <w:pStyle w:val="TableNumber"/>
            </w:pPr>
            <w:r>
              <w:t>0.51%</w:t>
            </w:r>
          </w:p>
        </w:tc>
        <w:tc>
          <w:tcPr>
            <w:tcW w:w="1800" w:type="dxa"/>
            <w:vAlign w:val="center"/>
          </w:tcPr>
          <w:p>
            <w:pPr>
              <w:pStyle w:val="TableNumber"/>
            </w:pPr>
            <w:r>
              <w:t>19.35%</w:t>
            </w:r>
          </w:p>
        </w:tc>
        <w:tc>
          <w:tcPr>
            <w:tcW w:w="3060" w:type="dxa"/>
            <w:vAlign w:val="center"/>
          </w:tcPr>
          <w:p>
            <w:pPr>
              <w:pStyle w:val="TableNumber"/>
            </w:pPr>
            <w:r>
              <w:t>196/3</w:t>
            </w:r>
          </w:p>
        </w:tc>
      </w:tr>
      <w:tr>
        <w:trPr>
          <w:cantSplit/>
        </w:trPr>
        <w:tc>
          <w:tcPr>
            <w:tcW w:w="900" w:type="dxa"/>
            <w:vAlign w:val="center"/>
          </w:tcPr>
          <w:p>
            <w:pPr>
              <w:pStyle w:val="TableText"/>
            </w:pPr>
            <w:r>
              <w:t>7d</w:t>
            </w:r>
          </w:p>
        </w:tc>
        <w:tc>
          <w:tcPr>
            <w:tcW w:w="1800" w:type="dxa"/>
            <w:vAlign w:val="center"/>
          </w:tcPr>
          <w:p>
            <w:pPr>
              <w:pStyle w:val="TableNumber"/>
            </w:pPr>
            <w:r>
              <w:t>78.56%</w:t>
            </w:r>
          </w:p>
        </w:tc>
        <w:tc>
          <w:tcPr>
            <w:tcW w:w="1800" w:type="dxa"/>
            <w:vAlign w:val="center"/>
          </w:tcPr>
          <w:p>
            <w:pPr>
              <w:pStyle w:val="TableNumber"/>
            </w:pPr>
            <w:r>
              <w:t>0.43%</w:t>
            </w:r>
          </w:p>
        </w:tc>
        <w:tc>
          <w:tcPr>
            <w:tcW w:w="1800" w:type="dxa"/>
            <w:vAlign w:val="center"/>
          </w:tcPr>
          <w:p>
            <w:pPr>
              <w:pStyle w:val="TableNumber"/>
            </w:pPr>
            <w:r>
              <w:t>19.49%</w:t>
            </w:r>
          </w:p>
        </w:tc>
        <w:tc>
          <w:tcPr>
            <w:tcW w:w="3060" w:type="dxa"/>
            <w:vAlign w:val="center"/>
          </w:tcPr>
          <w:p>
            <w:pPr>
              <w:pStyle w:val="TableNumber"/>
            </w:pPr>
            <w:r>
              <w:t>217/86</w:t>
            </w:r>
          </w:p>
        </w:tc>
      </w:tr>
      <w:tr>
        <w:trPr>
          <w:cantSplit/>
        </w:trPr>
        <w:tc>
          <w:tcPr>
            <w:tcW w:w="900" w:type="dxa"/>
            <w:vAlign w:val="center"/>
          </w:tcPr>
          <w:p>
            <w:pPr>
              <w:pStyle w:val="TableText"/>
            </w:pPr>
            <w:r>
              <w:t>8d</w:t>
            </w:r>
          </w:p>
        </w:tc>
        <w:tc>
          <w:tcPr>
            <w:tcW w:w="1800" w:type="dxa"/>
            <w:vAlign w:val="center"/>
          </w:tcPr>
          <w:p>
            <w:pPr>
              <w:pStyle w:val="TableNumber"/>
            </w:pPr>
            <w:r>
              <w:t>77.67%</w:t>
            </w:r>
          </w:p>
        </w:tc>
        <w:tc>
          <w:tcPr>
            <w:tcW w:w="1800" w:type="dxa"/>
            <w:vAlign w:val="center"/>
          </w:tcPr>
          <w:p>
            <w:pPr>
              <w:pStyle w:val="TableNumber"/>
            </w:pPr>
            <w:r>
              <w:t>0.48%</w:t>
            </w:r>
          </w:p>
        </w:tc>
        <w:tc>
          <w:tcPr>
            <w:tcW w:w="1800" w:type="dxa"/>
            <w:vAlign w:val="center"/>
          </w:tcPr>
          <w:p>
            <w:pPr>
              <w:pStyle w:val="TableNumber"/>
            </w:pPr>
            <w:r>
              <w:t>19.90%</w:t>
            </w:r>
          </w:p>
        </w:tc>
        <w:tc>
          <w:tcPr>
            <w:tcW w:w="3060" w:type="dxa"/>
            <w:vAlign w:val="center"/>
          </w:tcPr>
          <w:p>
            <w:pPr>
              <w:pStyle w:val="TableNumber"/>
            </w:pPr>
            <w:r>
              <w:t>269/120</w:t>
            </w:r>
          </w:p>
        </w:tc>
      </w:tr>
      <w:tr>
        <w:trPr>
          <w:cantSplit/>
        </w:trPr>
        <w:tc>
          <w:tcPr>
            <w:tcW w:w="900" w:type="dxa"/>
            <w:vAlign w:val="center"/>
          </w:tcPr>
          <w:p>
            <w:pPr>
              <w:pStyle w:val="TableText"/>
            </w:pPr>
            <w:r>
              <w:t>9d</w:t>
            </w:r>
          </w:p>
        </w:tc>
        <w:tc>
          <w:tcPr>
            <w:tcW w:w="1800" w:type="dxa"/>
            <w:vAlign w:val="center"/>
          </w:tcPr>
          <w:p>
            <w:pPr>
              <w:pStyle w:val="TableNumber"/>
            </w:pPr>
            <w:r>
              <w:t>76.05%</w:t>
            </w:r>
          </w:p>
        </w:tc>
        <w:tc>
          <w:tcPr>
            <w:tcW w:w="1800" w:type="dxa"/>
            <w:vAlign w:val="center"/>
          </w:tcPr>
          <w:p>
            <w:pPr>
              <w:pStyle w:val="TableNumber"/>
            </w:pPr>
            <w:r>
              <w:t>0.65%</w:t>
            </w:r>
          </w:p>
        </w:tc>
        <w:tc>
          <w:tcPr>
            <w:tcW w:w="1800" w:type="dxa"/>
            <w:vAlign w:val="center"/>
          </w:tcPr>
          <w:p>
            <w:pPr>
              <w:pStyle w:val="TableNumber"/>
            </w:pPr>
            <w:r>
              <w:t>21.18%</w:t>
            </w:r>
          </w:p>
        </w:tc>
        <w:tc>
          <w:tcPr>
            <w:tcW w:w="3060" w:type="dxa"/>
            <w:vAlign w:val="center"/>
          </w:tcPr>
          <w:p>
            <w:pPr>
              <w:pStyle w:val="TableNumber"/>
            </w:pPr>
            <w:r>
              <w:t>267/159</w:t>
            </w:r>
          </w:p>
        </w:tc>
      </w:tr>
      <w:tr>
        <w:trPr>
          <w:cantSplit/>
        </w:trPr>
        <w:tc>
          <w:tcPr>
            <w:tcW w:w="900" w:type="dxa"/>
            <w:vAlign w:val="center"/>
          </w:tcPr>
          <w:p>
            <w:pPr>
              <w:pStyle w:val="TableText"/>
            </w:pPr>
            <w:r>
              <w:t>10d</w:t>
            </w:r>
          </w:p>
        </w:tc>
        <w:tc>
          <w:tcPr>
            <w:tcW w:w="1800" w:type="dxa"/>
            <w:vAlign w:val="center"/>
          </w:tcPr>
          <w:p>
            <w:pPr>
              <w:pStyle w:val="TableNumber"/>
            </w:pPr>
            <w:r>
              <w:t>75.96%</w:t>
            </w:r>
          </w:p>
        </w:tc>
        <w:tc>
          <w:tcPr>
            <w:tcW w:w="1800" w:type="dxa"/>
            <w:vAlign w:val="center"/>
          </w:tcPr>
          <w:p>
            <w:pPr>
              <w:pStyle w:val="TableNumber"/>
            </w:pPr>
            <w:r>
              <w:t>0.51%</w:t>
            </w:r>
          </w:p>
        </w:tc>
        <w:tc>
          <w:tcPr>
            <w:tcW w:w="1800" w:type="dxa"/>
            <w:vAlign w:val="center"/>
          </w:tcPr>
          <w:p>
            <w:pPr>
              <w:pStyle w:val="TableNumber"/>
            </w:pPr>
            <w:r>
              <w:t>20.95%</w:t>
            </w:r>
          </w:p>
        </w:tc>
        <w:tc>
          <w:tcPr>
            <w:tcW w:w="3060" w:type="dxa"/>
            <w:vAlign w:val="center"/>
          </w:tcPr>
          <w:p>
            <w:pPr>
              <w:pStyle w:val="TableNumber"/>
            </w:pPr>
            <w:r>
              <w:t>344/172</w:t>
            </w:r>
          </w:p>
        </w:tc>
      </w:tr>
      <w:tr>
        <w:trPr>
          <w:cantSplit/>
        </w:trPr>
        <w:tc>
          <w:tcPr>
            <w:tcW w:w="900" w:type="dxa"/>
            <w:vAlign w:val="center"/>
          </w:tcPr>
          <w:p>
            <w:pPr>
              <w:pStyle w:val="TableText"/>
            </w:pPr>
            <w:r>
              <w:t>11d</w:t>
            </w:r>
          </w:p>
        </w:tc>
        <w:tc>
          <w:tcPr>
            <w:tcW w:w="1800" w:type="dxa"/>
            <w:vAlign w:val="center"/>
          </w:tcPr>
          <w:p>
            <w:pPr>
              <w:pStyle w:val="TableNumber"/>
            </w:pPr>
            <w:r>
              <w:t>77.53%</w:t>
            </w:r>
          </w:p>
        </w:tc>
        <w:tc>
          <w:tcPr>
            <w:tcW w:w="1800" w:type="dxa"/>
            <w:vAlign w:val="center"/>
          </w:tcPr>
          <w:p>
            <w:pPr>
              <w:pStyle w:val="TableNumber"/>
            </w:pPr>
            <w:r>
              <w:t>0.41%</w:t>
            </w:r>
          </w:p>
        </w:tc>
        <w:tc>
          <w:tcPr>
            <w:tcW w:w="1800" w:type="dxa"/>
            <w:vAlign w:val="center"/>
          </w:tcPr>
          <w:p>
            <w:pPr>
              <w:pStyle w:val="TableNumber"/>
            </w:pPr>
            <w:r>
              <w:t>19.43%</w:t>
            </w:r>
          </w:p>
        </w:tc>
        <w:tc>
          <w:tcPr>
            <w:tcW w:w="3060" w:type="dxa"/>
            <w:vAlign w:val="center"/>
          </w:tcPr>
          <w:p>
            <w:pPr>
              <w:pStyle w:val="TableNumber"/>
            </w:pPr>
            <w:r>
              <w:t>350/173</w:t>
            </w:r>
          </w:p>
        </w:tc>
      </w:tr>
      <w:tr>
        <w:trPr>
          <w:cantSplit/>
        </w:trPr>
        <w:tc>
          <w:tcPr>
            <w:tcW w:w="900" w:type="dxa"/>
            <w:vAlign w:val="center"/>
          </w:tcPr>
          <w:p>
            <w:pPr>
              <w:pStyle w:val="TableText"/>
            </w:pPr>
            <w:r>
              <w:t>12d</w:t>
            </w:r>
          </w:p>
        </w:tc>
        <w:tc>
          <w:tcPr>
            <w:tcW w:w="1800" w:type="dxa"/>
            <w:vAlign w:val="center"/>
          </w:tcPr>
          <w:p>
            <w:pPr>
              <w:pStyle w:val="TableNumber"/>
            </w:pPr>
            <w:r>
              <w:t>78.64%</w:t>
            </w:r>
          </w:p>
        </w:tc>
        <w:tc>
          <w:tcPr>
            <w:tcW w:w="1800" w:type="dxa"/>
            <w:vAlign w:val="center"/>
          </w:tcPr>
          <w:p>
            <w:pPr>
              <w:pStyle w:val="TableNumber"/>
            </w:pPr>
            <w:r>
              <w:t>0.41%</w:t>
            </w:r>
          </w:p>
        </w:tc>
        <w:tc>
          <w:tcPr>
            <w:tcW w:w="1800" w:type="dxa"/>
            <w:vAlign w:val="center"/>
          </w:tcPr>
          <w:p>
            <w:pPr>
              <w:pStyle w:val="TableNumber"/>
            </w:pPr>
            <w:r>
              <w:t>18.95%</w:t>
            </w:r>
          </w:p>
        </w:tc>
        <w:tc>
          <w:tcPr>
            <w:tcW w:w="3060" w:type="dxa"/>
            <w:vAlign w:val="center"/>
          </w:tcPr>
          <w:p>
            <w:pPr>
              <w:pStyle w:val="TableNumber"/>
            </w:pPr>
            <w:r>
              <w:t>245/152</w:t>
            </w:r>
          </w:p>
        </w:tc>
      </w:tr>
      <w:tr>
        <w:trPr>
          <w:cantSplit/>
        </w:trPr>
        <w:tc>
          <w:tcPr>
            <w:tcW w:w="900" w:type="dxa"/>
            <w:vAlign w:val="center"/>
          </w:tcPr>
          <w:p>
            <w:pPr>
              <w:pStyle w:val="TableText"/>
            </w:pPr>
            <w:r>
              <w:t>13d</w:t>
            </w:r>
          </w:p>
        </w:tc>
        <w:tc>
          <w:tcPr>
            <w:tcW w:w="1800" w:type="dxa"/>
            <w:vAlign w:val="center"/>
          </w:tcPr>
          <w:p>
            <w:pPr>
              <w:pStyle w:val="TableNumber"/>
            </w:pPr>
            <w:r>
              <w:t>80.26%</w:t>
            </w:r>
          </w:p>
        </w:tc>
        <w:tc>
          <w:tcPr>
            <w:tcW w:w="1800" w:type="dxa"/>
            <w:vAlign w:val="center"/>
          </w:tcPr>
          <w:p>
            <w:pPr>
              <w:pStyle w:val="TableNumber"/>
            </w:pPr>
            <w:r>
              <w:t>0.39%</w:t>
            </w:r>
          </w:p>
        </w:tc>
        <w:tc>
          <w:tcPr>
            <w:tcW w:w="1800" w:type="dxa"/>
            <w:vAlign w:val="center"/>
          </w:tcPr>
          <w:p>
            <w:pPr>
              <w:pStyle w:val="TableNumber"/>
            </w:pPr>
            <w:r>
              <w:t>17.36%</w:t>
            </w:r>
          </w:p>
        </w:tc>
        <w:tc>
          <w:tcPr>
            <w:tcW w:w="3060" w:type="dxa"/>
            <w:vAlign w:val="center"/>
          </w:tcPr>
          <w:p>
            <w:pPr>
              <w:pStyle w:val="TableNumber"/>
            </w:pPr>
            <w:r>
              <w:t>271/127</w:t>
            </w:r>
          </w:p>
        </w:tc>
      </w:tr>
      <w:tr>
        <w:trPr>
          <w:cantSplit/>
        </w:trPr>
        <w:tc>
          <w:tcPr>
            <w:tcW w:w="900" w:type="dxa"/>
            <w:vAlign w:val="center"/>
          </w:tcPr>
          <w:p>
            <w:pPr>
              <w:pStyle w:val="TableText"/>
            </w:pPr>
            <w:r>
              <w:t>14d</w:t>
            </w:r>
          </w:p>
        </w:tc>
        <w:tc>
          <w:tcPr>
            <w:tcW w:w="1800" w:type="dxa"/>
            <w:vAlign w:val="center"/>
          </w:tcPr>
          <w:p>
            <w:pPr>
              <w:pStyle w:val="TableNumber"/>
            </w:pPr>
            <w:r>
              <w:t>78.57%</w:t>
            </w:r>
          </w:p>
        </w:tc>
        <w:tc>
          <w:tcPr>
            <w:tcW w:w="1800" w:type="dxa"/>
            <w:vAlign w:val="center"/>
          </w:tcPr>
          <w:p>
            <w:pPr>
              <w:pStyle w:val="TableNumber"/>
            </w:pPr>
            <w:r>
              <w:t>0.37%</w:t>
            </w:r>
          </w:p>
        </w:tc>
        <w:tc>
          <w:tcPr>
            <w:tcW w:w="1800" w:type="dxa"/>
            <w:vAlign w:val="center"/>
          </w:tcPr>
          <w:p>
            <w:pPr>
              <w:pStyle w:val="TableNumber"/>
            </w:pPr>
            <w:r>
              <w:t>19.14%</w:t>
            </w:r>
          </w:p>
        </w:tc>
        <w:tc>
          <w:tcPr>
            <w:tcW w:w="3060" w:type="dxa"/>
            <w:vAlign w:val="center"/>
          </w:tcPr>
          <w:p>
            <w:pPr>
              <w:pStyle w:val="TableNumber"/>
            </w:pPr>
            <w:r>
              <w:t>262/120</w:t>
            </w:r>
          </w:p>
        </w:tc>
      </w:tr>
    </w:tbl>
    <w:p>
      <w:pPr>
        <w:pStyle w:val="a"/>
      </w:pPr>
      <w:r>
        <w:t>1 日以 bullish 88.38% 為主，另有 184 筆 strong_bullish；2 日仍有 62.20% bullish。3 日起 bearish 成為多數，13 日達 80.26%，14 日為 78.57%。strong_bearish 自 5 日起出現，長 horizon 也同時存在 strong_bullish。這些互斥的規則標籤描述 q10、q50、q90 相對 0 的位置，不是上漲或下跌機率。訊號結構隨 horizon 明顯反轉，因此不得用同一套部位規則直接套用 1 至 14 日。</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17,056</w:t>
            </w:r>
          </w:p>
        </w:tc>
        <w:tc>
          <w:tcPr>
            <w:tcW w:w="1300" w:type="dxa"/>
            <w:vAlign w:val="center"/>
          </w:tcPr>
          <w:p>
            <w:pPr>
              <w:pStyle w:val="TableNumber"/>
            </w:pPr>
            <w:r>
              <w:t>0.3231</w:t>
            </w:r>
          </w:p>
        </w:tc>
        <w:tc>
          <w:tcPr>
            <w:tcW w:w="1400" w:type="dxa"/>
            <w:vAlign w:val="center"/>
          </w:tcPr>
          <w:p>
            <w:pPr>
              <w:pStyle w:val="TableNumber"/>
            </w:pPr>
            <w:r>
              <w:t>0.1177</w:t>
            </w:r>
          </w:p>
        </w:tc>
        <w:tc>
          <w:tcPr>
            <w:tcW w:w="1800" w:type="dxa"/>
            <w:vAlign w:val="center"/>
          </w:tcPr>
          <w:p>
            <w:pPr>
              <w:pStyle w:val="TableNumber"/>
            </w:pPr>
            <w:r>
              <w:t>0.0478 至 0.1544</w:t>
            </w:r>
          </w:p>
        </w:tc>
        <w:tc>
          <w:tcPr>
            <w:tcW w:w="1250" w:type="dxa"/>
            <w:vAlign w:val="center"/>
          </w:tcPr>
          <w:p>
            <w:pPr>
              <w:pStyle w:val="TableNumber"/>
            </w:pPr>
            <w:r>
              <w:t>52.74%</w:t>
            </w:r>
          </w:p>
        </w:tc>
        <w:tc>
          <w:tcPr>
            <w:tcW w:w="1010" w:type="dxa"/>
            <w:vAlign w:val="center"/>
          </w:tcPr>
          <w:p>
            <w:pPr>
              <w:pStyle w:val="TableNumber"/>
            </w:pPr>
            <w:r>
              <w:t>71.75%</w:t>
            </w:r>
          </w:p>
        </w:tc>
      </w:tr>
      <w:tr>
        <w:trPr>
          <w:cantSplit/>
        </w:trPr>
        <w:tc>
          <w:tcPr>
            <w:tcW w:w="1500" w:type="dxa"/>
            <w:vAlign w:val="center"/>
          </w:tcPr>
          <w:p>
            <w:pPr>
              <w:pStyle w:val="TableText"/>
            </w:pPr>
            <w:r>
              <w:t>TPEx</w:t>
            </w:r>
          </w:p>
        </w:tc>
        <w:tc>
          <w:tcPr>
            <w:tcW w:w="1100" w:type="dxa"/>
            <w:vAlign w:val="center"/>
          </w:tcPr>
          <w:p>
            <w:pPr>
              <w:pStyle w:val="TableNumber"/>
            </w:pPr>
            <w:r>
              <w:t>1,377</w:t>
            </w:r>
          </w:p>
        </w:tc>
        <w:tc>
          <w:tcPr>
            <w:tcW w:w="1300" w:type="dxa"/>
            <w:vAlign w:val="center"/>
          </w:tcPr>
          <w:p>
            <w:pPr>
              <w:pStyle w:val="TableNumber"/>
            </w:pPr>
            <w:r>
              <w:t>0.2195</w:t>
            </w:r>
          </w:p>
        </w:tc>
        <w:tc>
          <w:tcPr>
            <w:tcW w:w="1400" w:type="dxa"/>
            <w:vAlign w:val="center"/>
          </w:tcPr>
          <w:p>
            <w:pPr>
              <w:pStyle w:val="TableNumber"/>
            </w:pPr>
            <w:r>
              <w:t>0.0797</w:t>
            </w:r>
          </w:p>
        </w:tc>
        <w:tc>
          <w:tcPr>
            <w:tcW w:w="1800" w:type="dxa"/>
            <w:vAlign w:val="center"/>
          </w:tcPr>
          <w:p>
            <w:pPr>
              <w:pStyle w:val="TableNumber"/>
            </w:pPr>
            <w:r>
              <w:t>0.0393 至 0.1131</w:t>
            </w:r>
          </w:p>
        </w:tc>
        <w:tc>
          <w:tcPr>
            <w:tcW w:w="1250" w:type="dxa"/>
            <w:vAlign w:val="center"/>
          </w:tcPr>
          <w:p>
            <w:pPr>
              <w:pStyle w:val="TableNumber"/>
            </w:pPr>
            <w:r>
              <w:t>56.48%</w:t>
            </w:r>
          </w:p>
        </w:tc>
        <w:tc>
          <w:tcPr>
            <w:tcW w:w="1010" w:type="dxa"/>
            <w:vAlign w:val="center"/>
          </w:tcPr>
          <w:p>
            <w:pPr>
              <w:pStyle w:val="TableNumber"/>
            </w:pPr>
            <w:r>
              <w:t>69.60%</w:t>
            </w:r>
          </w:p>
        </w:tc>
      </w:tr>
      <w:tr>
        <w:trPr>
          <w:cantSplit/>
        </w:trPr>
        <w:tc>
          <w:tcPr>
            <w:tcW w:w="1500" w:type="dxa"/>
            <w:vAlign w:val="center"/>
          </w:tcPr>
          <w:p>
            <w:pPr>
              <w:pStyle w:val="TableText"/>
            </w:pPr>
            <w:r>
              <w:t>TWSE</w:t>
            </w:r>
          </w:p>
        </w:tc>
        <w:tc>
          <w:tcPr>
            <w:tcW w:w="1100" w:type="dxa"/>
            <w:vAlign w:val="center"/>
          </w:tcPr>
          <w:p>
            <w:pPr>
              <w:pStyle w:val="TableNumber"/>
            </w:pPr>
            <w:r>
              <w:t>1,567</w:t>
            </w:r>
          </w:p>
        </w:tc>
        <w:tc>
          <w:tcPr>
            <w:tcW w:w="1300" w:type="dxa"/>
            <w:vAlign w:val="center"/>
          </w:tcPr>
          <w:p>
            <w:pPr>
              <w:pStyle w:val="TableNumber"/>
            </w:pPr>
            <w:r>
              <w:t>0.2113</w:t>
            </w:r>
          </w:p>
        </w:tc>
        <w:tc>
          <w:tcPr>
            <w:tcW w:w="1400" w:type="dxa"/>
            <w:vAlign w:val="center"/>
          </w:tcPr>
          <w:p>
            <w:pPr>
              <w:pStyle w:val="TableNumber"/>
            </w:pPr>
            <w:r>
              <w:t>0.0115</w:t>
            </w:r>
          </w:p>
        </w:tc>
        <w:tc>
          <w:tcPr>
            <w:tcW w:w="1800" w:type="dxa"/>
            <w:vAlign w:val="center"/>
          </w:tcPr>
          <w:p>
            <w:pPr>
              <w:pStyle w:val="TableNumber"/>
            </w:pPr>
            <w:r>
              <w:t>-0.0130 至 0.0448</w:t>
            </w:r>
          </w:p>
        </w:tc>
        <w:tc>
          <w:tcPr>
            <w:tcW w:w="1250" w:type="dxa"/>
            <w:vAlign w:val="center"/>
          </w:tcPr>
          <w:p>
            <w:pPr>
              <w:pStyle w:val="TableNumber"/>
            </w:pPr>
            <w:r>
              <w:t>60.51%</w:t>
            </w:r>
          </w:p>
        </w:tc>
        <w:tc>
          <w:tcPr>
            <w:tcW w:w="1010" w:type="dxa"/>
            <w:vAlign w:val="center"/>
          </w:tcPr>
          <w:p>
            <w:pPr>
              <w:pStyle w:val="TableNumber"/>
            </w:pPr>
            <w:r>
              <w:t>73.81%</w:t>
            </w:r>
          </w:p>
        </w:tc>
      </w:tr>
    </w:tbl>
    <w:p>
      <w:pPr>
        <w:pStyle w:val="a"/>
      </w:pPr>
      <w:r>
        <w:t>台灣切片的 14 horizon score 較低，但樣本數遠少於 EODHD／US，而且市場、期間與標的組成都不同。TWSE 的平均方向一致率較高，平均 correlation 卻較低。不能只看一個切片指標便宣稱某市場比較容易預測。</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2024</w:t>
            </w:r>
          </w:p>
        </w:tc>
        <w:tc>
          <w:tcPr>
            <w:tcW w:w="1200" w:type="dxa"/>
            <w:vAlign w:val="center"/>
          </w:tcPr>
          <w:p>
            <w:pPr>
              <w:pStyle w:val="TableNumber"/>
            </w:pPr>
            <w:r>
              <w:t>1,928</w:t>
            </w:r>
          </w:p>
        </w:tc>
        <w:tc>
          <w:tcPr>
            <w:tcW w:w="1400" w:type="dxa"/>
            <w:vAlign w:val="center"/>
          </w:tcPr>
          <w:p>
            <w:pPr>
              <w:pStyle w:val="TableNumber"/>
            </w:pPr>
            <w:r>
              <w:t>0.3088</w:t>
            </w:r>
          </w:p>
        </w:tc>
        <w:tc>
          <w:tcPr>
            <w:tcW w:w="1400" w:type="dxa"/>
            <w:vAlign w:val="center"/>
          </w:tcPr>
          <w:p>
            <w:pPr>
              <w:pStyle w:val="TableNumber"/>
            </w:pPr>
            <w:r>
              <w:t>0.0459</w:t>
            </w:r>
          </w:p>
        </w:tc>
        <w:tc>
          <w:tcPr>
            <w:tcW w:w="1800" w:type="dxa"/>
            <w:vAlign w:val="center"/>
          </w:tcPr>
          <w:p>
            <w:pPr>
              <w:pStyle w:val="TableNumber"/>
            </w:pPr>
            <w:r>
              <w:t>0.0030 至 0.0942</w:t>
            </w:r>
          </w:p>
        </w:tc>
        <w:tc>
          <w:tcPr>
            <w:tcW w:w="1200" w:type="dxa"/>
            <w:vAlign w:val="center"/>
          </w:tcPr>
          <w:p>
            <w:pPr>
              <w:pStyle w:val="TableNumber"/>
            </w:pPr>
            <w:r>
              <w:t>52.99%</w:t>
            </w:r>
          </w:p>
        </w:tc>
        <w:tc>
          <w:tcPr>
            <w:tcW w:w="1060" w:type="dxa"/>
            <w:vAlign w:val="center"/>
          </w:tcPr>
          <w:p>
            <w:pPr>
              <w:pStyle w:val="TableNumber"/>
            </w:pPr>
            <w:r>
              <w:t>75.16%</w:t>
            </w:r>
          </w:p>
        </w:tc>
      </w:tr>
      <w:tr>
        <w:trPr>
          <w:cantSplit/>
        </w:trPr>
        <w:tc>
          <w:tcPr>
            <w:tcW w:w="1300" w:type="dxa"/>
            <w:vAlign w:val="center"/>
          </w:tcPr>
          <w:p>
            <w:pPr>
              <w:pStyle w:val="TableText"/>
            </w:pPr>
            <w:r>
              <w:t>2025</w:t>
            </w:r>
          </w:p>
        </w:tc>
        <w:tc>
          <w:tcPr>
            <w:tcW w:w="1200" w:type="dxa"/>
            <w:vAlign w:val="center"/>
          </w:tcPr>
          <w:p>
            <w:pPr>
              <w:pStyle w:val="TableNumber"/>
            </w:pPr>
            <w:r>
              <w:t>18,072</w:t>
            </w:r>
          </w:p>
        </w:tc>
        <w:tc>
          <w:tcPr>
            <w:tcW w:w="1400" w:type="dxa"/>
            <w:vAlign w:val="center"/>
          </w:tcPr>
          <w:p>
            <w:pPr>
              <w:pStyle w:val="TableNumber"/>
            </w:pPr>
            <w:r>
              <w:t>0.3070</w:t>
            </w:r>
          </w:p>
        </w:tc>
        <w:tc>
          <w:tcPr>
            <w:tcW w:w="1400" w:type="dxa"/>
            <w:vAlign w:val="center"/>
          </w:tcPr>
          <w:p>
            <w:pPr>
              <w:pStyle w:val="TableNumber"/>
            </w:pPr>
            <w:r>
              <w:t>0.1116</w:t>
            </w:r>
          </w:p>
        </w:tc>
        <w:tc>
          <w:tcPr>
            <w:tcW w:w="1800" w:type="dxa"/>
            <w:vAlign w:val="center"/>
          </w:tcPr>
          <w:p>
            <w:pPr>
              <w:pStyle w:val="TableNumber"/>
            </w:pPr>
            <w:r>
              <w:t>0.0466 至 0.1474</w:t>
            </w:r>
          </w:p>
        </w:tc>
        <w:tc>
          <w:tcPr>
            <w:tcW w:w="1200" w:type="dxa"/>
            <w:vAlign w:val="center"/>
          </w:tcPr>
          <w:p>
            <w:pPr>
              <w:pStyle w:val="TableNumber"/>
            </w:pPr>
            <w:r>
              <w:t>53.67%</w:t>
            </w:r>
          </w:p>
        </w:tc>
        <w:tc>
          <w:tcPr>
            <w:tcW w:w="1060" w:type="dxa"/>
            <w:vAlign w:val="center"/>
          </w:tcPr>
          <w:p>
            <w:pPr>
              <w:pStyle w:val="TableNumber"/>
            </w:pPr>
            <w:r>
              <w:t>71.40%</w:t>
            </w:r>
          </w:p>
        </w:tc>
      </w:tr>
    </w:tbl>
    <w:p>
      <w:pPr>
        <w:pStyle w:val="Lead"/>
      </w:pPr>
      <w:r>
        <w:t>2024 與 2025 的 14 horizon score 分別為 0.3088 與 0.3070，接近整體結果。不過 2024 的平均 correlation 為 0.0459，仍低於 2025 的 0.1116；兩年平均方向一致率為 52.99% 與 53.67%。2024 只有 1,928 筆，2025 有 18,072 筆，因此不能把較小年份切片視為已證明時間穩定。</w:t>
      </w:r>
    </w:p>
    <w:p>
      <w:pPr>
        <w:pStyle w:val="11"/>
      </w:pPr>
      <w:r>
        <w:t>9. 風險與下一階段</w:t>
      </w:r>
    </w:p>
    <w:p>
      <w:pPr>
        <w:pStyle w:val="Decision"/>
        <w:keepNext/>
        <w:spacing w:after="80"/>
      </w:pPr>
      <w:r>
        <w:t>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Test 尚未解鎖</w:t>
            </w:r>
          </w:p>
        </w:tc>
        <w:tc>
          <w:tcPr>
            <w:tcW w:w="2900" w:type="dxa"/>
            <w:vAlign w:val="center"/>
          </w:tcPr>
          <w:p>
            <w:pPr>
              <w:pStyle w:val="TableText"/>
            </w:pPr>
            <w:r>
              <w:t>所有結論只有 validation 證據</w:t>
            </w:r>
          </w:p>
        </w:tc>
        <w:tc>
          <w:tcPr>
            <w:tcW w:w="3960" w:type="dxa"/>
            <w:vAlign w:val="center"/>
          </w:tcPr>
          <w:p>
            <w:pPr>
              <w:pStyle w:val="TableText"/>
            </w:pPr>
            <w:r>
              <w:t>先登記模型、校準與風險門檻，再進行一次性 test</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至少多 seed，報告中位數、離散度與最差值</w:t>
            </w:r>
          </w:p>
        </w:tc>
      </w:tr>
      <w:tr>
        <w:trPr>
          <w:cantSplit/>
        </w:trPr>
        <w:tc>
          <w:tcPr>
            <w:tcW w:w="2500" w:type="dxa"/>
            <w:vAlign w:val="center"/>
          </w:tcPr>
          <w:p>
            <w:pPr>
              <w:pStyle w:val="TableText"/>
            </w:pPr>
            <w:r>
              <w:t>區間低覆蓋</w:t>
            </w:r>
          </w:p>
        </w:tc>
        <w:tc>
          <w:tcPr>
            <w:tcW w:w="2900" w:type="dxa"/>
            <w:vAlign w:val="center"/>
          </w:tcPr>
          <w:p>
            <w:pPr>
              <w:pStyle w:val="TableText"/>
            </w:pPr>
            <w:r>
              <w:t>14／14 horizon 低於 80%；最低 70.05%</w:t>
            </w:r>
          </w:p>
        </w:tc>
        <w:tc>
          <w:tcPr>
            <w:tcW w:w="3960" w:type="dxa"/>
            <w:vAlign w:val="center"/>
          </w:tcPr>
          <w:p>
            <w:pPr>
              <w:pStyle w:val="TableText"/>
            </w:pPr>
            <w:r>
              <w:t>只用 validation 擬合分 horizon 校準，再鎖定規則</w:t>
            </w:r>
          </w:p>
        </w:tc>
      </w:tr>
      <w:tr>
        <w:trPr>
          <w:cantSplit/>
        </w:trPr>
        <w:tc>
          <w:tcPr>
            <w:tcW w:w="2500" w:type="dxa"/>
            <w:vAlign w:val="center"/>
          </w:tcPr>
          <w:p>
            <w:pPr>
              <w:pStyle w:val="TableText"/>
            </w:pPr>
            <w:r>
              <w:t>長 horizon 回撤</w:t>
            </w:r>
          </w:p>
        </w:tc>
        <w:tc>
          <w:tcPr>
            <w:tcW w:w="2900" w:type="dxa"/>
            <w:vAlign w:val="center"/>
          </w:tcPr>
          <w:p>
            <w:pPr>
              <w:pStyle w:val="TableText"/>
            </w:pPr>
            <w:r>
              <w:t>14 日約 -69.5%</w:t>
            </w:r>
          </w:p>
        </w:tc>
        <w:tc>
          <w:tcPr>
            <w:tcW w:w="3960" w:type="dxa"/>
            <w:vAlign w:val="center"/>
          </w:tcPr>
          <w:p>
            <w:pPr>
              <w:pStyle w:val="TableText"/>
            </w:pPr>
            <w:r>
              <w:t>加入持有期、曝險與風險限制比較</w:t>
            </w:r>
          </w:p>
        </w:tc>
      </w:tr>
      <w:tr>
        <w:trPr>
          <w:cantSplit/>
        </w:trPr>
        <w:tc>
          <w:tcPr>
            <w:tcW w:w="2500" w:type="dxa"/>
            <w:vAlign w:val="center"/>
          </w:tcPr>
          <w:p>
            <w:pPr>
              <w:pStyle w:val="TableText"/>
            </w:pPr>
            <w:r>
              <w:t>訊號隨 horizon 反轉</w:t>
            </w:r>
          </w:p>
        </w:tc>
        <w:tc>
          <w:tcPr>
            <w:tcW w:w="2900" w:type="dxa"/>
            <w:vAlign w:val="center"/>
          </w:tcPr>
          <w:p>
            <w:pPr>
              <w:pStyle w:val="TableText"/>
            </w:pPr>
            <w:r>
              <w:t>1 日 88.38% bullish；13 日 80.26% bearish</w:t>
            </w:r>
          </w:p>
        </w:tc>
        <w:tc>
          <w:tcPr>
            <w:tcW w:w="3960" w:type="dxa"/>
            <w:vAlign w:val="center"/>
          </w:tcPr>
          <w:p>
            <w:pPr>
              <w:pStyle w:val="TableText"/>
            </w:pPr>
            <w:r>
              <w:t>每個 horizon 分別固定 threshold 與 position mapping</w:t>
            </w:r>
          </w:p>
        </w:tc>
      </w:tr>
      <w:tr>
        <w:trPr>
          <w:cantSplit/>
        </w:trPr>
        <w:tc>
          <w:tcPr>
            <w:tcW w:w="2500" w:type="dxa"/>
            <w:vAlign w:val="center"/>
          </w:tcPr>
          <w:p>
            <w:pPr>
              <w:pStyle w:val="TableText"/>
            </w:pPr>
            <w:r>
              <w:t>年度樣本不平衡</w:t>
            </w:r>
          </w:p>
        </w:tc>
        <w:tc>
          <w:tcPr>
            <w:tcW w:w="2900" w:type="dxa"/>
            <w:vAlign w:val="center"/>
          </w:tcPr>
          <w:p>
            <w:pPr>
              <w:pStyle w:val="TableText"/>
            </w:pPr>
            <w:r>
              <w:t>2024 為 1,928；2025 為 18,072</w:t>
            </w:r>
          </w:p>
        </w:tc>
        <w:tc>
          <w:tcPr>
            <w:tcW w:w="3960" w:type="dxa"/>
            <w:vAlign w:val="center"/>
          </w:tcPr>
          <w:p>
            <w:pPr>
              <w:pStyle w:val="TableText"/>
            </w:pPr>
            <w:r>
              <w:t>增加年度、regime、rolling 與 provider 穩定性分析</w:t>
            </w:r>
          </w:p>
        </w:tc>
      </w:tr>
      <w:tr>
        <w:trPr>
          <w:cantSplit/>
        </w:trPr>
        <w:tc>
          <w:tcPr>
            <w:tcW w:w="2500" w:type="dxa"/>
            <w:vAlign w:val="center"/>
          </w:tcPr>
          <w:p>
            <w:pPr>
              <w:pStyle w:val="TableText"/>
            </w:pPr>
            <w:r>
              <w:t>Lifecycle 異常</w:t>
            </w:r>
          </w:p>
        </w:tc>
        <w:tc>
          <w:tcPr>
            <w:tcW w:w="2900" w:type="dxa"/>
            <w:vAlign w:val="center"/>
          </w:tcPr>
          <w:p>
            <w:pPr>
              <w:pStyle w:val="TableText"/>
            </w:pPr>
            <w:r>
              <w:t>completion ready，但 training exit code 1</w:t>
            </w:r>
          </w:p>
        </w:tc>
        <w:tc>
          <w:tcPr>
            <w:tcW w:w="3960" w:type="dxa"/>
            <w:vAlign w:val="center"/>
          </w:tcPr>
          <w:p>
            <w:pPr>
              <w:pStyle w:val="TableText"/>
            </w:pPr>
            <w:r>
              <w:t>取得 recovery.json 與 combined.log 後確認根因</w:t>
            </w:r>
          </w:p>
        </w:tc>
      </w:tr>
      <w:tr>
        <w:trPr>
          <w:cantSplit/>
        </w:trPr>
        <w:tc>
          <w:tcPr>
            <w:tcW w:w="2500" w:type="dxa"/>
            <w:vAlign w:val="center"/>
          </w:tcPr>
          <w:p>
            <w:pPr>
              <w:pStyle w:val="TableText"/>
            </w:pPr>
            <w:r>
              <w:t>Checkpoint 誤用</w:t>
            </w:r>
          </w:p>
        </w:tc>
        <w:tc>
          <w:tcPr>
            <w:tcW w:w="2900" w:type="dxa"/>
            <w:vAlign w:val="center"/>
          </w:tcPr>
          <w:p>
            <w:pPr>
              <w:pStyle w:val="TableText"/>
            </w:pPr>
            <w:r>
              <w:t>驗證使用 checkpoint-028982，末次 score 較差</w:t>
            </w:r>
          </w:p>
        </w:tc>
        <w:tc>
          <w:tcPr>
            <w:tcW w:w="3960" w:type="dxa"/>
            <w:vAlign w:val="center"/>
          </w:tcPr>
          <w:p>
            <w:pPr>
              <w:pStyle w:val="TableText"/>
            </w:pPr>
            <w:r>
              <w:t>部署產物必須鎖定 best-checkpoint.json 指向</w:t>
            </w:r>
          </w:p>
        </w:tc>
      </w:tr>
      <w:tr>
        <w:trPr>
          <w:cantSplit/>
        </w:trPr>
        <w:tc>
          <w:tcPr>
            <w:tcW w:w="2500" w:type="dxa"/>
            <w:vAlign w:val="center"/>
          </w:tcPr>
          <w:p>
            <w:pPr>
              <w:pStyle w:val="TableText"/>
            </w:pPr>
            <w:r>
              <w:t>簡化交易成本</w:t>
            </w:r>
          </w:p>
        </w:tc>
        <w:tc>
          <w:tcPr>
            <w:tcW w:w="2900" w:type="dxa"/>
            <w:vAlign w:val="center"/>
          </w:tcPr>
          <w:p>
            <w:pPr>
              <w:pStyle w:val="TableText"/>
            </w:pPr>
            <w:r>
              <w:t>每單位 turnover 固定 10 bps</w:t>
            </w:r>
          </w:p>
        </w:tc>
        <w:tc>
          <w:tcPr>
            <w:tcW w:w="3960" w:type="dxa"/>
            <w:vAlign w:val="center"/>
          </w:tcPr>
          <w:p>
            <w:pPr>
              <w:pStyle w:val="TableText"/>
            </w:pPr>
            <w:r>
              <w:t>加入滑價、市場衝擊、借券、容量與稅費情境</w:t>
            </w:r>
          </w:p>
        </w:tc>
      </w:tr>
    </w:tbl>
    <w:p>
      <w:pPr>
        <w:pStyle w:val="Lead"/>
      </w:pPr>
      <w:r>
        <w:t>最終判斷：Stage 2 最佳 checkpoint 在完整 1 至 14 日的 validation 分布誤差與橫斷面排序都優於主要比較模型，也比 Stage 1 進一步改善；但區間低覆蓋、長 horizon 回撤、訊號反轉、單一 seed、test 鎖定與 lifecycle 異常仍阻止部署結論。</w:t>
      </w:r>
    </w:p>
    <w:p>
      <w:pPr>
        <w:pStyle w:val="11"/>
        <w:pageBreakBefore/>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1至14日 score</w:t>
            </w:r>
          </w:p>
        </w:tc>
        <w:tc>
          <w:tcPr>
            <w:tcW w:w="1330" w:type="dxa"/>
            <w:shd w:val="clear" w:fill="DCE6F1"/>
            <w:vAlign w:val="center"/>
          </w:tcPr>
          <w:p>
            <w:pPr>
              <w:pStyle w:val="TableHeader"/>
            </w:pPr>
            <w:r>
              <w:t>1日</w:t>
            </w:r>
          </w:p>
        </w:tc>
        <w:tc>
          <w:tcPr>
            <w:tcW w:w="1330" w:type="dxa"/>
            <w:shd w:val="clear" w:fill="DCE6F1"/>
            <w:vAlign w:val="center"/>
          </w:tcPr>
          <w:p>
            <w:pPr>
              <w:pStyle w:val="TableHeader"/>
            </w:pPr>
            <w:r>
              <w:t>7日</w:t>
            </w:r>
          </w:p>
        </w:tc>
        <w:tc>
          <w:tcPr>
            <w:tcW w:w="1350" w:type="dxa"/>
            <w:shd w:val="clear" w:fill="DCE6F1"/>
            <w:vAlign w:val="center"/>
          </w:tcPr>
          <w:p>
            <w:pPr>
              <w:pStyle w:val="TableHeader"/>
            </w:pPr>
            <w:r>
              <w:t>14日</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0.307166</w:t>
            </w:r>
          </w:p>
        </w:tc>
        <w:tc>
          <w:tcPr>
            <w:tcW w:w="1330" w:type="dxa"/>
            <w:shd w:val="clear" w:fill="EDF5FC"/>
            <w:vAlign w:val="center"/>
          </w:tcPr>
          <w:p>
            <w:pPr>
              <w:pStyle w:val="TableNumber"/>
            </w:pPr>
            <w:r>
              <w:t>0.3819</w:t>
            </w:r>
          </w:p>
        </w:tc>
        <w:tc>
          <w:tcPr>
            <w:tcW w:w="1330" w:type="dxa"/>
            <w:shd w:val="clear" w:fill="EDF5FC"/>
            <w:vAlign w:val="center"/>
          </w:tcPr>
          <w:p>
            <w:pPr>
              <w:pStyle w:val="TableNumber"/>
            </w:pPr>
            <w:r>
              <w:t>0.3020</w:t>
            </w:r>
          </w:p>
        </w:tc>
        <w:tc>
          <w:tcPr>
            <w:tcW w:w="1350" w:type="dxa"/>
            <w:shd w:val="clear" w:fill="EDF5FC"/>
            <w:vAlign w:val="center"/>
          </w:tcPr>
          <w:p>
            <w:pPr>
              <w:pStyle w:val="TableNumber"/>
            </w:pPr>
            <w:r>
              <w:t>0.2832</w:t>
            </w:r>
          </w:p>
        </w:tc>
      </w:tr>
      <w:tr>
        <w:trPr>
          <w:cantSplit/>
        </w:trPr>
        <w:tc>
          <w:tcPr>
            <w:tcW w:w="650" w:type="dxa"/>
            <w:vAlign w:val="center"/>
          </w:tcPr>
          <w:p>
            <w:pPr>
              <w:pStyle w:val="TableNumber"/>
            </w:pPr>
            <w:r>
              <w:t>2</w:t>
            </w:r>
          </w:p>
        </w:tc>
        <w:tc>
          <w:tcPr>
            <w:tcW w:w="2800" w:type="dxa"/>
            <w:vAlign w:val="center"/>
          </w:tcPr>
          <w:p>
            <w:pPr>
              <w:pStyle w:val="TableText"/>
            </w:pPr>
            <w:r>
              <w:t>成對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0.342796</w:t>
            </w:r>
          </w:p>
        </w:tc>
        <w:tc>
          <w:tcPr>
            <w:tcW w:w="1330" w:type="dxa"/>
            <w:vAlign w:val="center"/>
          </w:tcPr>
          <w:p>
            <w:pPr>
              <w:pStyle w:val="TableNumber"/>
            </w:pPr>
            <w:r>
              <w:t>0.3848</w:t>
            </w:r>
          </w:p>
        </w:tc>
        <w:tc>
          <w:tcPr>
            <w:tcW w:w="1330" w:type="dxa"/>
            <w:vAlign w:val="center"/>
          </w:tcPr>
          <w:p>
            <w:pPr>
              <w:pStyle w:val="TableNumber"/>
            </w:pPr>
            <w:r>
              <w:t>0.3455</w:t>
            </w:r>
          </w:p>
        </w:tc>
        <w:tc>
          <w:tcPr>
            <w:tcW w:w="1350" w:type="dxa"/>
            <w:vAlign w:val="center"/>
          </w:tcPr>
          <w:p>
            <w:pPr>
              <w:pStyle w:val="TableNumber"/>
            </w:pPr>
            <w:r>
              <w:t>0.3287</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固定偏多分布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零報酬分布</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0.365315</w:t>
            </w:r>
          </w:p>
        </w:tc>
        <w:tc>
          <w:tcPr>
            <w:tcW w:w="1330" w:type="dxa"/>
            <w:vAlign w:val="center"/>
          </w:tcPr>
          <w:p>
            <w:pPr>
              <w:pStyle w:val="TableNumber"/>
            </w:pPr>
            <w:r>
              <w:t>0.4116</w:t>
            </w:r>
          </w:p>
        </w:tc>
        <w:tc>
          <w:tcPr>
            <w:tcW w:w="1330" w:type="dxa"/>
            <w:vAlign w:val="center"/>
          </w:tcPr>
          <w:p>
            <w:pPr>
              <w:pStyle w:val="TableNumber"/>
            </w:pPr>
            <w:r>
              <w:t>0.3602</w:t>
            </w:r>
          </w:p>
        </w:tc>
        <w:tc>
          <w:tcPr>
            <w:tcW w:w="1350" w:type="dxa"/>
            <w:vAlign w:val="center"/>
          </w:tcPr>
          <w:p>
            <w:pPr>
              <w:pStyle w:val="TableNumber"/>
            </w:pPr>
            <w:r>
              <w:t>0.3570</w:t>
            </w:r>
          </w:p>
        </w:tc>
      </w:tr>
      <w:tr>
        <w:trPr>
          <w:cantSplit/>
        </w:trPr>
        <w:tc>
          <w:tcPr>
            <w:tcW w:w="650" w:type="dxa"/>
            <w:vAlign w:val="center"/>
          </w:tcPr>
          <w:p>
            <w:pPr>
              <w:pStyle w:val="TableNumber"/>
            </w:pPr>
            <w:r>
              <w:t>8</w:t>
            </w:r>
          </w:p>
        </w:tc>
        <w:tc>
          <w:tcPr>
            <w:tcW w:w="2800" w:type="dxa"/>
            <w:vAlign w:val="center"/>
          </w:tcPr>
          <w:p>
            <w:pPr>
              <w:pStyle w:val="TableText"/>
            </w:pPr>
            <w:r>
              <w:t>均線交叉</w:t>
            </w:r>
          </w:p>
        </w:tc>
        <w:tc>
          <w:tcPr>
            <w:tcW w:w="1900" w:type="dxa"/>
            <w:vAlign w:val="center"/>
          </w:tcPr>
          <w:p>
            <w:pPr>
              <w:pStyle w:val="TableNumber"/>
            </w:pPr>
            <w:r>
              <w:t>0.404804</w:t>
            </w:r>
          </w:p>
        </w:tc>
        <w:tc>
          <w:tcPr>
            <w:tcW w:w="1330" w:type="dxa"/>
            <w:vAlign w:val="center"/>
          </w:tcPr>
          <w:p>
            <w:pPr>
              <w:pStyle w:val="TableNumber"/>
            </w:pPr>
            <w:r>
              <w:t>0.4180</w:t>
            </w:r>
          </w:p>
        </w:tc>
        <w:tc>
          <w:tcPr>
            <w:tcW w:w="1330" w:type="dxa"/>
            <w:vAlign w:val="center"/>
          </w:tcPr>
          <w:p>
            <w:pPr>
              <w:pStyle w:val="TableNumber"/>
            </w:pPr>
            <w:r>
              <w:t>0.3975</w:t>
            </w:r>
          </w:p>
        </w:tc>
        <w:tc>
          <w:tcPr>
            <w:tcW w:w="1350" w:type="dxa"/>
            <w:vAlign w:val="center"/>
          </w:tcPr>
          <w:p>
            <w:pPr>
              <w:pStyle w:val="TableNumber"/>
            </w:pPr>
            <w:r>
              <w:t>0.4283</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0.405290</w:t>
            </w:r>
          </w:p>
        </w:tc>
        <w:tc>
          <w:tcPr>
            <w:tcW w:w="1330" w:type="dxa"/>
            <w:vAlign w:val="center"/>
          </w:tcPr>
          <w:p>
            <w:pPr>
              <w:pStyle w:val="TableNumber"/>
            </w:pPr>
            <w:r>
              <w:t>0.5413</w:t>
            </w:r>
          </w:p>
        </w:tc>
        <w:tc>
          <w:tcPr>
            <w:tcW w:w="1330" w:type="dxa"/>
            <w:vAlign w:val="center"/>
          </w:tcPr>
          <w:p>
            <w:pPr>
              <w:pStyle w:val="TableNumber"/>
            </w:pPr>
            <w:r>
              <w:t>0.3895</w:t>
            </w:r>
          </w:p>
        </w:tc>
        <w:tc>
          <w:tcPr>
            <w:tcW w:w="1350" w:type="dxa"/>
            <w:vAlign w:val="center"/>
          </w:tcPr>
          <w:p>
            <w:pPr>
              <w:pStyle w:val="TableNumber"/>
            </w:pPr>
            <w:r>
              <w:t>0.3848</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0.432191</w:t>
            </w:r>
          </w:p>
        </w:tc>
        <w:tc>
          <w:tcPr>
            <w:tcW w:w="1330" w:type="dxa"/>
            <w:vAlign w:val="center"/>
          </w:tcPr>
          <w:p>
            <w:pPr>
              <w:pStyle w:val="TableNumber"/>
            </w:pPr>
            <w:r>
              <w:t>0.4255</w:t>
            </w:r>
          </w:p>
        </w:tc>
        <w:tc>
          <w:tcPr>
            <w:tcW w:w="1330" w:type="dxa"/>
            <w:vAlign w:val="center"/>
          </w:tcPr>
          <w:p>
            <w:pPr>
              <w:pStyle w:val="TableNumber"/>
            </w:pPr>
            <w:r>
              <w:t>0.4262</w:t>
            </w:r>
          </w:p>
        </w:tc>
        <w:tc>
          <w:tcPr>
            <w:tcW w:w="1350" w:type="dxa"/>
            <w:vAlign w:val="center"/>
          </w:tcPr>
          <w:p>
            <w:pPr>
              <w:pStyle w:val="TableNumber"/>
            </w:pPr>
            <w:r>
              <w:t>0.4710</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0.566933</w:t>
            </w:r>
          </w:p>
        </w:tc>
        <w:tc>
          <w:tcPr>
            <w:tcW w:w="1330" w:type="dxa"/>
            <w:vAlign w:val="center"/>
          </w:tcPr>
          <w:p>
            <w:pPr>
              <w:pStyle w:val="TableNumber"/>
            </w:pPr>
            <w:r>
              <w:t>0.4548</w:t>
            </w:r>
          </w:p>
        </w:tc>
        <w:tc>
          <w:tcPr>
            <w:tcW w:w="1330" w:type="dxa"/>
            <w:vAlign w:val="center"/>
          </w:tcPr>
          <w:p>
            <w:pPr>
              <w:pStyle w:val="TableNumber"/>
            </w:pPr>
            <w:r>
              <w:t>0.5634</w:t>
            </w:r>
          </w:p>
        </w:tc>
        <w:tc>
          <w:tcPr>
            <w:tcW w:w="1350" w:type="dxa"/>
            <w:vAlign w:val="center"/>
          </w:tcPr>
          <w:p>
            <w:pPr>
              <w:pStyle w:val="TableNumber"/>
            </w:pPr>
            <w:r>
              <w:t>0.6839</w:t>
            </w:r>
          </w:p>
        </w:tc>
      </w:tr>
      <w:tr>
        <w:trPr>
          <w:cantSplit/>
        </w:trPr>
        <w:tc>
          <w:tcPr>
            <w:tcW w:w="650" w:type="dxa"/>
            <w:vAlign w:val="center"/>
          </w:tcPr>
          <w:p>
            <w:pPr>
              <w:pStyle w:val="TableNumber"/>
            </w:pPr>
            <w:r>
              <w:t>12</w:t>
            </w:r>
          </w:p>
        </w:tc>
        <w:tc>
          <w:tcPr>
            <w:tcW w:w="2800" w:type="dxa"/>
            <w:vAlign w:val="center"/>
          </w:tcPr>
          <w:p>
            <w:pPr>
              <w:pStyle w:val="TableText"/>
            </w:pPr>
            <w:r>
              <w:t>5 日反轉</w:t>
            </w:r>
          </w:p>
        </w:tc>
        <w:tc>
          <w:tcPr>
            <w:tcW w:w="1900" w:type="dxa"/>
            <w:vAlign w:val="center"/>
          </w:tcPr>
          <w:p>
            <w:pPr>
              <w:pStyle w:val="TableNumber"/>
            </w:pPr>
            <w:r>
              <w:t>0.571595</w:t>
            </w:r>
          </w:p>
        </w:tc>
        <w:tc>
          <w:tcPr>
            <w:tcW w:w="1330" w:type="dxa"/>
            <w:vAlign w:val="center"/>
          </w:tcPr>
          <w:p>
            <w:pPr>
              <w:pStyle w:val="TableNumber"/>
            </w:pPr>
            <w:r>
              <w:t>0.4586</w:t>
            </w:r>
          </w:p>
        </w:tc>
        <w:tc>
          <w:tcPr>
            <w:tcW w:w="1330" w:type="dxa"/>
            <w:vAlign w:val="center"/>
          </w:tcPr>
          <w:p>
            <w:pPr>
              <w:pStyle w:val="TableNumber"/>
            </w:pPr>
            <w:r>
              <w:t>0.5629</w:t>
            </w:r>
          </w:p>
        </w:tc>
        <w:tc>
          <w:tcPr>
            <w:tcW w:w="1350" w:type="dxa"/>
            <w:vAlign w:val="center"/>
          </w:tcPr>
          <w:p>
            <w:pPr>
              <w:pStyle w:val="TableNumber"/>
            </w:pPr>
            <w:r>
              <w:t>0.7012</w:t>
            </w:r>
          </w:p>
        </w:tc>
      </w:tr>
      <w:tr>
        <w:trPr>
          <w:cantSplit/>
        </w:trPr>
        <w:tc>
          <w:tcPr>
            <w:tcW w:w="650" w:type="dxa"/>
            <w:vAlign w:val="center"/>
          </w:tcPr>
          <w:p>
            <w:pPr>
              <w:pStyle w:val="TableNumber"/>
            </w:pPr>
            <w:r>
              <w:t>13</w:t>
            </w:r>
          </w:p>
        </w:tc>
        <w:tc>
          <w:tcPr>
            <w:tcW w:w="2800" w:type="dxa"/>
            <w:vAlign w:val="center"/>
          </w:tcPr>
          <w:p>
            <w:pPr>
              <w:pStyle w:val="TableText"/>
            </w:pPr>
            <w:r>
              <w:t>5 日動能</w:t>
            </w:r>
          </w:p>
        </w:tc>
        <w:tc>
          <w:tcPr>
            <w:tcW w:w="1900" w:type="dxa"/>
            <w:vAlign w:val="center"/>
          </w:tcPr>
          <w:p>
            <w:pPr>
              <w:pStyle w:val="TableNumber"/>
            </w:pPr>
            <w:r>
              <w:t>0.588425</w:t>
            </w:r>
          </w:p>
        </w:tc>
        <w:tc>
          <w:tcPr>
            <w:tcW w:w="1330" w:type="dxa"/>
            <w:vAlign w:val="center"/>
          </w:tcPr>
          <w:p>
            <w:pPr>
              <w:pStyle w:val="TableNumber"/>
            </w:pPr>
            <w:r>
              <w:t>0.4608</w:t>
            </w:r>
          </w:p>
        </w:tc>
        <w:tc>
          <w:tcPr>
            <w:tcW w:w="1330" w:type="dxa"/>
            <w:vAlign w:val="center"/>
          </w:tcPr>
          <w:p>
            <w:pPr>
              <w:pStyle w:val="TableNumber"/>
            </w:pPr>
            <w:r>
              <w:t>0.5853</w:t>
            </w:r>
          </w:p>
        </w:tc>
        <w:tc>
          <w:tcPr>
            <w:tcW w:w="1350" w:type="dxa"/>
            <w:vAlign w:val="center"/>
          </w:tcPr>
          <w:p>
            <w:pPr>
              <w:pStyle w:val="TableNumber"/>
            </w:pPr>
            <w:r>
              <w:t>0.7159</w:t>
            </w:r>
          </w:p>
        </w:tc>
      </w:tr>
    </w:tbl>
    <w:p>
      <w:pPr>
        <w:pStyle w:val="Note"/>
      </w:pPr>
      <w:r>
        <w:t>所有 learned baseline 均使用 seed 42；主排名只依 14 horizon selection score。</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run-20260903T184811Z-81563229</w:t>
            </w:r>
          </w:p>
        </w:tc>
      </w:tr>
      <w:tr>
        <w:trPr>
          <w:cantSplit/>
        </w:trPr>
        <w:tc>
          <w:tcPr>
            <w:tcW w:w="3000" w:type="dxa"/>
            <w:vAlign w:val="center"/>
          </w:tcPr>
          <w:p>
            <w:pPr>
              <w:pStyle w:val="TableText"/>
            </w:pPr>
            <w:r>
              <w:t>最佳 checkpoint</w:t>
            </w:r>
          </w:p>
        </w:tc>
        <w:tc>
          <w:tcPr>
            <w:tcW w:w="6360" w:type="dxa"/>
            <w:vAlign w:val="center"/>
          </w:tcPr>
          <w:p>
            <w:pPr>
              <w:pStyle w:val="TableText"/>
            </w:pPr>
            <w:r>
              <w:t>checkpoint-028982; selection score 0.30716596632829113</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validation 狀態</w:t>
            </w:r>
          </w:p>
        </w:tc>
        <w:tc>
          <w:tcPr>
            <w:tcW w:w="6360" w:type="dxa"/>
            <w:vAlign w:val="center"/>
          </w:tcPr>
          <w:p>
            <w:pPr>
              <w:pStyle w:val="TableText"/>
            </w:pPr>
            <w:r>
              <w:t>ready; exit code 0; test_unlocked=false</w:t>
            </w:r>
          </w:p>
        </w:tc>
      </w:tr>
      <w:tr>
        <w:trPr>
          <w:cantSplit/>
        </w:trPr>
        <w:tc>
          <w:tcPr>
            <w:tcW w:w="3000" w:type="dxa"/>
            <w:vAlign w:val="center"/>
          </w:tcPr>
          <w:p>
            <w:pPr>
              <w:pStyle w:val="TableText"/>
            </w:pPr>
            <w:r>
              <w:t>training lifecycle</w:t>
            </w:r>
          </w:p>
        </w:tc>
        <w:tc>
          <w:tcPr>
            <w:tcW w:w="6360" w:type="dxa"/>
            <w:vAlign w:val="center"/>
          </w:tcPr>
          <w:p>
            <w:pPr>
              <w:pStyle w:val="TableText"/>
            </w:pPr>
            <w:r>
              <w:t>ready; exit code 1; timed_out=false; training_completed=true</w:t>
            </w:r>
          </w:p>
        </w:tc>
      </w:tr>
      <w:tr>
        <w:trPr>
          <w:cantSplit/>
        </w:trPr>
        <w:tc>
          <w:tcPr>
            <w:tcW w:w="3000" w:type="dxa"/>
            <w:vAlign w:val="center"/>
          </w:tcPr>
          <w:p>
            <w:pPr>
              <w:pStyle w:val="TableText"/>
            </w:pPr>
            <w:r>
              <w:t>Stage 1 比較</w:t>
            </w:r>
          </w:p>
        </w:tc>
        <w:tc>
          <w:tcPr>
            <w:tcW w:w="6360" w:type="dxa"/>
            <w:vAlign w:val="center"/>
          </w:tcPr>
          <w:p>
            <w:pPr>
              <w:pStyle w:val="TableText"/>
            </w:pPr>
            <w:r>
              <w:t>run-20260903T140429Z-1247813592; score 0.31475936576408564</w:t>
            </w:r>
          </w:p>
        </w:tc>
      </w:tr>
      <w:tr>
        <w:trPr>
          <w:cantSplit/>
        </w:trPr>
        <w:tc>
          <w:tcPr>
            <w:tcW w:w="3000" w:type="dxa"/>
            <w:vAlign w:val="center"/>
          </w:tcPr>
          <w:p>
            <w:pPr>
              <w:pStyle w:val="TableText"/>
            </w:pPr>
            <w:r>
              <w:t>資料 request SHA-256</w:t>
            </w:r>
          </w:p>
        </w:tc>
        <w:tc>
          <w:tcPr>
            <w:tcW w:w="6360" w:type="dxa"/>
            <w:vAlign w:val="center"/>
          </w:tcPr>
          <w:p>
            <w:pPr>
              <w:pStyle w:val="TableText"/>
            </w:pPr>
            <w:r>
              <w:t>bbe0e0662867673393b742822ffc54ac5476e10015bfaacef02831560a8e3bf0</w:t>
            </w:r>
          </w:p>
        </w:tc>
      </w:tr>
      <w:tr>
        <w:trPr>
          <w:cantSplit/>
        </w:trPr>
        <w:tc>
          <w:tcPr>
            <w:tcW w:w="3000" w:type="dxa"/>
            <w:vAlign w:val="center"/>
          </w:tcPr>
          <w:p>
            <w:pPr>
              <w:pStyle w:val="TableText"/>
            </w:pPr>
            <w:r>
              <w:t>主要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本報告數值直接來自 run artifacts；沒有重新訓練、重新抽樣或解鎖 test。</w:t>
      </w:r>
    </w:p>
    <w:p>
      <w:pPr>
        <w:pStyle w:val="a"/>
        <w:spacing w:after="0"/>
      </w:pPr>
      <w:r>
        <w:br w:type="page"/>
      </w:r>
    </w:p>
    <w:p>
      <w:pPr>
        <w:pStyle w:val="Kicker"/>
      </w:pPr>
      <w:r>
        <w:t>MODEL PERFORMANCE EVALUATION</w:t>
      </w:r>
    </w:p>
    <w:p>
      <w:pPr>
        <w:pStyle w:val="ReportTitle"/>
      </w:pPr>
      <w:r>
        <w:t>One to Fourteen Day Alpha Forecast Validation</w:t>
      </w:r>
    </w:p>
    <w:p>
      <w:pPr>
        <w:pStyle w:val="1"/>
      </w:pPr>
      <w:r>
        <w:t>Stage 2 | run-20260903T184811Z-81563229</w:t>
      </w:r>
    </w:p>
    <w:p>
      <w:pPr>
        <w:pStyle w:val="Metadata"/>
      </w:pPr>
      <w:r>
        <w:t>Report date: 2026-09-05</w:t>
      </w:r>
    </w:p>
    <w:p>
      <w:pPr>
        <w:pStyle w:val="Metadata"/>
      </w:pPr>
      <w:r>
        <w:t>Best checkpoint: checkpoint-028982 (global step 28,982)</w:t>
      </w:r>
    </w:p>
    <w:p>
      <w:pPr>
        <w:pStyle w:val="Metadata"/>
      </w:pPr>
      <w:r>
        <w:t>Selection split: validation; test split remains locked</w:t>
      </w:r>
    </w:p>
    <w:p>
      <w:pPr>
        <w:pStyle w:val="Lead"/>
      </w:pPr>
      <w:r>
        <w:t>Conclusion: the best Stage 2 checkpoint has a day 1 through day 14 selection score of 0.307166, the lowest among 13 models and 2.41% below Stage 1. Normalized pinball ranks first at 13 horizons and third at day 1. RankIC and net Sharpe rank first at every horizon. The model remains a candidate, but undercoverage of q10 to q90 at every horizon, long-horizon drawdown, one seed, the locked test split, and the nonzero training lifecycle exit code still prevent deployment or live-trading conclusions.</w:t>
      </w:r>
    </w:p>
    <w:p>
      <w:pPr>
        <w:pStyle w:val="11"/>
      </w:pPr>
      <w:r>
        <w:t>1. Executive summary</w:t>
      </w:r>
    </w:p>
    <w:p>
      <w:pPr>
        <w:pStyle w:val="21"/>
      </w:pPr>
      <w:r>
        <w:t>1.1 The unit of evaluation is all 14 horizons</w:t>
      </w:r>
    </w:p>
    <w:p>
      <w:pPr>
        <w:pStyle w:val="a"/>
      </w:pPr>
      <w:r>
        <w:t>Each sample contains 14 separate q10, q50, and q90 triplets. They describe benchmark-relative outcomes after holding for 1, 2, and up to 14 common trading days. The selection score is the equal-weight mean normalized pinball across all horizons. The horizon tables test whether the aggregate result is supported broadly rather than by only a few holding periods.</w:t>
      </w:r>
    </w:p>
    <w:p>
      <w:pPr>
        <w:pStyle w:val="Decision"/>
        <w:keepNext/>
        <w:spacing w:after="80"/>
      </w:pPr>
      <w:r>
        <w:t>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All-horizon selection score</w:t>
            </w:r>
          </w:p>
        </w:tc>
        <w:tc>
          <w:tcPr>
            <w:tcW w:w="2800" w:type="dxa"/>
            <w:vAlign w:val="center"/>
          </w:tcPr>
          <w:p>
            <w:pPr>
              <w:pStyle w:val="TableNumber"/>
            </w:pPr>
            <w:r>
              <w:t>0.307166</w:t>
            </w:r>
          </w:p>
        </w:tc>
        <w:tc>
          <w:tcPr>
            <w:tcW w:w="3910" w:type="dxa"/>
            <w:vAlign w:val="center"/>
          </w:tcPr>
          <w:p>
            <w:pPr>
              <w:pStyle w:val="TableText"/>
            </w:pPr>
            <w:r>
              <w:t>Rank 1 of 13; equal weight across 14 horizons</w:t>
            </w:r>
          </w:p>
        </w:tc>
      </w:tr>
      <w:tr>
        <w:trPr>
          <w:cantSplit/>
        </w:trPr>
        <w:tc>
          <w:tcPr>
            <w:tcW w:w="2650" w:type="dxa"/>
            <w:vAlign w:val="center"/>
          </w:tcPr>
          <w:p>
            <w:pPr>
              <w:pStyle w:val="TableText"/>
            </w:pPr>
            <w:r>
              <w:t>Per-horizon normalized pinball</w:t>
            </w:r>
          </w:p>
        </w:tc>
        <w:tc>
          <w:tcPr>
            <w:tcW w:w="2800" w:type="dxa"/>
            <w:vAlign w:val="center"/>
          </w:tcPr>
          <w:p>
            <w:pPr>
              <w:pStyle w:val="TableNumber"/>
            </w:pPr>
            <w:r>
              <w:t>Rank 1 at 13; rank 3 at 1</w:t>
            </w:r>
          </w:p>
        </w:tc>
        <w:tc>
          <w:tcPr>
            <w:tcW w:w="3910" w:type="dxa"/>
            <w:vAlign w:val="center"/>
          </w:tcPr>
          <w:p>
            <w:pPr>
              <w:pStyle w:val="TableText"/>
            </w:pPr>
            <w:r>
              <w:t>Third at day 1; first at days 2 through 14</w:t>
            </w:r>
          </w:p>
        </w:tc>
      </w:tr>
      <w:tr>
        <w:trPr>
          <w:cantSplit/>
        </w:trPr>
        <w:tc>
          <w:tcPr>
            <w:tcW w:w="2650" w:type="dxa"/>
            <w:vAlign w:val="center"/>
          </w:tcPr>
          <w:p>
            <w:pPr>
              <w:pStyle w:val="TableText"/>
            </w:pPr>
            <w:r>
              <w:t>q50 Pearson correlation</w:t>
            </w:r>
          </w:p>
        </w:tc>
        <w:tc>
          <w:tcPr>
            <w:tcW w:w="2800" w:type="dxa"/>
            <w:vAlign w:val="center"/>
          </w:tcPr>
          <w:p>
            <w:pPr>
              <w:pStyle w:val="TableNumber"/>
            </w:pPr>
            <w:r>
              <w:t>Positive at 14 of 14; 0.0460 to 0.1493</w:t>
            </w:r>
          </w:p>
        </w:tc>
        <w:tc>
          <w:tcPr>
            <w:tcW w:w="3910" w:type="dxa"/>
            <w:vAlign w:val="center"/>
          </w:tcPr>
          <w:p>
            <w:pPr>
              <w:pStyle w:val="TableText"/>
            </w:pPr>
            <w:r>
              <w:t>Generally rises with horizon but remains weak</w:t>
            </w:r>
          </w:p>
        </w:tc>
      </w:tr>
      <w:tr>
        <w:trPr>
          <w:cantSplit/>
        </w:trPr>
        <w:tc>
          <w:tcPr>
            <w:tcW w:w="2650" w:type="dxa"/>
            <w:vAlign w:val="center"/>
          </w:tcPr>
          <w:p>
            <w:pPr>
              <w:pStyle w:val="TableText"/>
            </w:pPr>
            <w:r>
              <w:t>Direction agreement</w:t>
            </w:r>
          </w:p>
        </w:tc>
        <w:tc>
          <w:tcPr>
            <w:tcW w:w="2800" w:type="dxa"/>
            <w:vAlign w:val="center"/>
          </w:tcPr>
          <w:p>
            <w:pPr>
              <w:pStyle w:val="TableNumber"/>
            </w:pPr>
            <w:r>
              <w:t>48.33% to 55.48%</w:t>
            </w:r>
          </w:p>
        </w:tc>
        <w:tc>
          <w:tcPr>
            <w:tcW w:w="3910" w:type="dxa"/>
            <w:vAlign w:val="center"/>
          </w:tcPr>
          <w:p>
            <w:pPr>
              <w:pStyle w:val="TableText"/>
            </w:pPr>
            <w:r>
              <w:t>Above 50% at 12 of 14; days 1 and 2 are below 50%</w:t>
            </w:r>
          </w:p>
        </w:tc>
      </w:tr>
      <w:tr>
        <w:trPr>
          <w:cantSplit/>
        </w:trPr>
        <w:tc>
          <w:tcPr>
            <w:tcW w:w="2650" w:type="dxa"/>
            <w:vAlign w:val="center"/>
          </w:tcPr>
          <w:p>
            <w:pPr>
              <w:pStyle w:val="TableText"/>
            </w:pPr>
            <w:r>
              <w:t>q10 to q90 coverage</w:t>
            </w:r>
          </w:p>
        </w:tc>
        <w:tc>
          <w:tcPr>
            <w:tcW w:w="2800" w:type="dxa"/>
            <w:vAlign w:val="center"/>
          </w:tcPr>
          <w:p>
            <w:pPr>
              <w:pStyle w:val="TableNumber"/>
            </w:pPr>
            <w:r>
              <w:t>70.05% to 74.79%</w:t>
            </w:r>
          </w:p>
        </w:tc>
        <w:tc>
          <w:tcPr>
            <w:tcW w:w="3910" w:type="dxa"/>
            <w:vAlign w:val="center"/>
          </w:tcPr>
          <w:p>
            <w:pPr>
              <w:pStyle w:val="TableText"/>
            </w:pPr>
            <w:r>
              <w:t>Below nominal 80% at all 14 horizons</w:t>
            </w:r>
          </w:p>
        </w:tc>
      </w:tr>
      <w:tr>
        <w:trPr>
          <w:cantSplit/>
        </w:trPr>
        <w:tc>
          <w:tcPr>
            <w:tcW w:w="2650" w:type="dxa"/>
            <w:vAlign w:val="center"/>
          </w:tcPr>
          <w:p>
            <w:pPr>
              <w:pStyle w:val="TableText"/>
            </w:pPr>
            <w:r>
              <w:t>RankIC</w:t>
            </w:r>
          </w:p>
        </w:tc>
        <w:tc>
          <w:tcPr>
            <w:tcW w:w="2800" w:type="dxa"/>
            <w:vAlign w:val="center"/>
          </w:tcPr>
          <w:p>
            <w:pPr>
              <w:pStyle w:val="TableNumber"/>
            </w:pPr>
            <w:r>
              <w:t>Positive at 14 of 14; rank 1 at 14</w:t>
            </w:r>
          </w:p>
        </w:tc>
        <w:tc>
          <w:tcPr>
            <w:tcW w:w="3910" w:type="dxa"/>
            <w:vAlign w:val="center"/>
          </w:tcPr>
          <w:p>
            <w:pPr>
              <w:pStyle w:val="TableText"/>
            </w:pPr>
            <w:r>
              <w:t>First among 13 models at every horizon</w:t>
            </w:r>
          </w:p>
        </w:tc>
      </w:tr>
      <w:tr>
        <w:trPr>
          <w:cantSplit/>
        </w:trPr>
        <w:tc>
          <w:tcPr>
            <w:tcW w:w="2650" w:type="dxa"/>
            <w:vAlign w:val="center"/>
          </w:tcPr>
          <w:p>
            <w:pPr>
              <w:pStyle w:val="TableText"/>
            </w:pPr>
            <w:r>
              <w:t>Net Sharpe</w:t>
            </w:r>
          </w:p>
        </w:tc>
        <w:tc>
          <w:tcPr>
            <w:tcW w:w="2800" w:type="dxa"/>
            <w:vAlign w:val="center"/>
          </w:tcPr>
          <w:p>
            <w:pPr>
              <w:pStyle w:val="TableNumber"/>
            </w:pPr>
            <w:r>
              <w:t>Positive at 14 of 14; rank 1 at 14</w:t>
            </w:r>
          </w:p>
        </w:tc>
        <w:tc>
          <w:tcPr>
            <w:tcW w:w="3910" w:type="dxa"/>
            <w:vAlign w:val="center"/>
          </w:tcPr>
          <w:p>
            <w:pPr>
              <w:pStyle w:val="TableText"/>
            </w:pPr>
            <w:r>
              <w:t>Overlapping-return autocorrelation is not corrected</w:t>
            </w:r>
          </w:p>
        </w:tc>
      </w:tr>
      <w:tr>
        <w:trPr>
          <w:cantSplit/>
        </w:trPr>
        <w:tc>
          <w:tcPr>
            <w:tcW w:w="2650" w:type="dxa"/>
            <w:vAlign w:val="center"/>
          </w:tcPr>
          <w:p>
            <w:pPr>
              <w:pStyle w:val="TableText"/>
            </w:pPr>
            <w:r>
              <w:t>Maximum drawdown</w:t>
            </w:r>
          </w:p>
        </w:tc>
        <w:tc>
          <w:tcPr>
            <w:tcW w:w="2800" w:type="dxa"/>
            <w:vAlign w:val="center"/>
          </w:tcPr>
          <w:p>
            <w:pPr>
              <w:pStyle w:val="TableNumber"/>
            </w:pPr>
            <w:r>
              <w:t>-9.90% to -69.48%</w:t>
            </w:r>
          </w:p>
        </w:tc>
        <w:tc>
          <w:tcPr>
            <w:tcW w:w="3910" w:type="dxa"/>
            <w:vAlign w:val="center"/>
          </w:tcPr>
          <w:p>
            <w:pPr>
              <w:pStyle w:val="TableText"/>
            </w:pPr>
            <w:r>
              <w:t>Ranks 3 through 8; risk rises at longer horizons</w:t>
            </w:r>
          </w:p>
        </w:tc>
      </w:tr>
    </w:tbl>
    <w:p>
      <w:pPr>
        <w:pStyle w:val="21"/>
      </w:pPr>
      <w:r>
        <w:t>1.2 Decision and evidence strength</w:t>
      </w:r>
    </w:p>
    <w:p>
      <w:pPr>
        <w:pStyle w:val="a"/>
      </w:pPr>
      <w:r>
        <w:t>Kronos has an all-horizon score of 0.307166, 8.74% below second-place GRU at 0.336588 and 15.41% below the zero-return baseline at 0.363115. It is 2.41% below the Stage 1 score of 0.314759. Against Stage 1, normalized pinball improves by 1.59% to 3.61% at days 2 through 14 and worsens by 1.91% at day 1.</w:t>
      </w:r>
    </w:p>
    <w:p>
      <w:pPr>
        <w:pStyle w:val="Decision"/>
      </w:pPr>
      <w:r>
        <w:t>Decision: retain the best Stage 2 checkpoint as the candidate model. Keep test locked and withhold deployment until calibration, multi-seed, operational, and risk gates pass.</w:t>
      </w:r>
    </w:p>
    <w:p>
      <w:pPr>
        <w:pStyle w:val="Note"/>
      </w:pPr>
      <w:r>
        <w:t>Selection score measures distribution error across 14 horizons. It is not return, hit rate, or a tradability score.</w:t>
      </w:r>
    </w:p>
    <w:p>
      <w:pPr>
        <w:pStyle w:val="11"/>
      </w:pPr>
      <w:r>
        <w:t>2. Validation design and evidence boundary</w:t>
      </w:r>
    </w:p>
    <w:p>
      <w:pPr>
        <w:pStyle w:val="21"/>
      </w:pPr>
      <w:r>
        <w:t>2.1 Data and splits</w:t>
      </w:r>
    </w:p>
    <w:p>
      <w:pPr>
        <w:pStyle w:val="a"/>
      </w:pPr>
      <w:r>
        <w:t>The us_tw_eodhd profile combines EODHD US data with official TPEx and TWSE data. Every model uses the same chronological split, benchmark mapping, cutoff-inclusive input context, and entry and exit timestamps.</w:t>
      </w:r>
    </w:p>
    <w:p>
      <w:pPr>
        <w:pStyle w:val="Decision"/>
        <w:keepNext/>
        <w:spacing w:after="80"/>
      </w:pPr>
      <w:r>
        <w:t>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Full training split</w:t>
            </w:r>
          </w:p>
        </w:tc>
        <w:tc>
          <w:tcPr>
            <w:tcW w:w="2050" w:type="dxa"/>
            <w:vAlign w:val="center"/>
          </w:tcPr>
          <w:p>
            <w:pPr>
              <w:pStyle w:val="TableNumber"/>
            </w:pPr>
            <w:r>
              <w:t>12,365,351</w:t>
            </w:r>
          </w:p>
        </w:tc>
        <w:tc>
          <w:tcPr>
            <w:tcW w:w="4510" w:type="dxa"/>
            <w:vAlign w:val="center"/>
          </w:tcPr>
          <w:p>
            <w:pPr>
              <w:pStyle w:val="TableText"/>
            </w:pPr>
            <w:r>
              <w:t>Stage 2 uses the full training split with no max_samples cap</w:t>
            </w:r>
          </w:p>
        </w:tc>
      </w:tr>
      <w:tr>
        <w:trPr>
          <w:cantSplit/>
        </w:trPr>
        <w:tc>
          <w:tcPr>
            <w:tcW w:w="2800" w:type="dxa"/>
            <w:vAlign w:val="center"/>
          </w:tcPr>
          <w:p>
            <w:pPr>
              <w:pStyle w:val="TableText"/>
            </w:pPr>
            <w:r>
              <w:t>Processed training rows</w:t>
            </w:r>
          </w:p>
        </w:tc>
        <w:tc>
          <w:tcPr>
            <w:tcW w:w="2050" w:type="dxa"/>
            <w:vAlign w:val="center"/>
          </w:tcPr>
          <w:p>
            <w:pPr>
              <w:pStyle w:val="TableNumber"/>
            </w:pPr>
            <w:r>
              <w:t>19,784,768</w:t>
            </w:r>
          </w:p>
        </w:tc>
        <w:tc>
          <w:tcPr>
            <w:tcW w:w="4510" w:type="dxa"/>
            <w:vAlign w:val="center"/>
          </w:tcPr>
          <w:p>
            <w:pPr>
              <w:pStyle w:val="TableText"/>
            </w:pPr>
            <w:r>
              <w:t>About 1.60 epochs before early stopping</w:t>
            </w:r>
          </w:p>
        </w:tc>
      </w:tr>
      <w:tr>
        <w:trPr>
          <w:cantSplit/>
        </w:trPr>
        <w:tc>
          <w:tcPr>
            <w:tcW w:w="2800" w:type="dxa"/>
            <w:vAlign w:val="center"/>
          </w:tcPr>
          <w:p>
            <w:pPr>
              <w:pStyle w:val="TableText"/>
            </w:pPr>
            <w:r>
              <w:t>Full validation split</w:t>
            </w:r>
          </w:p>
        </w:tc>
        <w:tc>
          <w:tcPr>
            <w:tcW w:w="2050" w:type="dxa"/>
            <w:vAlign w:val="center"/>
          </w:tcPr>
          <w:p>
            <w:pPr>
              <w:pStyle w:val="TableNumber"/>
            </w:pPr>
            <w:r>
              <w:t>1,704,618</w:t>
            </w:r>
          </w:p>
        </w:tc>
        <w:tc>
          <w:tcPr>
            <w:tcW w:w="4510" w:type="dxa"/>
            <w:vAlign w:val="center"/>
          </w:tcPr>
          <w:p>
            <w:pPr>
              <w:pStyle w:val="TableText"/>
            </w:pPr>
            <w:r>
              <w:t>The benchmark deterministically evaluates 20,000 rows</w:t>
            </w:r>
          </w:p>
        </w:tc>
      </w:tr>
      <w:tr>
        <w:trPr>
          <w:cantSplit/>
        </w:trPr>
        <w:tc>
          <w:tcPr>
            <w:tcW w:w="2800" w:type="dxa"/>
            <w:vAlign w:val="center"/>
          </w:tcPr>
          <w:p>
            <w:pPr>
              <w:pStyle w:val="TableText"/>
            </w:pPr>
            <w:r>
              <w:t>Full test split</w:t>
            </w:r>
          </w:p>
        </w:tc>
        <w:tc>
          <w:tcPr>
            <w:tcW w:w="2050" w:type="dxa"/>
            <w:vAlign w:val="center"/>
          </w:tcPr>
          <w:p>
            <w:pPr>
              <w:pStyle w:val="TableNumber"/>
            </w:pPr>
            <w:r>
              <w:t>1,946,115</w:t>
            </w:r>
          </w:p>
        </w:tc>
        <w:tc>
          <w:tcPr>
            <w:tcW w:w="4510" w:type="dxa"/>
            <w:vAlign w:val="center"/>
          </w:tcPr>
          <w:p>
            <w:pPr>
              <w:pStyle w:val="TableText"/>
            </w:pPr>
            <w:r>
              <w:t>Counted only; test_unlocked=false and never scored</w:t>
            </w:r>
          </w:p>
        </w:tc>
      </w:tr>
      <w:tr>
        <w:trPr>
          <w:cantSplit/>
        </w:trPr>
        <w:tc>
          <w:tcPr>
            <w:tcW w:w="2800" w:type="dxa"/>
            <w:vAlign w:val="center"/>
          </w:tcPr>
          <w:p>
            <w:pPr>
              <w:pStyle w:val="TableText"/>
            </w:pPr>
            <w:r>
              <w:t>Validation rows per horizon</w:t>
            </w:r>
          </w:p>
        </w:tc>
        <w:tc>
          <w:tcPr>
            <w:tcW w:w="2050" w:type="dxa"/>
            <w:vAlign w:val="center"/>
          </w:tcPr>
          <w:p>
            <w:pPr>
              <w:pStyle w:val="TableNumber"/>
            </w:pPr>
            <w:r>
              <w:t>20,000</w:t>
            </w:r>
          </w:p>
        </w:tc>
        <w:tc>
          <w:tcPr>
            <w:tcW w:w="4510" w:type="dxa"/>
            <w:vAlign w:val="center"/>
          </w:tcPr>
          <w:p>
            <w:pPr>
              <w:pStyle w:val="TableText"/>
            </w:pPr>
            <w:r>
              <w:t>Days 1 through 14 use the same sample count</w:t>
            </w:r>
          </w:p>
        </w:tc>
      </w:tr>
      <w:tr>
        <w:trPr>
          <w:cantSplit/>
        </w:trPr>
        <w:tc>
          <w:tcPr>
            <w:tcW w:w="2800" w:type="dxa"/>
            <w:vAlign w:val="center"/>
          </w:tcPr>
          <w:p>
            <w:pPr>
              <w:pStyle w:val="TableText"/>
            </w:pPr>
            <w:r>
              <w:t>Cross-sectional dates</w:t>
            </w:r>
          </w:p>
        </w:tc>
        <w:tc>
          <w:tcPr>
            <w:tcW w:w="2050" w:type="dxa"/>
            <w:vAlign w:val="center"/>
          </w:tcPr>
          <w:p>
            <w:pPr>
              <w:pStyle w:val="TableNumber"/>
            </w:pPr>
            <w:r>
              <w:t>155</w:t>
            </w:r>
          </w:p>
        </w:tc>
        <w:tc>
          <w:tcPr>
            <w:tcW w:w="4510" w:type="dxa"/>
            <w:vAlign w:val="center"/>
          </w:tcPr>
          <w:p>
            <w:pPr>
              <w:pStyle w:val="TableText"/>
            </w:pPr>
            <w:r>
              <w:t>Every horizon aggregates 155 eligible dates</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random variation is not measured</w:t>
            </w:r>
          </w:p>
        </w:tc>
      </w:tr>
    </w:tbl>
    <w:p>
      <w:pPr>
        <w:pStyle w:val="a"/>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answers how much the stock outperforms or underperforms the benchmark over the same holding period. It is not valuation, a price target, or the stock's standalone return. If q=0.05, the exact relative gross ratio is exp(0.05)-1=5.13%; for small values, it is approximately 5%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Every number is benchmark-relative adjusted execution log return for that horizon.</w:t>
      </w:r>
    </w:p>
    <w:p>
      <w:pPr>
        <w:pStyle w:val="Decision"/>
        <w:keepNext/>
        <w:spacing w:after="80"/>
      </w:pPr>
      <w:r>
        <w:t>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the number forecasts</w:t>
            </w:r>
          </w:p>
        </w:tc>
      </w:tr>
      <w:tr>
        <w:trPr>
          <w:cantSplit/>
        </w:trPr>
        <w:tc>
          <w:tcPr>
            <w:tcW w:w="1300" w:type="dxa"/>
            <w:vAlign w:val="center"/>
          </w:tcPr>
          <w:p>
            <w:pPr>
              <w:pStyle w:val="TableText"/>
            </w:pPr>
            <w:r>
              <w:t>q10</w:t>
            </w:r>
          </w:p>
        </w:tc>
        <w:tc>
          <w:tcPr>
            <w:tcW w:w="2400" w:type="dxa"/>
            <w:vAlign w:val="center"/>
          </w:tcPr>
          <w:p>
            <w:pPr>
              <w:pStyle w:val="TableText"/>
            </w:pPr>
            <w:r>
              <w:t>Pessimistic scenario</w:t>
            </w:r>
          </w:p>
        </w:tc>
        <w:tc>
          <w:tcPr>
            <w:tcW w:w="5660" w:type="dxa"/>
            <w:vAlign w:val="center"/>
          </w:tcPr>
          <w:p>
            <w:pPr>
              <w:pStyle w:val="TableText"/>
            </w:pPr>
            <w:r>
              <w:t>About 10% of outcomes may be lower and 90% higher; it is not a 10% probability of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Half of outcomes may be lower and half higher; used for point forecasts, direction, and ranks</w:t>
            </w:r>
          </w:p>
        </w:tc>
      </w:tr>
      <w:tr>
        <w:trPr>
          <w:cantSplit/>
        </w:trPr>
        <w:tc>
          <w:tcPr>
            <w:tcW w:w="1300" w:type="dxa"/>
            <w:vAlign w:val="center"/>
          </w:tcPr>
          <w:p>
            <w:pPr>
              <w:pStyle w:val="TableText"/>
            </w:pPr>
            <w:r>
              <w:t>q90</w:t>
            </w:r>
          </w:p>
        </w:tc>
        <w:tc>
          <w:tcPr>
            <w:tcW w:w="2400" w:type="dxa"/>
            <w:vAlign w:val="center"/>
          </w:tcPr>
          <w:p>
            <w:pPr>
              <w:pStyle w:val="TableText"/>
            </w:pPr>
            <w:r>
              <w:t>Optimistic scenario</w:t>
            </w:r>
          </w:p>
        </w:tc>
        <w:tc>
          <w:tcPr>
            <w:tcW w:w="5660" w:type="dxa"/>
            <w:vAlign w:val="center"/>
          </w:tcPr>
          <w:p>
            <w:pPr>
              <w:pStyle w:val="TableText"/>
            </w:pPr>
            <w:r>
              <w:t>About 90% of outcomes may be lower and 10% higher; it is not a guaranteed ceiling</w:t>
            </w:r>
          </w:p>
        </w:tc>
      </w:tr>
    </w:tbl>
    <w:p>
      <w:pPr>
        <w:pStyle w:val="21"/>
      </w:pPr>
      <w:r>
        <w:t>3.2 Three stock scenarios</w:t>
      </w:r>
    </w:p>
    <w:p>
      <w:pPr>
        <w:pStyle w:val="Decision"/>
        <w:keepNext/>
        <w:spacing w:after="80"/>
      </w:pPr>
      <w:r>
        <w:t>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winner</w:t>
            </w:r>
          </w:p>
        </w:tc>
        <w:tc>
          <w:tcPr>
            <w:tcW w:w="2250" w:type="dxa"/>
            <w:vAlign w:val="center"/>
          </w:tcPr>
          <w:p>
            <w:pPr>
              <w:pStyle w:val="TableText"/>
            </w:pPr>
            <w:r>
              <w:t>+0.02 / +0.05 / +0.09</w:t>
            </w:r>
          </w:p>
        </w:tc>
        <w:tc>
          <w:tcPr>
            <w:tcW w:w="4910" w:type="dxa"/>
            <w:vAlign w:val="center"/>
          </w:tcPr>
          <w:p>
            <w:pPr>
              <w:pStyle w:val="TableText"/>
            </w:pPr>
            <w:r>
              <w:t>Even pessimistic q10 is positive, so every reported scenario outperforms the benchmark</w:t>
            </w:r>
          </w:p>
        </w:tc>
      </w:tr>
      <w:tr>
        <w:trPr>
          <w:cantSplit/>
        </w:trPr>
        <w:tc>
          <w:tcPr>
            <w:tcW w:w="2200" w:type="dxa"/>
            <w:vAlign w:val="center"/>
          </w:tcPr>
          <w:p>
            <w:pPr>
              <w:pStyle w:val="TableText"/>
            </w:pPr>
            <w:r>
              <w:t>Distressed weak stock</w:t>
            </w:r>
          </w:p>
        </w:tc>
        <w:tc>
          <w:tcPr>
            <w:tcW w:w="2250" w:type="dxa"/>
            <w:vAlign w:val="center"/>
          </w:tcPr>
          <w:p>
            <w:pPr>
              <w:pStyle w:val="TableText"/>
            </w:pPr>
            <w:r>
              <w:t>-0.12 / -0.06 / -0.01</w:t>
            </w:r>
          </w:p>
        </w:tc>
        <w:tc>
          <w:tcPr>
            <w:tcW w:w="4910" w:type="dxa"/>
            <w:vAlign w:val="center"/>
          </w:tcPr>
          <w:p>
            <w:pPr>
              <w:pStyle w:val="TableText"/>
            </w:pPr>
            <w:r>
              <w:t>Even optimistic q90 is negative, so every reported scenario underperforms</w:t>
            </w:r>
          </w:p>
        </w:tc>
      </w:tr>
      <w:tr>
        <w:trPr>
          <w:cantSplit/>
        </w:trPr>
        <w:tc>
          <w:tcPr>
            <w:tcW w:w="2200" w:type="dxa"/>
            <w:vAlign w:val="center"/>
          </w:tcPr>
          <w:p>
            <w:pPr>
              <w:pStyle w:val="TableText"/>
            </w:pPr>
            <w:r>
              <w:t>Speculative high-volatility stock</w:t>
            </w:r>
          </w:p>
        </w:tc>
        <w:tc>
          <w:tcPr>
            <w:tcW w:w="2250" w:type="dxa"/>
            <w:vAlign w:val="center"/>
          </w:tcPr>
          <w:p>
            <w:pPr>
              <w:pStyle w:val="TableText"/>
            </w:pPr>
            <w:r>
              <w:t>-0.08 / -0.01 / +0.25</w:t>
            </w:r>
          </w:p>
        </w:tc>
        <w:tc>
          <w:tcPr>
            <w:tcW w:w="4910" w:type="dxa"/>
            <w:vAlign w:val="center"/>
          </w:tcPr>
          <w:p>
            <w:pPr>
              <w:pStyle w:val="TableText"/>
            </w:pPr>
            <w:r>
              <w:t>The middle is flat to weak while the upside tail is large; this means a wide distribution, not a 25% chance of rising</w:t>
            </w:r>
          </w:p>
        </w:tc>
      </w:tr>
      <w:tr>
        <w:trPr>
          <w:cantSplit/>
        </w:trPr>
        <w:tc>
          <w:tcPr>
            <w:tcW w:w="2200" w:type="dxa"/>
            <w:vAlign w:val="center"/>
          </w:tcPr>
          <w:p>
            <w:pPr>
              <w:pStyle w:val="TableText"/>
            </w:pPr>
            <w:r>
              <w:t>Positive center with downside risk</w:t>
            </w:r>
          </w:p>
        </w:tc>
        <w:tc>
          <w:tcPr>
            <w:tcW w:w="2250" w:type="dxa"/>
            <w:vAlign w:val="center"/>
          </w:tcPr>
          <w:p>
            <w:pPr>
              <w:pStyle w:val="TableText"/>
            </w:pPr>
            <w:r>
              <w:t>-0.04 / +0.03 / +0.10</w:t>
            </w:r>
          </w:p>
        </w:tc>
        <w:tc>
          <w:tcPr>
            <w:tcW w:w="4910" w:type="dxa"/>
            <w:vAlign w:val="center"/>
          </w:tcPr>
          <w:p>
            <w:pPr>
              <w:pStyle w:val="TableText"/>
            </w:pPr>
            <w:r>
              <w:t>q50 is positive but q10 remains negative; the typical case wins while the pessimistic case loses</w:t>
            </w:r>
          </w:p>
        </w:tc>
      </w:tr>
    </w:tbl>
    <w:p>
      <w:pPr>
        <w:pStyle w:val="Note"/>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by design. Bullish, bearish, and strong signals are post-processing labels, not classifier outputs. primary_5d/selection_score is only a legacy-compatible checkpoint-monitor path; its value remains the mean normalized pinball across days 1 through 14 and is not treated as a five-day headline metric in this report.</w:t>
      </w:r>
    </w:p>
    <w:p>
      <w:pPr>
        <w:pStyle w:val="11"/>
      </w:pPr>
      <w:r>
        <w:t>4. Training completion early stopping and checkpoint</w:t>
      </w:r>
    </w:p>
    <w:p>
      <w:pPr>
        <w:pStyle w:val="21"/>
      </w:pPr>
      <w:r>
        <w:t>4.1 Execution state</w:t>
      </w:r>
    </w:p>
    <w:p>
      <w:pPr>
        <w:pStyle w:val="Decision"/>
        <w:keepNext/>
        <w:spacing w:after="80"/>
      </w:pPr>
      <w:r>
        <w:t>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marker ready; completion result present</w:t>
            </w:r>
          </w:p>
        </w:tc>
      </w:tr>
      <w:tr>
        <w:trPr>
          <w:cantSplit/>
        </w:trPr>
        <w:tc>
          <w:tcPr>
            <w:tcW w:w="3100" w:type="dxa"/>
            <w:vAlign w:val="center"/>
          </w:tcPr>
          <w:p>
            <w:pPr>
              <w:pStyle w:val="TableText"/>
            </w:pPr>
            <w:r>
              <w:t>Lifecycle anomaly</w:t>
            </w:r>
          </w:p>
        </w:tc>
        <w:tc>
          <w:tcPr>
            <w:tcW w:w="6260" w:type="dxa"/>
            <w:vAlign w:val="center"/>
          </w:tcPr>
          <w:p>
            <w:pPr>
              <w:pStyle w:val="TableText"/>
            </w:pPr>
            <w:r>
              <w:t>Exit code 1; no timeout; recovery_path recorded, but local recovery log is absent</w:t>
            </w:r>
          </w:p>
        </w:tc>
      </w:tr>
      <w:tr>
        <w:trPr>
          <w:cantSplit/>
        </w:trPr>
        <w:tc>
          <w:tcPr>
            <w:tcW w:w="3100" w:type="dxa"/>
            <w:vAlign w:val="center"/>
          </w:tcPr>
          <w:p>
            <w:pPr>
              <w:pStyle w:val="TableText"/>
            </w:pPr>
            <w:r>
              <w:t>Epoch and global step</w:t>
            </w:r>
          </w:p>
        </w:tc>
        <w:tc>
          <w:tcPr>
            <w:tcW w:w="6260" w:type="dxa"/>
            <w:vAlign w:val="center"/>
          </w:tcPr>
          <w:p>
            <w:pPr>
              <w:pStyle w:val="TableText"/>
            </w:pPr>
            <w:r>
              <w:t>1 full epoch; stopped at step 77,285</w:t>
            </w:r>
          </w:p>
        </w:tc>
      </w:tr>
      <w:tr>
        <w:trPr>
          <w:cantSplit/>
        </w:trPr>
        <w:tc>
          <w:tcPr>
            <w:tcW w:w="3100" w:type="dxa"/>
            <w:vAlign w:val="center"/>
          </w:tcPr>
          <w:p>
            <w:pPr>
              <w:pStyle w:val="TableText"/>
            </w:pPr>
            <w:r>
              <w:t>Processed training rows</w:t>
            </w:r>
          </w:p>
        </w:tc>
        <w:tc>
          <w:tcPr>
            <w:tcW w:w="6260" w:type="dxa"/>
            <w:vAlign w:val="center"/>
          </w:tcPr>
          <w:p>
            <w:pPr>
              <w:pStyle w:val="TableText"/>
            </w:pPr>
            <w:r>
              <w:t>19,784,768 of 61,826,755 (32.00%)</w:t>
            </w:r>
          </w:p>
        </w:tc>
      </w:tr>
      <w:tr>
        <w:trPr>
          <w:cantSplit/>
        </w:trPr>
        <w:tc>
          <w:tcPr>
            <w:tcW w:w="3100" w:type="dxa"/>
            <w:vAlign w:val="center"/>
          </w:tcPr>
          <w:p>
            <w:pPr>
              <w:pStyle w:val="TableText"/>
            </w:pPr>
            <w:r>
              <w:t>Validation evaluations</w:t>
            </w:r>
          </w:p>
        </w:tc>
        <w:tc>
          <w:tcPr>
            <w:tcW w:w="6260" w:type="dxa"/>
            <w:vAlign w:val="center"/>
          </w:tcPr>
          <w:p>
            <w:pPr>
              <w:pStyle w:val="TableText"/>
            </w:pPr>
            <w:r>
              <w:t>8</w:t>
            </w:r>
          </w:p>
        </w:tc>
      </w:tr>
      <w:tr>
        <w:trPr>
          <w:cantSplit/>
        </w:trPr>
        <w:tc>
          <w:tcPr>
            <w:tcW w:w="3100" w:type="dxa"/>
            <w:vAlign w:val="center"/>
          </w:tcPr>
          <w:p>
            <w:pPr>
              <w:pStyle w:val="TableText"/>
            </w:pPr>
            <w:r>
              <w:t>Stop reason</w:t>
            </w:r>
          </w:p>
        </w:tc>
        <w:tc>
          <w:tcPr>
            <w:tcW w:w="6260" w:type="dxa"/>
            <w:vAlign w:val="center"/>
          </w:tcPr>
          <w:p>
            <w:pPr>
              <w:pStyle w:val="TableText"/>
            </w:pPr>
            <w:r>
              <w:t>early_stopping; 5 stale evaluations</w:t>
            </w:r>
          </w:p>
        </w:tc>
      </w:tr>
      <w:tr>
        <w:trPr>
          <w:cantSplit/>
        </w:trPr>
        <w:tc>
          <w:tcPr>
            <w:tcW w:w="3100" w:type="dxa"/>
            <w:vAlign w:val="center"/>
          </w:tcPr>
          <w:p>
            <w:pPr>
              <w:pStyle w:val="TableText"/>
            </w:pPr>
            <w:r>
              <w:t>Best and last score</w:t>
            </w:r>
          </w:p>
        </w:tc>
        <w:tc>
          <w:tcPr>
            <w:tcW w:w="6260" w:type="dxa"/>
            <w:vAlign w:val="center"/>
          </w:tcPr>
          <w:p>
            <w:pPr>
              <w:pStyle w:val="TableText"/>
            </w:pPr>
            <w:r>
              <w:t>0.307166 / 0.315644</w:t>
            </w:r>
          </w:p>
        </w:tc>
      </w:tr>
      <w:tr>
        <w:trPr>
          <w:cantSplit/>
        </w:trPr>
        <w:tc>
          <w:tcPr>
            <w:tcW w:w="3100" w:type="dxa"/>
            <w:vAlign w:val="center"/>
          </w:tcPr>
          <w:p>
            <w:pPr>
              <w:pStyle w:val="TableText"/>
            </w:pPr>
            <w:r>
              <w:t>Model</w:t>
            </w:r>
          </w:p>
        </w:tc>
        <w:tc>
          <w:tcPr>
            <w:tcW w:w="6260" w:type="dxa"/>
            <w:vAlign w:val="center"/>
          </w:tcPr>
          <w:p>
            <w:pPr>
              <w:pStyle w:val="TableText"/>
            </w:pPr>
            <w:r>
              <w:t>Kronos-base + LoRA; shared causal resampler; benchmark conditioner; alpha head</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RTX PRO 6000 Blackwell Workstation Edition; bfloat16</w:t>
            </w:r>
          </w:p>
        </w:tc>
      </w:tr>
      <w:tr>
        <w:trPr>
          <w:cantSplit/>
        </w:trPr>
        <w:tc>
          <w:tcPr>
            <w:tcW w:w="3100" w:type="dxa"/>
            <w:vAlign w:val="center"/>
          </w:tcPr>
          <w:p>
            <w:pPr>
              <w:pStyle w:val="TableText"/>
            </w:pPr>
            <w:r>
              <w:t>Validation hardware</w:t>
            </w:r>
          </w:p>
        </w:tc>
        <w:tc>
          <w:tcPr>
            <w:tcW w:w="6260" w:type="dxa"/>
            <w:vAlign w:val="center"/>
          </w:tcPr>
          <w:p>
            <w:pPr>
              <w:pStyle w:val="TableText"/>
            </w:pPr>
            <w:r>
              <w:t>NVIDIA GeForce RTX 5090</w:t>
            </w:r>
          </w:p>
        </w:tc>
      </w:tr>
    </w:tbl>
    <w:p>
      <w:pPr>
        <w:pStyle w:val="21"/>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checkpoint-028982</w:t>
            </w:r>
          </w:p>
        </w:tc>
        <w:tc>
          <w:tcPr>
            <w:tcW w:w="1800" w:type="dxa"/>
            <w:shd w:val="clear" w:fill="EDF5FC"/>
            <w:vAlign w:val="center"/>
          </w:tcPr>
          <w:p>
            <w:pPr>
              <w:pStyle w:val="TableNumber"/>
            </w:pPr>
            <w:r>
              <w:t>28,982</w:t>
            </w:r>
          </w:p>
        </w:tc>
        <w:tc>
          <w:tcPr>
            <w:tcW w:w="3560" w:type="dxa"/>
            <w:shd w:val="clear" w:fill="EDF5FC"/>
            <w:vAlign w:val="center"/>
          </w:tcPr>
          <w:p>
            <w:pPr>
              <w:pStyle w:val="TableNumber"/>
            </w:pPr>
            <w:r>
              <w:t>0.307166</w:t>
            </w:r>
          </w:p>
        </w:tc>
      </w:tr>
      <w:tr>
        <w:trPr>
          <w:cantSplit/>
        </w:trPr>
        <w:tc>
          <w:tcPr>
            <w:tcW w:w="900" w:type="dxa"/>
            <w:vAlign w:val="center"/>
          </w:tcPr>
          <w:p>
            <w:pPr>
              <w:pStyle w:val="TableNumber"/>
            </w:pPr>
            <w:r>
              <w:t>2</w:t>
            </w:r>
          </w:p>
        </w:tc>
        <w:tc>
          <w:tcPr>
            <w:tcW w:w="3100" w:type="dxa"/>
            <w:vAlign w:val="center"/>
          </w:tcPr>
          <w:p>
            <w:pPr>
              <w:pStyle w:val="TableText"/>
            </w:pPr>
            <w:r>
              <w:t>checkpoint-019322</w:t>
            </w:r>
          </w:p>
        </w:tc>
        <w:tc>
          <w:tcPr>
            <w:tcW w:w="1800" w:type="dxa"/>
            <w:vAlign w:val="center"/>
          </w:tcPr>
          <w:p>
            <w:pPr>
              <w:pStyle w:val="TableNumber"/>
            </w:pPr>
            <w:r>
              <w:t>19,322</w:t>
            </w:r>
          </w:p>
        </w:tc>
        <w:tc>
          <w:tcPr>
            <w:tcW w:w="3560" w:type="dxa"/>
            <w:vAlign w:val="center"/>
          </w:tcPr>
          <w:p>
            <w:pPr>
              <w:pStyle w:val="TableNumber"/>
            </w:pPr>
            <w:r>
              <w:t>0.308430</w:t>
            </w:r>
          </w:p>
        </w:tc>
      </w:tr>
      <w:tr>
        <w:trPr>
          <w:cantSplit/>
        </w:trPr>
        <w:tc>
          <w:tcPr>
            <w:tcW w:w="900" w:type="dxa"/>
            <w:vAlign w:val="center"/>
          </w:tcPr>
          <w:p>
            <w:pPr>
              <w:pStyle w:val="TableNumber"/>
            </w:pPr>
            <w:r>
              <w:t>3</w:t>
            </w:r>
          </w:p>
        </w:tc>
        <w:tc>
          <w:tcPr>
            <w:tcW w:w="3100" w:type="dxa"/>
            <w:vAlign w:val="center"/>
          </w:tcPr>
          <w:p>
            <w:pPr>
              <w:pStyle w:val="TableText"/>
            </w:pPr>
            <w:r>
              <w:t>checkpoint-048303</w:t>
            </w:r>
          </w:p>
        </w:tc>
        <w:tc>
          <w:tcPr>
            <w:tcW w:w="1800" w:type="dxa"/>
            <w:vAlign w:val="center"/>
          </w:tcPr>
          <w:p>
            <w:pPr>
              <w:pStyle w:val="TableNumber"/>
            </w:pPr>
            <w:r>
              <w:t>48,303</w:t>
            </w:r>
          </w:p>
        </w:tc>
        <w:tc>
          <w:tcPr>
            <w:tcW w:w="3560" w:type="dxa"/>
            <w:vAlign w:val="center"/>
          </w:tcPr>
          <w:p>
            <w:pPr>
              <w:pStyle w:val="TableNumber"/>
            </w:pPr>
            <w:r>
              <w:t>0.308924</w:t>
            </w:r>
          </w:p>
        </w:tc>
      </w:tr>
      <w:tr>
        <w:trPr>
          <w:cantSplit/>
        </w:trPr>
        <w:tc>
          <w:tcPr>
            <w:tcW w:w="900" w:type="dxa"/>
            <w:vAlign w:val="center"/>
          </w:tcPr>
          <w:p>
            <w:pPr>
              <w:pStyle w:val="TableNumber"/>
            </w:pPr>
            <w:r>
              <w:t>4</w:t>
            </w:r>
          </w:p>
        </w:tc>
        <w:tc>
          <w:tcPr>
            <w:tcW w:w="3100" w:type="dxa"/>
            <w:vAlign w:val="center"/>
          </w:tcPr>
          <w:p>
            <w:pPr>
              <w:pStyle w:val="TableText"/>
            </w:pPr>
            <w:r>
              <w:t>checkpoint-038643</w:t>
            </w:r>
          </w:p>
        </w:tc>
        <w:tc>
          <w:tcPr>
            <w:tcW w:w="1800" w:type="dxa"/>
            <w:vAlign w:val="center"/>
          </w:tcPr>
          <w:p>
            <w:pPr>
              <w:pStyle w:val="TableNumber"/>
            </w:pPr>
            <w:r>
              <w:t>38,643</w:t>
            </w:r>
          </w:p>
        </w:tc>
        <w:tc>
          <w:tcPr>
            <w:tcW w:w="3560" w:type="dxa"/>
            <w:vAlign w:val="center"/>
          </w:tcPr>
          <w:p>
            <w:pPr>
              <w:pStyle w:val="TableNumber"/>
            </w:pPr>
            <w:r>
              <w:t>0.310781</w:t>
            </w:r>
          </w:p>
        </w:tc>
      </w:tr>
      <w:tr>
        <w:trPr>
          <w:cantSplit/>
        </w:trPr>
        <w:tc>
          <w:tcPr>
            <w:tcW w:w="900" w:type="dxa"/>
            <w:vAlign w:val="center"/>
          </w:tcPr>
          <w:p>
            <w:pPr>
              <w:pStyle w:val="TableNumber"/>
            </w:pPr>
            <w:r>
              <w:t>5</w:t>
            </w:r>
          </w:p>
        </w:tc>
        <w:tc>
          <w:tcPr>
            <w:tcW w:w="3100" w:type="dxa"/>
            <w:vAlign w:val="center"/>
          </w:tcPr>
          <w:p>
            <w:pPr>
              <w:pStyle w:val="TableText"/>
            </w:pPr>
            <w:r>
              <w:t>checkpoint-057964</w:t>
            </w:r>
          </w:p>
        </w:tc>
        <w:tc>
          <w:tcPr>
            <w:tcW w:w="1800" w:type="dxa"/>
            <w:vAlign w:val="center"/>
          </w:tcPr>
          <w:p>
            <w:pPr>
              <w:pStyle w:val="TableNumber"/>
            </w:pPr>
            <w:r>
              <w:t>57,964</w:t>
            </w:r>
          </w:p>
        </w:tc>
        <w:tc>
          <w:tcPr>
            <w:tcW w:w="3560" w:type="dxa"/>
            <w:vAlign w:val="center"/>
          </w:tcPr>
          <w:p>
            <w:pPr>
              <w:pStyle w:val="TableNumber"/>
            </w:pPr>
            <w:r>
              <w:t>0.313693</w:t>
            </w:r>
          </w:p>
        </w:tc>
      </w:tr>
    </w:tbl>
    <w:p>
      <w:pPr>
        <w:pStyle w:val="a"/>
      </w:pPr>
      <w:r>
        <w:t>checkpoint-028982 scores 0.307166, 0.41% below second-place checkpoint-019322 at 0.308430. The last training score is 0.315644, 2.76% above the best checkpoint, and early stopping triggered after five stale evaluations. Production inference must not substitute the final completion-result adapter for the checkpoint evaluated here.</w:t>
      </w:r>
    </w:p>
    <w:p>
      <w:pPr>
        <w:pStyle w:val="11"/>
      </w:pPr>
      <w:r>
        <w:t>5. All-horizon comparison of thirteen models</w:t>
      </w:r>
    </w:p>
    <w:p>
      <w:pPr>
        <w:pStyle w:val="Decision"/>
        <w:keepNext/>
        <w:spacing w:after="80"/>
      </w:pPr>
      <w:r>
        <w:t>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0.307166</w:t>
            </w:r>
          </w:p>
        </w:tc>
        <w:tc>
          <w:tcPr>
            <w:tcW w:w="1330" w:type="dxa"/>
            <w:shd w:val="clear" w:fill="EDF5FC"/>
            <w:vAlign w:val="center"/>
          </w:tcPr>
          <w:p>
            <w:pPr>
              <w:pStyle w:val="TableNumber"/>
            </w:pPr>
            <w:r>
              <w:t>0.3819</w:t>
            </w:r>
          </w:p>
        </w:tc>
        <w:tc>
          <w:tcPr>
            <w:tcW w:w="1330" w:type="dxa"/>
            <w:shd w:val="clear" w:fill="EDF5FC"/>
            <w:vAlign w:val="center"/>
          </w:tcPr>
          <w:p>
            <w:pPr>
              <w:pStyle w:val="TableNumber"/>
            </w:pPr>
            <w:r>
              <w:t>0.3020</w:t>
            </w:r>
          </w:p>
        </w:tc>
        <w:tc>
          <w:tcPr>
            <w:tcW w:w="1350" w:type="dxa"/>
            <w:shd w:val="clear" w:fill="EDF5FC"/>
            <w:vAlign w:val="center"/>
          </w:tcPr>
          <w:p>
            <w:pPr>
              <w:pStyle w:val="TableNumber"/>
            </w:pPr>
            <w:r>
              <w:t>0.2832</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0.342796</w:t>
            </w:r>
          </w:p>
        </w:tc>
        <w:tc>
          <w:tcPr>
            <w:tcW w:w="1330" w:type="dxa"/>
            <w:vAlign w:val="center"/>
          </w:tcPr>
          <w:p>
            <w:pPr>
              <w:pStyle w:val="TableNumber"/>
            </w:pPr>
            <w:r>
              <w:t>0.3848</w:t>
            </w:r>
          </w:p>
        </w:tc>
        <w:tc>
          <w:tcPr>
            <w:tcW w:w="1330" w:type="dxa"/>
            <w:vAlign w:val="center"/>
          </w:tcPr>
          <w:p>
            <w:pPr>
              <w:pStyle w:val="TableNumber"/>
            </w:pPr>
            <w:r>
              <w:t>0.3455</w:t>
            </w:r>
          </w:p>
        </w:tc>
        <w:tc>
          <w:tcPr>
            <w:tcW w:w="1350" w:type="dxa"/>
            <w:vAlign w:val="center"/>
          </w:tcPr>
          <w:p>
            <w:pPr>
              <w:pStyle w:val="TableNumber"/>
            </w:pPr>
            <w:r>
              <w:t>0.3287</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Always-buy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bl>
    <w:p>
      <w:pPr>
        <w:pStyle w:val="a"/>
      </w:pPr>
      <w:r>
        <w:t>Kronos does not win because of one selected holding period. It ranks first on normalized pinball from day 2 through day 14 and third on day 1. Day 1 remains 7.09% below the zero-return baseline but 1.52% above GRU, so the 14-horizon average must not hide the short-horizon weakness.</w:t>
      </w:r>
    </w:p>
    <w:p>
      <w:pPr>
        <w:pStyle w:val="11"/>
      </w:pPr>
      <w:r>
        <w:t>6. Complete results for days one through fourteen</w:t>
      </w:r>
    </w:p>
    <w:p>
      <w:pPr>
        <w:pStyle w:val="21"/>
      </w:pPr>
      <w:r>
        <w:t>6.1 Error and comparability across horizons</w:t>
      </w:r>
    </w:p>
    <w:p>
      <w:pPr>
        <w:pStyle w:val="Decision"/>
        <w:keepNext/>
        <w:spacing w:after="80"/>
      </w:pPr>
      <w:r>
        <w:t>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0.01892</w:t>
            </w:r>
          </w:p>
        </w:tc>
        <w:tc>
          <w:tcPr>
            <w:tcW w:w="1550" w:type="dxa"/>
            <w:vAlign w:val="center"/>
          </w:tcPr>
          <w:p>
            <w:pPr>
              <w:pStyle w:val="TableNumber"/>
            </w:pPr>
            <w:r>
              <w:t>0.00723</w:t>
            </w:r>
          </w:p>
        </w:tc>
        <w:tc>
          <w:tcPr>
            <w:tcW w:w="1550" w:type="dxa"/>
            <w:vAlign w:val="center"/>
          </w:tcPr>
          <w:p>
            <w:pPr>
              <w:pStyle w:val="TableNumber"/>
            </w:pPr>
            <w:r>
              <w:t>0.3819</w:t>
            </w:r>
          </w:p>
        </w:tc>
        <w:tc>
          <w:tcPr>
            <w:tcW w:w="1050" w:type="dxa"/>
            <w:vAlign w:val="center"/>
          </w:tcPr>
          <w:p>
            <w:pPr>
              <w:pStyle w:val="TableNumber"/>
            </w:pPr>
            <w:r>
              <w:t>3/13</w:t>
            </w:r>
          </w:p>
        </w:tc>
        <w:tc>
          <w:tcPr>
            <w:tcW w:w="1550" w:type="dxa"/>
            <w:vAlign w:val="center"/>
          </w:tcPr>
          <w:p>
            <w:pPr>
              <w:pStyle w:val="TableNumber"/>
            </w:pPr>
            <w:r>
              <w:t>0.02077</w:t>
            </w:r>
          </w:p>
        </w:tc>
        <w:tc>
          <w:tcPr>
            <w:tcW w:w="1610" w:type="dxa"/>
            <w:vAlign w:val="center"/>
          </w:tcPr>
          <w:p>
            <w:pPr>
              <w:pStyle w:val="TableNumber"/>
            </w:pPr>
            <w:r>
              <w:t>1.0976</w:t>
            </w:r>
          </w:p>
        </w:tc>
      </w:tr>
      <w:tr>
        <w:trPr>
          <w:cantSplit/>
        </w:trPr>
        <w:tc>
          <w:tcPr>
            <w:tcW w:w="650" w:type="dxa"/>
            <w:vAlign w:val="center"/>
          </w:tcPr>
          <w:p>
            <w:pPr>
              <w:pStyle w:val="TableText"/>
            </w:pPr>
            <w:r>
              <w:t>2d</w:t>
            </w:r>
          </w:p>
        </w:tc>
        <w:tc>
          <w:tcPr>
            <w:tcW w:w="1400" w:type="dxa"/>
            <w:vAlign w:val="center"/>
          </w:tcPr>
          <w:p>
            <w:pPr>
              <w:pStyle w:val="TableNumber"/>
            </w:pPr>
            <w:r>
              <w:t>0.03113</w:t>
            </w:r>
          </w:p>
        </w:tc>
        <w:tc>
          <w:tcPr>
            <w:tcW w:w="1550" w:type="dxa"/>
            <w:vAlign w:val="center"/>
          </w:tcPr>
          <w:p>
            <w:pPr>
              <w:pStyle w:val="TableNumber"/>
            </w:pPr>
            <w:r>
              <w:t>0.01010</w:t>
            </w:r>
          </w:p>
        </w:tc>
        <w:tc>
          <w:tcPr>
            <w:tcW w:w="1550" w:type="dxa"/>
            <w:vAlign w:val="center"/>
          </w:tcPr>
          <w:p>
            <w:pPr>
              <w:pStyle w:val="TableNumber"/>
            </w:pPr>
            <w:r>
              <w:t>0.3243</w:t>
            </w:r>
          </w:p>
        </w:tc>
        <w:tc>
          <w:tcPr>
            <w:tcW w:w="1050" w:type="dxa"/>
            <w:vAlign w:val="center"/>
          </w:tcPr>
          <w:p>
            <w:pPr>
              <w:pStyle w:val="TableNumber"/>
            </w:pPr>
            <w:r>
              <w:t>1/13</w:t>
            </w:r>
          </w:p>
        </w:tc>
        <w:tc>
          <w:tcPr>
            <w:tcW w:w="1550" w:type="dxa"/>
            <w:vAlign w:val="center"/>
          </w:tcPr>
          <w:p>
            <w:pPr>
              <w:pStyle w:val="TableNumber"/>
            </w:pPr>
            <w:r>
              <w:t>0.02919</w:t>
            </w:r>
          </w:p>
        </w:tc>
        <w:tc>
          <w:tcPr>
            <w:tcW w:w="1610" w:type="dxa"/>
            <w:vAlign w:val="center"/>
          </w:tcPr>
          <w:p>
            <w:pPr>
              <w:pStyle w:val="TableNumber"/>
            </w:pPr>
            <w:r>
              <w:t>0.9378</w:t>
            </w:r>
          </w:p>
        </w:tc>
      </w:tr>
      <w:tr>
        <w:trPr>
          <w:cantSplit/>
        </w:trPr>
        <w:tc>
          <w:tcPr>
            <w:tcW w:w="650" w:type="dxa"/>
            <w:vAlign w:val="center"/>
          </w:tcPr>
          <w:p>
            <w:pPr>
              <w:pStyle w:val="TableText"/>
            </w:pPr>
            <w:r>
              <w:t>3d</w:t>
            </w:r>
          </w:p>
        </w:tc>
        <w:tc>
          <w:tcPr>
            <w:tcW w:w="1400" w:type="dxa"/>
            <w:vAlign w:val="center"/>
          </w:tcPr>
          <w:p>
            <w:pPr>
              <w:pStyle w:val="TableNumber"/>
            </w:pPr>
            <w:r>
              <w:t>0.03906</w:t>
            </w:r>
          </w:p>
        </w:tc>
        <w:tc>
          <w:tcPr>
            <w:tcW w:w="1550" w:type="dxa"/>
            <w:vAlign w:val="center"/>
          </w:tcPr>
          <w:p>
            <w:pPr>
              <w:pStyle w:val="TableNumber"/>
            </w:pPr>
            <w:r>
              <w:t>0.01257</w:t>
            </w:r>
          </w:p>
        </w:tc>
        <w:tc>
          <w:tcPr>
            <w:tcW w:w="1550" w:type="dxa"/>
            <w:vAlign w:val="center"/>
          </w:tcPr>
          <w:p>
            <w:pPr>
              <w:pStyle w:val="TableNumber"/>
            </w:pPr>
            <w:r>
              <w:t>0.3219</w:t>
            </w:r>
          </w:p>
        </w:tc>
        <w:tc>
          <w:tcPr>
            <w:tcW w:w="1050" w:type="dxa"/>
            <w:vAlign w:val="center"/>
          </w:tcPr>
          <w:p>
            <w:pPr>
              <w:pStyle w:val="TableNumber"/>
            </w:pPr>
            <w:r>
              <w:t>1/13</w:t>
            </w:r>
          </w:p>
        </w:tc>
        <w:tc>
          <w:tcPr>
            <w:tcW w:w="1550" w:type="dxa"/>
            <w:vAlign w:val="center"/>
          </w:tcPr>
          <w:p>
            <w:pPr>
              <w:pStyle w:val="TableNumber"/>
            </w:pPr>
            <w:r>
              <w:t>0.03633</w:t>
            </w:r>
          </w:p>
        </w:tc>
        <w:tc>
          <w:tcPr>
            <w:tcW w:w="1610" w:type="dxa"/>
            <w:vAlign w:val="center"/>
          </w:tcPr>
          <w:p>
            <w:pPr>
              <w:pStyle w:val="TableNumber"/>
            </w:pPr>
            <w:r>
              <w:t>0.9301</w:t>
            </w:r>
          </w:p>
        </w:tc>
      </w:tr>
      <w:tr>
        <w:trPr>
          <w:cantSplit/>
        </w:trPr>
        <w:tc>
          <w:tcPr>
            <w:tcW w:w="650" w:type="dxa"/>
            <w:vAlign w:val="center"/>
          </w:tcPr>
          <w:p>
            <w:pPr>
              <w:pStyle w:val="TableText"/>
            </w:pPr>
            <w:r>
              <w:t>4d</w:t>
            </w:r>
          </w:p>
        </w:tc>
        <w:tc>
          <w:tcPr>
            <w:tcW w:w="1400" w:type="dxa"/>
            <w:vAlign w:val="center"/>
          </w:tcPr>
          <w:p>
            <w:pPr>
              <w:pStyle w:val="TableNumber"/>
            </w:pPr>
            <w:r>
              <w:t>0.04639</w:t>
            </w:r>
          </w:p>
        </w:tc>
        <w:tc>
          <w:tcPr>
            <w:tcW w:w="1550" w:type="dxa"/>
            <w:vAlign w:val="center"/>
          </w:tcPr>
          <w:p>
            <w:pPr>
              <w:pStyle w:val="TableNumber"/>
            </w:pPr>
            <w:r>
              <w:t>0.01457</w:t>
            </w:r>
          </w:p>
        </w:tc>
        <w:tc>
          <w:tcPr>
            <w:tcW w:w="1550" w:type="dxa"/>
            <w:vAlign w:val="center"/>
          </w:tcPr>
          <w:p>
            <w:pPr>
              <w:pStyle w:val="TableNumber"/>
            </w:pPr>
            <w:r>
              <w:t>0.3140</w:t>
            </w:r>
          </w:p>
        </w:tc>
        <w:tc>
          <w:tcPr>
            <w:tcW w:w="1050" w:type="dxa"/>
            <w:vAlign w:val="center"/>
          </w:tcPr>
          <w:p>
            <w:pPr>
              <w:pStyle w:val="TableNumber"/>
            </w:pPr>
            <w:r>
              <w:t>1/13</w:t>
            </w:r>
          </w:p>
        </w:tc>
        <w:tc>
          <w:tcPr>
            <w:tcW w:w="1550" w:type="dxa"/>
            <w:vAlign w:val="center"/>
          </w:tcPr>
          <w:p>
            <w:pPr>
              <w:pStyle w:val="TableNumber"/>
            </w:pPr>
            <w:r>
              <w:t>0.04228</w:t>
            </w:r>
          </w:p>
        </w:tc>
        <w:tc>
          <w:tcPr>
            <w:tcW w:w="1610" w:type="dxa"/>
            <w:vAlign w:val="center"/>
          </w:tcPr>
          <w:p>
            <w:pPr>
              <w:pStyle w:val="TableNumber"/>
            </w:pPr>
            <w:r>
              <w:t>0.9114</w:t>
            </w:r>
          </w:p>
        </w:tc>
      </w:tr>
      <w:tr>
        <w:trPr>
          <w:cantSplit/>
        </w:trPr>
        <w:tc>
          <w:tcPr>
            <w:tcW w:w="650" w:type="dxa"/>
            <w:vAlign w:val="center"/>
          </w:tcPr>
          <w:p>
            <w:pPr>
              <w:pStyle w:val="TableText"/>
            </w:pPr>
            <w:r>
              <w:t>5d</w:t>
            </w:r>
          </w:p>
        </w:tc>
        <w:tc>
          <w:tcPr>
            <w:tcW w:w="1400" w:type="dxa"/>
            <w:vAlign w:val="center"/>
          </w:tcPr>
          <w:p>
            <w:pPr>
              <w:pStyle w:val="TableNumber"/>
            </w:pPr>
            <w:r>
              <w:t>0.05225</w:t>
            </w:r>
          </w:p>
        </w:tc>
        <w:tc>
          <w:tcPr>
            <w:tcW w:w="1550" w:type="dxa"/>
            <w:vAlign w:val="center"/>
          </w:tcPr>
          <w:p>
            <w:pPr>
              <w:pStyle w:val="TableNumber"/>
            </w:pPr>
            <w:r>
              <w:t>0.01629</w:t>
            </w:r>
          </w:p>
        </w:tc>
        <w:tc>
          <w:tcPr>
            <w:tcW w:w="1550" w:type="dxa"/>
            <w:vAlign w:val="center"/>
          </w:tcPr>
          <w:p>
            <w:pPr>
              <w:pStyle w:val="TableNumber"/>
            </w:pPr>
            <w:r>
              <w:t>0.3118</w:t>
            </w:r>
          </w:p>
        </w:tc>
        <w:tc>
          <w:tcPr>
            <w:tcW w:w="1050" w:type="dxa"/>
            <w:vAlign w:val="center"/>
          </w:tcPr>
          <w:p>
            <w:pPr>
              <w:pStyle w:val="TableNumber"/>
            </w:pPr>
            <w:r>
              <w:t>1/13</w:t>
            </w:r>
          </w:p>
        </w:tc>
        <w:tc>
          <w:tcPr>
            <w:tcW w:w="1550" w:type="dxa"/>
            <w:vAlign w:val="center"/>
          </w:tcPr>
          <w:p>
            <w:pPr>
              <w:pStyle w:val="TableNumber"/>
            </w:pPr>
            <w:r>
              <w:t>0.04711</w:t>
            </w:r>
          </w:p>
        </w:tc>
        <w:tc>
          <w:tcPr>
            <w:tcW w:w="1610" w:type="dxa"/>
            <w:vAlign w:val="center"/>
          </w:tcPr>
          <w:p>
            <w:pPr>
              <w:pStyle w:val="TableNumber"/>
            </w:pPr>
            <w:r>
              <w:t>0.9018</w:t>
            </w:r>
          </w:p>
        </w:tc>
      </w:tr>
      <w:tr>
        <w:trPr>
          <w:cantSplit/>
        </w:trPr>
        <w:tc>
          <w:tcPr>
            <w:tcW w:w="650" w:type="dxa"/>
            <w:vAlign w:val="center"/>
          </w:tcPr>
          <w:p>
            <w:pPr>
              <w:pStyle w:val="TableText"/>
            </w:pPr>
            <w:r>
              <w:t>6d</w:t>
            </w:r>
          </w:p>
        </w:tc>
        <w:tc>
          <w:tcPr>
            <w:tcW w:w="1400" w:type="dxa"/>
            <w:vAlign w:val="center"/>
          </w:tcPr>
          <w:p>
            <w:pPr>
              <w:pStyle w:val="TableNumber"/>
            </w:pPr>
            <w:r>
              <w:t>0.05786</w:t>
            </w:r>
          </w:p>
        </w:tc>
        <w:tc>
          <w:tcPr>
            <w:tcW w:w="1550" w:type="dxa"/>
            <w:vAlign w:val="center"/>
          </w:tcPr>
          <w:p>
            <w:pPr>
              <w:pStyle w:val="TableNumber"/>
            </w:pPr>
            <w:r>
              <w:t>0.01777</w:t>
            </w:r>
          </w:p>
        </w:tc>
        <w:tc>
          <w:tcPr>
            <w:tcW w:w="1550" w:type="dxa"/>
            <w:vAlign w:val="center"/>
          </w:tcPr>
          <w:p>
            <w:pPr>
              <w:pStyle w:val="TableNumber"/>
            </w:pPr>
            <w:r>
              <w:t>0.3071</w:t>
            </w:r>
          </w:p>
        </w:tc>
        <w:tc>
          <w:tcPr>
            <w:tcW w:w="1050" w:type="dxa"/>
            <w:vAlign w:val="center"/>
          </w:tcPr>
          <w:p>
            <w:pPr>
              <w:pStyle w:val="TableNumber"/>
            </w:pPr>
            <w:r>
              <w:t>1/13</w:t>
            </w:r>
          </w:p>
        </w:tc>
        <w:tc>
          <w:tcPr>
            <w:tcW w:w="1550" w:type="dxa"/>
            <w:vAlign w:val="center"/>
          </w:tcPr>
          <w:p>
            <w:pPr>
              <w:pStyle w:val="TableNumber"/>
            </w:pPr>
            <w:r>
              <w:t>0.05146</w:t>
            </w:r>
          </w:p>
        </w:tc>
        <w:tc>
          <w:tcPr>
            <w:tcW w:w="1610" w:type="dxa"/>
            <w:vAlign w:val="center"/>
          </w:tcPr>
          <w:p>
            <w:pPr>
              <w:pStyle w:val="TableNumber"/>
            </w:pPr>
            <w:r>
              <w:t>0.8894</w:t>
            </w:r>
          </w:p>
        </w:tc>
      </w:tr>
      <w:tr>
        <w:trPr>
          <w:cantSplit/>
        </w:trPr>
        <w:tc>
          <w:tcPr>
            <w:tcW w:w="650" w:type="dxa"/>
            <w:vAlign w:val="center"/>
          </w:tcPr>
          <w:p>
            <w:pPr>
              <w:pStyle w:val="TableText"/>
            </w:pPr>
            <w:r>
              <w:t>7d</w:t>
            </w:r>
          </w:p>
        </w:tc>
        <w:tc>
          <w:tcPr>
            <w:tcW w:w="1400" w:type="dxa"/>
            <w:vAlign w:val="center"/>
          </w:tcPr>
          <w:p>
            <w:pPr>
              <w:pStyle w:val="TableNumber"/>
            </w:pPr>
            <w:r>
              <w:t>0.06348</w:t>
            </w:r>
          </w:p>
        </w:tc>
        <w:tc>
          <w:tcPr>
            <w:tcW w:w="1550" w:type="dxa"/>
            <w:vAlign w:val="center"/>
          </w:tcPr>
          <w:p>
            <w:pPr>
              <w:pStyle w:val="TableNumber"/>
            </w:pPr>
            <w:r>
              <w:t>0.01917</w:t>
            </w:r>
          </w:p>
        </w:tc>
        <w:tc>
          <w:tcPr>
            <w:tcW w:w="1550" w:type="dxa"/>
            <w:vAlign w:val="center"/>
          </w:tcPr>
          <w:p>
            <w:pPr>
              <w:pStyle w:val="TableNumber"/>
            </w:pPr>
            <w:r>
              <w:t>0.3020</w:t>
            </w:r>
          </w:p>
        </w:tc>
        <w:tc>
          <w:tcPr>
            <w:tcW w:w="1050" w:type="dxa"/>
            <w:vAlign w:val="center"/>
          </w:tcPr>
          <w:p>
            <w:pPr>
              <w:pStyle w:val="TableNumber"/>
            </w:pPr>
            <w:r>
              <w:t>1/13</w:t>
            </w:r>
          </w:p>
        </w:tc>
        <w:tc>
          <w:tcPr>
            <w:tcW w:w="1550" w:type="dxa"/>
            <w:vAlign w:val="center"/>
          </w:tcPr>
          <w:p>
            <w:pPr>
              <w:pStyle w:val="TableNumber"/>
            </w:pPr>
            <w:r>
              <w:t>0.05560</w:t>
            </w:r>
          </w:p>
        </w:tc>
        <w:tc>
          <w:tcPr>
            <w:tcW w:w="1610" w:type="dxa"/>
            <w:vAlign w:val="center"/>
          </w:tcPr>
          <w:p>
            <w:pPr>
              <w:pStyle w:val="TableNumber"/>
            </w:pPr>
            <w:r>
              <w:t>0.8760</w:t>
            </w:r>
          </w:p>
        </w:tc>
      </w:tr>
      <w:tr>
        <w:trPr>
          <w:cantSplit/>
        </w:trPr>
        <w:tc>
          <w:tcPr>
            <w:tcW w:w="650" w:type="dxa"/>
            <w:vAlign w:val="center"/>
          </w:tcPr>
          <w:p>
            <w:pPr>
              <w:pStyle w:val="TableText"/>
            </w:pPr>
            <w:r>
              <w:t>8d</w:t>
            </w:r>
          </w:p>
        </w:tc>
        <w:tc>
          <w:tcPr>
            <w:tcW w:w="1400" w:type="dxa"/>
            <w:vAlign w:val="center"/>
          </w:tcPr>
          <w:p>
            <w:pPr>
              <w:pStyle w:val="TableNumber"/>
            </w:pPr>
            <w:r>
              <w:t>0.06836</w:t>
            </w:r>
          </w:p>
        </w:tc>
        <w:tc>
          <w:tcPr>
            <w:tcW w:w="1550" w:type="dxa"/>
            <w:vAlign w:val="center"/>
          </w:tcPr>
          <w:p>
            <w:pPr>
              <w:pStyle w:val="TableNumber"/>
            </w:pPr>
            <w:r>
              <w:t>0.02044</w:t>
            </w:r>
          </w:p>
        </w:tc>
        <w:tc>
          <w:tcPr>
            <w:tcW w:w="1550" w:type="dxa"/>
            <w:vAlign w:val="center"/>
          </w:tcPr>
          <w:p>
            <w:pPr>
              <w:pStyle w:val="TableNumber"/>
            </w:pPr>
            <w:r>
              <w:t>0.2990</w:t>
            </w:r>
          </w:p>
        </w:tc>
        <w:tc>
          <w:tcPr>
            <w:tcW w:w="1050" w:type="dxa"/>
            <w:vAlign w:val="center"/>
          </w:tcPr>
          <w:p>
            <w:pPr>
              <w:pStyle w:val="TableNumber"/>
            </w:pPr>
            <w:r>
              <w:t>1/13</w:t>
            </w:r>
          </w:p>
        </w:tc>
        <w:tc>
          <w:tcPr>
            <w:tcW w:w="1550" w:type="dxa"/>
            <w:vAlign w:val="center"/>
          </w:tcPr>
          <w:p>
            <w:pPr>
              <w:pStyle w:val="TableNumber"/>
            </w:pPr>
            <w:r>
              <w:t>0.05927</w:t>
            </w:r>
          </w:p>
        </w:tc>
        <w:tc>
          <w:tcPr>
            <w:tcW w:w="1610" w:type="dxa"/>
            <w:vAlign w:val="center"/>
          </w:tcPr>
          <w:p>
            <w:pPr>
              <w:pStyle w:val="TableNumber"/>
            </w:pPr>
            <w:r>
              <w:t>0.8670</w:t>
            </w:r>
          </w:p>
        </w:tc>
      </w:tr>
      <w:tr>
        <w:trPr>
          <w:cantSplit/>
        </w:trPr>
        <w:tc>
          <w:tcPr>
            <w:tcW w:w="650" w:type="dxa"/>
            <w:vAlign w:val="center"/>
          </w:tcPr>
          <w:p>
            <w:pPr>
              <w:pStyle w:val="TableText"/>
            </w:pPr>
            <w:r>
              <w:t>9d</w:t>
            </w:r>
          </w:p>
        </w:tc>
        <w:tc>
          <w:tcPr>
            <w:tcW w:w="1400" w:type="dxa"/>
            <w:vAlign w:val="center"/>
          </w:tcPr>
          <w:p>
            <w:pPr>
              <w:pStyle w:val="TableNumber"/>
            </w:pPr>
            <w:r>
              <w:t>0.07324</w:t>
            </w:r>
          </w:p>
        </w:tc>
        <w:tc>
          <w:tcPr>
            <w:tcW w:w="1550" w:type="dxa"/>
            <w:vAlign w:val="center"/>
          </w:tcPr>
          <w:p>
            <w:pPr>
              <w:pStyle w:val="TableNumber"/>
            </w:pPr>
            <w:r>
              <w:t>0.02162</w:t>
            </w:r>
          </w:p>
        </w:tc>
        <w:tc>
          <w:tcPr>
            <w:tcW w:w="1550" w:type="dxa"/>
            <w:vAlign w:val="center"/>
          </w:tcPr>
          <w:p>
            <w:pPr>
              <w:pStyle w:val="TableNumber"/>
            </w:pPr>
            <w:r>
              <w:t>0.2952</w:t>
            </w:r>
          </w:p>
        </w:tc>
        <w:tc>
          <w:tcPr>
            <w:tcW w:w="1050" w:type="dxa"/>
            <w:vAlign w:val="center"/>
          </w:tcPr>
          <w:p>
            <w:pPr>
              <w:pStyle w:val="TableNumber"/>
            </w:pPr>
            <w:r>
              <w:t>1/13</w:t>
            </w:r>
          </w:p>
        </w:tc>
        <w:tc>
          <w:tcPr>
            <w:tcW w:w="1550" w:type="dxa"/>
            <w:vAlign w:val="center"/>
          </w:tcPr>
          <w:p>
            <w:pPr>
              <w:pStyle w:val="TableNumber"/>
            </w:pPr>
            <w:r>
              <w:t>0.06278</w:t>
            </w:r>
          </w:p>
        </w:tc>
        <w:tc>
          <w:tcPr>
            <w:tcW w:w="1610" w:type="dxa"/>
            <w:vAlign w:val="center"/>
          </w:tcPr>
          <w:p>
            <w:pPr>
              <w:pStyle w:val="TableNumber"/>
            </w:pPr>
            <w:r>
              <w:t>0.8572</w:t>
            </w:r>
          </w:p>
        </w:tc>
      </w:tr>
      <w:tr>
        <w:trPr>
          <w:cantSplit/>
        </w:trPr>
        <w:tc>
          <w:tcPr>
            <w:tcW w:w="650" w:type="dxa"/>
            <w:vAlign w:val="center"/>
          </w:tcPr>
          <w:p>
            <w:pPr>
              <w:pStyle w:val="TableText"/>
            </w:pPr>
            <w:r>
              <w:t>10d</w:t>
            </w:r>
          </w:p>
        </w:tc>
        <w:tc>
          <w:tcPr>
            <w:tcW w:w="1400" w:type="dxa"/>
            <w:vAlign w:val="center"/>
          </w:tcPr>
          <w:p>
            <w:pPr>
              <w:pStyle w:val="TableNumber"/>
            </w:pPr>
            <w:r>
              <w:t>0.07715</w:t>
            </w:r>
          </w:p>
        </w:tc>
        <w:tc>
          <w:tcPr>
            <w:tcW w:w="1550" w:type="dxa"/>
            <w:vAlign w:val="center"/>
          </w:tcPr>
          <w:p>
            <w:pPr>
              <w:pStyle w:val="TableNumber"/>
            </w:pPr>
            <w:r>
              <w:t>0.02269</w:t>
            </w:r>
          </w:p>
        </w:tc>
        <w:tc>
          <w:tcPr>
            <w:tcW w:w="1550" w:type="dxa"/>
            <w:vAlign w:val="center"/>
          </w:tcPr>
          <w:p>
            <w:pPr>
              <w:pStyle w:val="TableNumber"/>
            </w:pPr>
            <w:r>
              <w:t>0.2941</w:t>
            </w:r>
          </w:p>
        </w:tc>
        <w:tc>
          <w:tcPr>
            <w:tcW w:w="1050" w:type="dxa"/>
            <w:vAlign w:val="center"/>
          </w:tcPr>
          <w:p>
            <w:pPr>
              <w:pStyle w:val="TableNumber"/>
            </w:pPr>
            <w:r>
              <w:t>1/13</w:t>
            </w:r>
          </w:p>
        </w:tc>
        <w:tc>
          <w:tcPr>
            <w:tcW w:w="1550" w:type="dxa"/>
            <w:vAlign w:val="center"/>
          </w:tcPr>
          <w:p>
            <w:pPr>
              <w:pStyle w:val="TableNumber"/>
            </w:pPr>
            <w:r>
              <w:t>0.06601</w:t>
            </w:r>
          </w:p>
        </w:tc>
        <w:tc>
          <w:tcPr>
            <w:tcW w:w="1610" w:type="dxa"/>
            <w:vAlign w:val="center"/>
          </w:tcPr>
          <w:p>
            <w:pPr>
              <w:pStyle w:val="TableNumber"/>
            </w:pPr>
            <w:r>
              <w:t>0.8556</w:t>
            </w:r>
          </w:p>
        </w:tc>
      </w:tr>
      <w:tr>
        <w:trPr>
          <w:cantSplit/>
        </w:trPr>
        <w:tc>
          <w:tcPr>
            <w:tcW w:w="650" w:type="dxa"/>
            <w:vAlign w:val="center"/>
          </w:tcPr>
          <w:p>
            <w:pPr>
              <w:pStyle w:val="TableText"/>
            </w:pPr>
            <w:r>
              <w:t>11d</w:t>
            </w:r>
          </w:p>
        </w:tc>
        <w:tc>
          <w:tcPr>
            <w:tcW w:w="1400" w:type="dxa"/>
            <w:vAlign w:val="center"/>
          </w:tcPr>
          <w:p>
            <w:pPr>
              <w:pStyle w:val="TableNumber"/>
            </w:pPr>
            <w:r>
              <w:t>0.08105</w:t>
            </w:r>
          </w:p>
        </w:tc>
        <w:tc>
          <w:tcPr>
            <w:tcW w:w="1550" w:type="dxa"/>
            <w:vAlign w:val="center"/>
          </w:tcPr>
          <w:p>
            <w:pPr>
              <w:pStyle w:val="TableNumber"/>
            </w:pPr>
            <w:r>
              <w:t>0.02382</w:t>
            </w:r>
          </w:p>
        </w:tc>
        <w:tc>
          <w:tcPr>
            <w:tcW w:w="1550" w:type="dxa"/>
            <w:vAlign w:val="center"/>
          </w:tcPr>
          <w:p>
            <w:pPr>
              <w:pStyle w:val="TableNumber"/>
            </w:pPr>
            <w:r>
              <w:t>0.2938</w:t>
            </w:r>
          </w:p>
        </w:tc>
        <w:tc>
          <w:tcPr>
            <w:tcW w:w="1050" w:type="dxa"/>
            <w:vAlign w:val="center"/>
          </w:tcPr>
          <w:p>
            <w:pPr>
              <w:pStyle w:val="TableNumber"/>
            </w:pPr>
            <w:r>
              <w:t>1/13</w:t>
            </w:r>
          </w:p>
        </w:tc>
        <w:tc>
          <w:tcPr>
            <w:tcW w:w="1550" w:type="dxa"/>
            <w:vAlign w:val="center"/>
          </w:tcPr>
          <w:p>
            <w:pPr>
              <w:pStyle w:val="TableNumber"/>
            </w:pPr>
            <w:r>
              <w:t>0.06944</w:t>
            </w:r>
          </w:p>
        </w:tc>
        <w:tc>
          <w:tcPr>
            <w:tcW w:w="1610" w:type="dxa"/>
            <w:vAlign w:val="center"/>
          </w:tcPr>
          <w:p>
            <w:pPr>
              <w:pStyle w:val="TableNumber"/>
            </w:pPr>
            <w:r>
              <w:t>0.8567</w:t>
            </w:r>
          </w:p>
        </w:tc>
      </w:tr>
      <w:tr>
        <w:trPr>
          <w:cantSplit/>
        </w:trPr>
        <w:tc>
          <w:tcPr>
            <w:tcW w:w="650" w:type="dxa"/>
            <w:vAlign w:val="center"/>
          </w:tcPr>
          <w:p>
            <w:pPr>
              <w:pStyle w:val="TableText"/>
            </w:pPr>
            <w:r>
              <w:t>12d</w:t>
            </w:r>
          </w:p>
        </w:tc>
        <w:tc>
          <w:tcPr>
            <w:tcW w:w="1400" w:type="dxa"/>
            <w:vAlign w:val="center"/>
          </w:tcPr>
          <w:p>
            <w:pPr>
              <w:pStyle w:val="TableNumber"/>
            </w:pPr>
            <w:r>
              <w:t>0.08594</w:t>
            </w:r>
          </w:p>
        </w:tc>
        <w:tc>
          <w:tcPr>
            <w:tcW w:w="1550" w:type="dxa"/>
            <w:vAlign w:val="center"/>
          </w:tcPr>
          <w:p>
            <w:pPr>
              <w:pStyle w:val="TableNumber"/>
            </w:pPr>
            <w:r>
              <w:t>0.02478</w:t>
            </w:r>
          </w:p>
        </w:tc>
        <w:tc>
          <w:tcPr>
            <w:tcW w:w="1550" w:type="dxa"/>
            <w:vAlign w:val="center"/>
          </w:tcPr>
          <w:p>
            <w:pPr>
              <w:pStyle w:val="TableNumber"/>
            </w:pPr>
            <w:r>
              <w:t>0.2883</w:t>
            </w:r>
          </w:p>
        </w:tc>
        <w:tc>
          <w:tcPr>
            <w:tcW w:w="1050" w:type="dxa"/>
            <w:vAlign w:val="center"/>
          </w:tcPr>
          <w:p>
            <w:pPr>
              <w:pStyle w:val="TableNumber"/>
            </w:pPr>
            <w:r>
              <w:t>1/13</w:t>
            </w:r>
          </w:p>
        </w:tc>
        <w:tc>
          <w:tcPr>
            <w:tcW w:w="1550" w:type="dxa"/>
            <w:vAlign w:val="center"/>
          </w:tcPr>
          <w:p>
            <w:pPr>
              <w:pStyle w:val="TableNumber"/>
            </w:pPr>
            <w:r>
              <w:t>0.07245</w:t>
            </w:r>
          </w:p>
        </w:tc>
        <w:tc>
          <w:tcPr>
            <w:tcW w:w="1610" w:type="dxa"/>
            <w:vAlign w:val="center"/>
          </w:tcPr>
          <w:p>
            <w:pPr>
              <w:pStyle w:val="TableNumber"/>
            </w:pPr>
            <w:r>
              <w:t>0.8431</w:t>
            </w:r>
          </w:p>
        </w:tc>
      </w:tr>
      <w:tr>
        <w:trPr>
          <w:cantSplit/>
        </w:trPr>
        <w:tc>
          <w:tcPr>
            <w:tcW w:w="650" w:type="dxa"/>
            <w:vAlign w:val="center"/>
          </w:tcPr>
          <w:p>
            <w:pPr>
              <w:pStyle w:val="TableText"/>
            </w:pPr>
            <w:r>
              <w:t>13d</w:t>
            </w:r>
          </w:p>
        </w:tc>
        <w:tc>
          <w:tcPr>
            <w:tcW w:w="1400" w:type="dxa"/>
            <w:vAlign w:val="center"/>
          </w:tcPr>
          <w:p>
            <w:pPr>
              <w:pStyle w:val="TableNumber"/>
            </w:pPr>
            <w:r>
              <w:t>0.09082</w:t>
            </w:r>
          </w:p>
        </w:tc>
        <w:tc>
          <w:tcPr>
            <w:tcW w:w="1550" w:type="dxa"/>
            <w:vAlign w:val="center"/>
          </w:tcPr>
          <w:p>
            <w:pPr>
              <w:pStyle w:val="TableNumber"/>
            </w:pPr>
            <w:r>
              <w:t>0.02576</w:t>
            </w:r>
          </w:p>
        </w:tc>
        <w:tc>
          <w:tcPr>
            <w:tcW w:w="1550" w:type="dxa"/>
            <w:vAlign w:val="center"/>
          </w:tcPr>
          <w:p>
            <w:pPr>
              <w:pStyle w:val="TableNumber"/>
            </w:pPr>
            <w:r>
              <w:t>0.2836</w:t>
            </w:r>
          </w:p>
        </w:tc>
        <w:tc>
          <w:tcPr>
            <w:tcW w:w="1050" w:type="dxa"/>
            <w:vAlign w:val="center"/>
          </w:tcPr>
          <w:p>
            <w:pPr>
              <w:pStyle w:val="TableNumber"/>
            </w:pPr>
            <w:r>
              <w:t>1/13</w:t>
            </w:r>
          </w:p>
        </w:tc>
        <w:tc>
          <w:tcPr>
            <w:tcW w:w="1550" w:type="dxa"/>
            <w:vAlign w:val="center"/>
          </w:tcPr>
          <w:p>
            <w:pPr>
              <w:pStyle w:val="TableNumber"/>
            </w:pPr>
            <w:r>
              <w:t>0.07521</w:t>
            </w:r>
          </w:p>
        </w:tc>
        <w:tc>
          <w:tcPr>
            <w:tcW w:w="1610" w:type="dxa"/>
            <w:vAlign w:val="center"/>
          </w:tcPr>
          <w:p>
            <w:pPr>
              <w:pStyle w:val="TableNumber"/>
            </w:pPr>
            <w:r>
              <w:t>0.8281</w:t>
            </w:r>
          </w:p>
        </w:tc>
      </w:tr>
      <w:tr>
        <w:trPr>
          <w:cantSplit/>
        </w:trPr>
        <w:tc>
          <w:tcPr>
            <w:tcW w:w="650" w:type="dxa"/>
            <w:vAlign w:val="center"/>
          </w:tcPr>
          <w:p>
            <w:pPr>
              <w:pStyle w:val="TableText"/>
            </w:pPr>
            <w:r>
              <w:t>14d</w:t>
            </w:r>
          </w:p>
        </w:tc>
        <w:tc>
          <w:tcPr>
            <w:tcW w:w="1400" w:type="dxa"/>
            <w:vAlign w:val="center"/>
          </w:tcPr>
          <w:p>
            <w:pPr>
              <w:pStyle w:val="TableNumber"/>
            </w:pPr>
            <w:r>
              <w:t>0.09424</w:t>
            </w:r>
          </w:p>
        </w:tc>
        <w:tc>
          <w:tcPr>
            <w:tcW w:w="1550" w:type="dxa"/>
            <w:vAlign w:val="center"/>
          </w:tcPr>
          <w:p>
            <w:pPr>
              <w:pStyle w:val="TableNumber"/>
            </w:pPr>
            <w:r>
              <w:t>0.02668</w:t>
            </w:r>
          </w:p>
        </w:tc>
        <w:tc>
          <w:tcPr>
            <w:tcW w:w="1550" w:type="dxa"/>
            <w:vAlign w:val="center"/>
          </w:tcPr>
          <w:p>
            <w:pPr>
              <w:pStyle w:val="TableNumber"/>
            </w:pPr>
            <w:r>
              <w:t>0.2832</w:t>
            </w:r>
          </w:p>
        </w:tc>
        <w:tc>
          <w:tcPr>
            <w:tcW w:w="1050" w:type="dxa"/>
            <w:vAlign w:val="center"/>
          </w:tcPr>
          <w:p>
            <w:pPr>
              <w:pStyle w:val="TableNumber"/>
            </w:pPr>
            <w:r>
              <w:t>1/13</w:t>
            </w:r>
          </w:p>
        </w:tc>
        <w:tc>
          <w:tcPr>
            <w:tcW w:w="1550" w:type="dxa"/>
            <w:vAlign w:val="center"/>
          </w:tcPr>
          <w:p>
            <w:pPr>
              <w:pStyle w:val="TableNumber"/>
            </w:pPr>
            <w:r>
              <w:t>0.07808</w:t>
            </w:r>
          </w:p>
        </w:tc>
        <w:tc>
          <w:tcPr>
            <w:tcW w:w="1610" w:type="dxa"/>
            <w:vAlign w:val="center"/>
          </w:tcPr>
          <w:p>
            <w:pPr>
              <w:pStyle w:val="TableNumber"/>
            </w:pPr>
            <w:r>
              <w:t>0.8285</w:t>
            </w:r>
          </w:p>
        </w:tc>
      </w:tr>
    </w:tbl>
    <w:p>
      <w:pPr>
        <w:pStyle w:val="a"/>
      </w:pPr>
      <w:r>
        <w:t>Raw pinball and MAE rise with horizon because longer-horizon targets vary more. After division by the train-only robust scale, normalized pinball falls from 0.3819 at day 1 to 0.2832 at day 14. This means lower distribution error relative to each horizon's scale, not lower raw monetary error at day 14.</w:t>
      </w:r>
    </w:p>
    <w:p>
      <w:pPr>
        <w:pStyle w:val="21"/>
      </w:pPr>
      <w:r>
        <w:t>6.2 q50 and interval calibration</w:t>
      </w:r>
    </w:p>
    <w:p>
      <w:pPr>
        <w:pStyle w:val="Decision"/>
        <w:keepNext/>
        <w:spacing w:after="80"/>
      </w:pPr>
      <w:r>
        <w:t>Table 8 | Point forecast and interval at every horizon</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Gap to 80%</w:t>
            </w:r>
          </w:p>
        </w:tc>
        <w:tc>
          <w:tcPr>
            <w:tcW w:w="1960" w:type="dxa"/>
            <w:shd w:val="clear" w:fill="DCE6F1"/>
            <w:vAlign w:val="center"/>
          </w:tcPr>
          <w:p>
            <w:pPr>
              <w:pStyle w:val="TableHeader"/>
            </w:pPr>
            <w:r>
              <w:t>Width</w:t>
            </w:r>
          </w:p>
        </w:tc>
      </w:tr>
      <w:tr>
        <w:trPr>
          <w:cantSplit/>
        </w:trPr>
        <w:tc>
          <w:tcPr>
            <w:tcW w:w="700" w:type="dxa"/>
            <w:vAlign w:val="center"/>
          </w:tcPr>
          <w:p>
            <w:pPr>
              <w:pStyle w:val="TableText"/>
            </w:pPr>
            <w:r>
              <w:t>1d</w:t>
            </w:r>
          </w:p>
        </w:tc>
        <w:tc>
          <w:tcPr>
            <w:tcW w:w="1600" w:type="dxa"/>
            <w:vAlign w:val="center"/>
          </w:tcPr>
          <w:p>
            <w:pPr>
              <w:pStyle w:val="TableNumber"/>
            </w:pPr>
            <w:r>
              <w:t>0.0460</w:t>
            </w:r>
          </w:p>
        </w:tc>
        <w:tc>
          <w:tcPr>
            <w:tcW w:w="1650" w:type="dxa"/>
            <w:vAlign w:val="center"/>
          </w:tcPr>
          <w:p>
            <w:pPr>
              <w:pStyle w:val="TableNumber"/>
            </w:pPr>
            <w:r>
              <w:t>48.33%</w:t>
            </w:r>
          </w:p>
        </w:tc>
        <w:tc>
          <w:tcPr>
            <w:tcW w:w="1650" w:type="dxa"/>
            <w:vAlign w:val="center"/>
          </w:tcPr>
          <w:p>
            <w:pPr>
              <w:pStyle w:val="TableNumber"/>
            </w:pPr>
            <w:r>
              <w:t>72.15%</w:t>
            </w:r>
          </w:p>
        </w:tc>
        <w:tc>
          <w:tcPr>
            <w:tcW w:w="1800" w:type="dxa"/>
            <w:vAlign w:val="center"/>
          </w:tcPr>
          <w:p>
            <w:pPr>
              <w:pStyle w:val="TableNumber"/>
            </w:pPr>
            <w:r>
              <w:t>7.85 pp</w:t>
            </w:r>
          </w:p>
        </w:tc>
        <w:tc>
          <w:tcPr>
            <w:tcW w:w="1960" w:type="dxa"/>
            <w:vAlign w:val="center"/>
          </w:tcPr>
          <w:p>
            <w:pPr>
              <w:pStyle w:val="TableNumber"/>
            </w:pPr>
            <w:r>
              <w:t>0.0548</w:t>
            </w:r>
          </w:p>
        </w:tc>
      </w:tr>
      <w:tr>
        <w:trPr>
          <w:cantSplit/>
        </w:trPr>
        <w:tc>
          <w:tcPr>
            <w:tcW w:w="700" w:type="dxa"/>
            <w:vAlign w:val="center"/>
          </w:tcPr>
          <w:p>
            <w:pPr>
              <w:pStyle w:val="TableText"/>
            </w:pPr>
            <w:r>
              <w:t>2d</w:t>
            </w:r>
          </w:p>
        </w:tc>
        <w:tc>
          <w:tcPr>
            <w:tcW w:w="1600" w:type="dxa"/>
            <w:vAlign w:val="center"/>
          </w:tcPr>
          <w:p>
            <w:pPr>
              <w:pStyle w:val="TableNumber"/>
            </w:pPr>
            <w:r>
              <w:t>0.0702</w:t>
            </w:r>
          </w:p>
        </w:tc>
        <w:tc>
          <w:tcPr>
            <w:tcW w:w="1650" w:type="dxa"/>
            <w:vAlign w:val="center"/>
          </w:tcPr>
          <w:p>
            <w:pPr>
              <w:pStyle w:val="TableNumber"/>
            </w:pPr>
            <w:r>
              <w:t>48.84%</w:t>
            </w:r>
          </w:p>
        </w:tc>
        <w:tc>
          <w:tcPr>
            <w:tcW w:w="1650" w:type="dxa"/>
            <w:vAlign w:val="center"/>
          </w:tcPr>
          <w:p>
            <w:pPr>
              <w:pStyle w:val="TableNumber"/>
            </w:pPr>
            <w:r>
              <w:t>74.79%</w:t>
            </w:r>
          </w:p>
        </w:tc>
        <w:tc>
          <w:tcPr>
            <w:tcW w:w="1800" w:type="dxa"/>
            <w:vAlign w:val="center"/>
          </w:tcPr>
          <w:p>
            <w:pPr>
              <w:pStyle w:val="TableNumber"/>
            </w:pPr>
            <w:r>
              <w:t>5.21 pp</w:t>
            </w:r>
          </w:p>
        </w:tc>
        <w:tc>
          <w:tcPr>
            <w:tcW w:w="1960" w:type="dxa"/>
            <w:vAlign w:val="center"/>
          </w:tcPr>
          <w:p>
            <w:pPr>
              <w:pStyle w:val="TableNumber"/>
            </w:pPr>
            <w:r>
              <w:t>0.0800</w:t>
            </w:r>
          </w:p>
        </w:tc>
      </w:tr>
      <w:tr>
        <w:trPr>
          <w:cantSplit/>
        </w:trPr>
        <w:tc>
          <w:tcPr>
            <w:tcW w:w="700" w:type="dxa"/>
            <w:vAlign w:val="center"/>
          </w:tcPr>
          <w:p>
            <w:pPr>
              <w:pStyle w:val="TableText"/>
            </w:pPr>
            <w:r>
              <w:t>3d</w:t>
            </w:r>
          </w:p>
        </w:tc>
        <w:tc>
          <w:tcPr>
            <w:tcW w:w="1600" w:type="dxa"/>
            <w:vAlign w:val="center"/>
          </w:tcPr>
          <w:p>
            <w:pPr>
              <w:pStyle w:val="TableNumber"/>
            </w:pPr>
            <w:r>
              <w:t>0.0894</w:t>
            </w:r>
          </w:p>
        </w:tc>
        <w:tc>
          <w:tcPr>
            <w:tcW w:w="1650" w:type="dxa"/>
            <w:vAlign w:val="center"/>
          </w:tcPr>
          <w:p>
            <w:pPr>
              <w:pStyle w:val="TableNumber"/>
            </w:pPr>
            <w:r>
              <w:t>52.68%</w:t>
            </w:r>
          </w:p>
        </w:tc>
        <w:tc>
          <w:tcPr>
            <w:tcW w:w="1650" w:type="dxa"/>
            <w:vAlign w:val="center"/>
          </w:tcPr>
          <w:p>
            <w:pPr>
              <w:pStyle w:val="TableNumber"/>
            </w:pPr>
            <w:r>
              <w:t>73.95%</w:t>
            </w:r>
          </w:p>
        </w:tc>
        <w:tc>
          <w:tcPr>
            <w:tcW w:w="1800" w:type="dxa"/>
            <w:vAlign w:val="center"/>
          </w:tcPr>
          <w:p>
            <w:pPr>
              <w:pStyle w:val="TableNumber"/>
            </w:pPr>
            <w:r>
              <w:t>6.05 pp</w:t>
            </w:r>
          </w:p>
        </w:tc>
        <w:tc>
          <w:tcPr>
            <w:tcW w:w="1960" w:type="dxa"/>
            <w:vAlign w:val="center"/>
          </w:tcPr>
          <w:p>
            <w:pPr>
              <w:pStyle w:val="TableNumber"/>
            </w:pPr>
            <w:r>
              <w:t>0.0982</w:t>
            </w:r>
          </w:p>
        </w:tc>
      </w:tr>
      <w:tr>
        <w:trPr>
          <w:cantSplit/>
        </w:trPr>
        <w:tc>
          <w:tcPr>
            <w:tcW w:w="700" w:type="dxa"/>
            <w:vAlign w:val="center"/>
          </w:tcPr>
          <w:p>
            <w:pPr>
              <w:pStyle w:val="TableText"/>
            </w:pPr>
            <w:r>
              <w:t>4d</w:t>
            </w:r>
          </w:p>
        </w:tc>
        <w:tc>
          <w:tcPr>
            <w:tcW w:w="1600" w:type="dxa"/>
            <w:vAlign w:val="center"/>
          </w:tcPr>
          <w:p>
            <w:pPr>
              <w:pStyle w:val="TableNumber"/>
            </w:pPr>
            <w:r>
              <w:t>0.1016</w:t>
            </w:r>
          </w:p>
        </w:tc>
        <w:tc>
          <w:tcPr>
            <w:tcW w:w="1650" w:type="dxa"/>
            <w:vAlign w:val="center"/>
          </w:tcPr>
          <w:p>
            <w:pPr>
              <w:pStyle w:val="TableNumber"/>
            </w:pPr>
            <w:r>
              <w:t>53.06%</w:t>
            </w:r>
          </w:p>
        </w:tc>
        <w:tc>
          <w:tcPr>
            <w:tcW w:w="1650" w:type="dxa"/>
            <w:vAlign w:val="center"/>
          </w:tcPr>
          <w:p>
            <w:pPr>
              <w:pStyle w:val="TableNumber"/>
            </w:pPr>
            <w:r>
              <w:t>72.91%</w:t>
            </w:r>
          </w:p>
        </w:tc>
        <w:tc>
          <w:tcPr>
            <w:tcW w:w="1800" w:type="dxa"/>
            <w:vAlign w:val="center"/>
          </w:tcPr>
          <w:p>
            <w:pPr>
              <w:pStyle w:val="TableNumber"/>
            </w:pPr>
            <w:r>
              <w:t>7.10 pp</w:t>
            </w:r>
          </w:p>
        </w:tc>
        <w:tc>
          <w:tcPr>
            <w:tcW w:w="1960" w:type="dxa"/>
            <w:vAlign w:val="center"/>
          </w:tcPr>
          <w:p>
            <w:pPr>
              <w:pStyle w:val="TableNumber"/>
            </w:pPr>
            <w:r>
              <w:t>0.1112</w:t>
            </w:r>
          </w:p>
        </w:tc>
      </w:tr>
      <w:tr>
        <w:trPr>
          <w:cantSplit/>
        </w:trPr>
        <w:tc>
          <w:tcPr>
            <w:tcW w:w="700" w:type="dxa"/>
            <w:vAlign w:val="center"/>
          </w:tcPr>
          <w:p>
            <w:pPr>
              <w:pStyle w:val="TableText"/>
            </w:pPr>
            <w:r>
              <w:t>5d</w:t>
            </w:r>
          </w:p>
        </w:tc>
        <w:tc>
          <w:tcPr>
            <w:tcW w:w="1600" w:type="dxa"/>
            <w:vAlign w:val="center"/>
          </w:tcPr>
          <w:p>
            <w:pPr>
              <w:pStyle w:val="TableNumber"/>
            </w:pPr>
            <w:r>
              <w:t>0.1078</w:t>
            </w:r>
          </w:p>
        </w:tc>
        <w:tc>
          <w:tcPr>
            <w:tcW w:w="1650" w:type="dxa"/>
            <w:vAlign w:val="center"/>
          </w:tcPr>
          <w:p>
            <w:pPr>
              <w:pStyle w:val="TableNumber"/>
            </w:pPr>
            <w:r>
              <w:t>54.45%</w:t>
            </w:r>
          </w:p>
        </w:tc>
        <w:tc>
          <w:tcPr>
            <w:tcW w:w="1650" w:type="dxa"/>
            <w:vAlign w:val="center"/>
          </w:tcPr>
          <w:p>
            <w:pPr>
              <w:pStyle w:val="TableNumber"/>
            </w:pPr>
            <w:r>
              <w:t>72.26%</w:t>
            </w:r>
          </w:p>
        </w:tc>
        <w:tc>
          <w:tcPr>
            <w:tcW w:w="1800" w:type="dxa"/>
            <w:vAlign w:val="center"/>
          </w:tcPr>
          <w:p>
            <w:pPr>
              <w:pStyle w:val="TableNumber"/>
            </w:pPr>
            <w:r>
              <w:t>7.74 pp</w:t>
            </w:r>
          </w:p>
        </w:tc>
        <w:tc>
          <w:tcPr>
            <w:tcW w:w="1960" w:type="dxa"/>
            <w:vAlign w:val="center"/>
          </w:tcPr>
          <w:p>
            <w:pPr>
              <w:pStyle w:val="TableNumber"/>
            </w:pPr>
            <w:r>
              <w:t>0.1229</w:t>
            </w:r>
          </w:p>
        </w:tc>
      </w:tr>
      <w:tr>
        <w:trPr>
          <w:cantSplit/>
        </w:trPr>
        <w:tc>
          <w:tcPr>
            <w:tcW w:w="700" w:type="dxa"/>
            <w:vAlign w:val="center"/>
          </w:tcPr>
          <w:p>
            <w:pPr>
              <w:pStyle w:val="TableText"/>
            </w:pPr>
            <w:r>
              <w:t>6d</w:t>
            </w:r>
          </w:p>
        </w:tc>
        <w:tc>
          <w:tcPr>
            <w:tcW w:w="1600" w:type="dxa"/>
            <w:vAlign w:val="center"/>
          </w:tcPr>
          <w:p>
            <w:pPr>
              <w:pStyle w:val="TableNumber"/>
            </w:pPr>
            <w:r>
              <w:t>0.1116</w:t>
            </w:r>
          </w:p>
        </w:tc>
        <w:tc>
          <w:tcPr>
            <w:tcW w:w="1650" w:type="dxa"/>
            <w:vAlign w:val="center"/>
          </w:tcPr>
          <w:p>
            <w:pPr>
              <w:pStyle w:val="TableNumber"/>
            </w:pPr>
            <w:r>
              <w:t>54.97%</w:t>
            </w:r>
          </w:p>
        </w:tc>
        <w:tc>
          <w:tcPr>
            <w:tcW w:w="1650" w:type="dxa"/>
            <w:vAlign w:val="center"/>
          </w:tcPr>
          <w:p>
            <w:pPr>
              <w:pStyle w:val="TableNumber"/>
            </w:pPr>
            <w:r>
              <w:t>71.94%</w:t>
            </w:r>
          </w:p>
        </w:tc>
        <w:tc>
          <w:tcPr>
            <w:tcW w:w="1800" w:type="dxa"/>
            <w:vAlign w:val="center"/>
          </w:tcPr>
          <w:p>
            <w:pPr>
              <w:pStyle w:val="TableNumber"/>
            </w:pPr>
            <w:r>
              <w:t>8.06 pp</w:t>
            </w:r>
          </w:p>
        </w:tc>
        <w:tc>
          <w:tcPr>
            <w:tcW w:w="1960" w:type="dxa"/>
            <w:vAlign w:val="center"/>
          </w:tcPr>
          <w:p>
            <w:pPr>
              <w:pStyle w:val="TableNumber"/>
            </w:pPr>
            <w:r>
              <w:t>0.1337</w:t>
            </w:r>
          </w:p>
        </w:tc>
      </w:tr>
      <w:tr>
        <w:trPr>
          <w:cantSplit/>
        </w:trPr>
        <w:tc>
          <w:tcPr>
            <w:tcW w:w="700" w:type="dxa"/>
            <w:vAlign w:val="center"/>
          </w:tcPr>
          <w:p>
            <w:pPr>
              <w:pStyle w:val="TableText"/>
            </w:pPr>
            <w:r>
              <w:t>7d</w:t>
            </w:r>
          </w:p>
        </w:tc>
        <w:tc>
          <w:tcPr>
            <w:tcW w:w="1600" w:type="dxa"/>
            <w:vAlign w:val="center"/>
          </w:tcPr>
          <w:p>
            <w:pPr>
              <w:pStyle w:val="TableNumber"/>
            </w:pPr>
            <w:r>
              <w:t>0.1186</w:t>
            </w:r>
          </w:p>
        </w:tc>
        <w:tc>
          <w:tcPr>
            <w:tcW w:w="1650" w:type="dxa"/>
            <w:vAlign w:val="center"/>
          </w:tcPr>
          <w:p>
            <w:pPr>
              <w:pStyle w:val="TableNumber"/>
            </w:pPr>
            <w:r>
              <w:t>54.56%</w:t>
            </w:r>
          </w:p>
        </w:tc>
        <w:tc>
          <w:tcPr>
            <w:tcW w:w="1650" w:type="dxa"/>
            <w:vAlign w:val="center"/>
          </w:tcPr>
          <w:p>
            <w:pPr>
              <w:pStyle w:val="TableNumber"/>
            </w:pPr>
            <w:r>
              <w:t>71.75%</w:t>
            </w:r>
          </w:p>
        </w:tc>
        <w:tc>
          <w:tcPr>
            <w:tcW w:w="1800" w:type="dxa"/>
            <w:vAlign w:val="center"/>
          </w:tcPr>
          <w:p>
            <w:pPr>
              <w:pStyle w:val="TableNumber"/>
            </w:pPr>
            <w:r>
              <w:t>8.25 pp</w:t>
            </w:r>
          </w:p>
        </w:tc>
        <w:tc>
          <w:tcPr>
            <w:tcW w:w="1960" w:type="dxa"/>
            <w:vAlign w:val="center"/>
          </w:tcPr>
          <w:p>
            <w:pPr>
              <w:pStyle w:val="TableNumber"/>
            </w:pPr>
            <w:r>
              <w:t>0.1431</w:t>
            </w:r>
          </w:p>
        </w:tc>
      </w:tr>
      <w:tr>
        <w:trPr>
          <w:cantSplit/>
        </w:trPr>
        <w:tc>
          <w:tcPr>
            <w:tcW w:w="700" w:type="dxa"/>
            <w:vAlign w:val="center"/>
          </w:tcPr>
          <w:p>
            <w:pPr>
              <w:pStyle w:val="TableText"/>
            </w:pPr>
            <w:r>
              <w:t>8d</w:t>
            </w:r>
          </w:p>
        </w:tc>
        <w:tc>
          <w:tcPr>
            <w:tcW w:w="1600" w:type="dxa"/>
            <w:vAlign w:val="center"/>
          </w:tcPr>
          <w:p>
            <w:pPr>
              <w:pStyle w:val="TableNumber"/>
            </w:pPr>
            <w:r>
              <w:t>0.1159</w:t>
            </w:r>
          </w:p>
        </w:tc>
        <w:tc>
          <w:tcPr>
            <w:tcW w:w="1650" w:type="dxa"/>
            <w:vAlign w:val="center"/>
          </w:tcPr>
          <w:p>
            <w:pPr>
              <w:pStyle w:val="TableNumber"/>
            </w:pPr>
            <w:r>
              <w:t>55.21%</w:t>
            </w:r>
          </w:p>
        </w:tc>
        <w:tc>
          <w:tcPr>
            <w:tcW w:w="1650" w:type="dxa"/>
            <w:vAlign w:val="center"/>
          </w:tcPr>
          <w:p>
            <w:pPr>
              <w:pStyle w:val="TableNumber"/>
            </w:pPr>
            <w:r>
              <w:t>71.77%</w:t>
            </w:r>
          </w:p>
        </w:tc>
        <w:tc>
          <w:tcPr>
            <w:tcW w:w="1800" w:type="dxa"/>
            <w:vAlign w:val="center"/>
          </w:tcPr>
          <w:p>
            <w:pPr>
              <w:pStyle w:val="TableNumber"/>
            </w:pPr>
            <w:r>
              <w:t>8.23 pp</w:t>
            </w:r>
          </w:p>
        </w:tc>
        <w:tc>
          <w:tcPr>
            <w:tcW w:w="1960" w:type="dxa"/>
            <w:vAlign w:val="center"/>
          </w:tcPr>
          <w:p>
            <w:pPr>
              <w:pStyle w:val="TableNumber"/>
            </w:pPr>
            <w:r>
              <w:t>0.1532</w:t>
            </w:r>
          </w:p>
        </w:tc>
      </w:tr>
      <w:tr>
        <w:trPr>
          <w:cantSplit/>
        </w:trPr>
        <w:tc>
          <w:tcPr>
            <w:tcW w:w="700" w:type="dxa"/>
            <w:vAlign w:val="center"/>
          </w:tcPr>
          <w:p>
            <w:pPr>
              <w:pStyle w:val="TableText"/>
            </w:pPr>
            <w:r>
              <w:t>9d</w:t>
            </w:r>
          </w:p>
        </w:tc>
        <w:tc>
          <w:tcPr>
            <w:tcW w:w="1600" w:type="dxa"/>
            <w:vAlign w:val="center"/>
          </w:tcPr>
          <w:p>
            <w:pPr>
              <w:pStyle w:val="TableNumber"/>
            </w:pPr>
            <w:r>
              <w:t>0.1272</w:t>
            </w:r>
          </w:p>
        </w:tc>
        <w:tc>
          <w:tcPr>
            <w:tcW w:w="1650" w:type="dxa"/>
            <w:vAlign w:val="center"/>
          </w:tcPr>
          <w:p>
            <w:pPr>
              <w:pStyle w:val="TableNumber"/>
            </w:pPr>
            <w:r>
              <w:t>54.41%</w:t>
            </w:r>
          </w:p>
        </w:tc>
        <w:tc>
          <w:tcPr>
            <w:tcW w:w="1650" w:type="dxa"/>
            <w:vAlign w:val="center"/>
          </w:tcPr>
          <w:p>
            <w:pPr>
              <w:pStyle w:val="TableNumber"/>
            </w:pPr>
            <w:r>
              <w:t>70.49%</w:t>
            </w:r>
          </w:p>
        </w:tc>
        <w:tc>
          <w:tcPr>
            <w:tcW w:w="1800" w:type="dxa"/>
            <w:vAlign w:val="center"/>
          </w:tcPr>
          <w:p>
            <w:pPr>
              <w:pStyle w:val="TableNumber"/>
            </w:pPr>
            <w:r>
              <w:t>9.51 pp</w:t>
            </w:r>
          </w:p>
        </w:tc>
        <w:tc>
          <w:tcPr>
            <w:tcW w:w="1960" w:type="dxa"/>
            <w:vAlign w:val="center"/>
          </w:tcPr>
          <w:p>
            <w:pPr>
              <w:pStyle w:val="TableNumber"/>
            </w:pPr>
            <w:r>
              <w:t>0.1625</w:t>
            </w:r>
          </w:p>
        </w:tc>
      </w:tr>
      <w:tr>
        <w:trPr>
          <w:cantSplit/>
        </w:trPr>
        <w:tc>
          <w:tcPr>
            <w:tcW w:w="700" w:type="dxa"/>
            <w:vAlign w:val="center"/>
          </w:tcPr>
          <w:p>
            <w:pPr>
              <w:pStyle w:val="TableText"/>
            </w:pPr>
            <w:r>
              <w:t>10d</w:t>
            </w:r>
          </w:p>
        </w:tc>
        <w:tc>
          <w:tcPr>
            <w:tcW w:w="1600" w:type="dxa"/>
            <w:vAlign w:val="center"/>
          </w:tcPr>
          <w:p>
            <w:pPr>
              <w:pStyle w:val="TableNumber"/>
            </w:pPr>
            <w:r>
              <w:t>0.1297</w:t>
            </w:r>
          </w:p>
        </w:tc>
        <w:tc>
          <w:tcPr>
            <w:tcW w:w="1650" w:type="dxa"/>
            <w:vAlign w:val="center"/>
          </w:tcPr>
          <w:p>
            <w:pPr>
              <w:pStyle w:val="TableNumber"/>
            </w:pPr>
            <w:r>
              <w:t>54.16%</w:t>
            </w:r>
          </w:p>
        </w:tc>
        <w:tc>
          <w:tcPr>
            <w:tcW w:w="1650" w:type="dxa"/>
            <w:vAlign w:val="center"/>
          </w:tcPr>
          <w:p>
            <w:pPr>
              <w:pStyle w:val="TableNumber"/>
            </w:pPr>
            <w:r>
              <w:t>70.98%</w:t>
            </w:r>
          </w:p>
        </w:tc>
        <w:tc>
          <w:tcPr>
            <w:tcW w:w="1800" w:type="dxa"/>
            <w:vAlign w:val="center"/>
          </w:tcPr>
          <w:p>
            <w:pPr>
              <w:pStyle w:val="TableNumber"/>
            </w:pPr>
            <w:r>
              <w:t>9.02 pp</w:t>
            </w:r>
          </w:p>
        </w:tc>
        <w:tc>
          <w:tcPr>
            <w:tcW w:w="1960" w:type="dxa"/>
            <w:vAlign w:val="center"/>
          </w:tcPr>
          <w:p>
            <w:pPr>
              <w:pStyle w:val="TableNumber"/>
            </w:pPr>
            <w:r>
              <w:t>0.1718</w:t>
            </w:r>
          </w:p>
        </w:tc>
      </w:tr>
      <w:tr>
        <w:trPr>
          <w:cantSplit/>
        </w:trPr>
        <w:tc>
          <w:tcPr>
            <w:tcW w:w="700" w:type="dxa"/>
            <w:vAlign w:val="center"/>
          </w:tcPr>
          <w:p>
            <w:pPr>
              <w:pStyle w:val="TableText"/>
            </w:pPr>
            <w:r>
              <w:t>11d</w:t>
            </w:r>
          </w:p>
        </w:tc>
        <w:tc>
          <w:tcPr>
            <w:tcW w:w="1600" w:type="dxa"/>
            <w:vAlign w:val="center"/>
          </w:tcPr>
          <w:p>
            <w:pPr>
              <w:pStyle w:val="TableNumber"/>
            </w:pPr>
            <w:r>
              <w:t>0.1367</w:t>
            </w:r>
          </w:p>
        </w:tc>
        <w:tc>
          <w:tcPr>
            <w:tcW w:w="1650" w:type="dxa"/>
            <w:vAlign w:val="center"/>
          </w:tcPr>
          <w:p>
            <w:pPr>
              <w:pStyle w:val="TableNumber"/>
            </w:pPr>
            <w:r>
              <w:t>54.77%</w:t>
            </w:r>
          </w:p>
        </w:tc>
        <w:tc>
          <w:tcPr>
            <w:tcW w:w="1650" w:type="dxa"/>
            <w:vAlign w:val="center"/>
          </w:tcPr>
          <w:p>
            <w:pPr>
              <w:pStyle w:val="TableNumber"/>
            </w:pPr>
            <w:r>
              <w:t>70.05%</w:t>
            </w:r>
          </w:p>
        </w:tc>
        <w:tc>
          <w:tcPr>
            <w:tcW w:w="1800" w:type="dxa"/>
            <w:vAlign w:val="center"/>
          </w:tcPr>
          <w:p>
            <w:pPr>
              <w:pStyle w:val="TableNumber"/>
            </w:pPr>
            <w:r>
              <w:t>9.95 pp</w:t>
            </w:r>
          </w:p>
        </w:tc>
        <w:tc>
          <w:tcPr>
            <w:tcW w:w="1960" w:type="dxa"/>
            <w:vAlign w:val="center"/>
          </w:tcPr>
          <w:p>
            <w:pPr>
              <w:pStyle w:val="TableNumber"/>
            </w:pPr>
            <w:r>
              <w:t>0.1785</w:t>
            </w:r>
          </w:p>
        </w:tc>
      </w:tr>
      <w:tr>
        <w:trPr>
          <w:cantSplit/>
        </w:trPr>
        <w:tc>
          <w:tcPr>
            <w:tcW w:w="700" w:type="dxa"/>
            <w:vAlign w:val="center"/>
          </w:tcPr>
          <w:p>
            <w:pPr>
              <w:pStyle w:val="TableText"/>
            </w:pPr>
            <w:r>
              <w:t>12d</w:t>
            </w:r>
          </w:p>
        </w:tc>
        <w:tc>
          <w:tcPr>
            <w:tcW w:w="1600" w:type="dxa"/>
            <w:vAlign w:val="center"/>
          </w:tcPr>
          <w:p>
            <w:pPr>
              <w:pStyle w:val="TableNumber"/>
            </w:pPr>
            <w:r>
              <w:t>0.1447</w:t>
            </w:r>
          </w:p>
        </w:tc>
        <w:tc>
          <w:tcPr>
            <w:tcW w:w="1650" w:type="dxa"/>
            <w:vAlign w:val="center"/>
          </w:tcPr>
          <w:p>
            <w:pPr>
              <w:pStyle w:val="TableNumber"/>
            </w:pPr>
            <w:r>
              <w:t>54.93%</w:t>
            </w:r>
          </w:p>
        </w:tc>
        <w:tc>
          <w:tcPr>
            <w:tcW w:w="1650" w:type="dxa"/>
            <w:vAlign w:val="center"/>
          </w:tcPr>
          <w:p>
            <w:pPr>
              <w:pStyle w:val="TableNumber"/>
            </w:pPr>
            <w:r>
              <w:t>70.53%</w:t>
            </w:r>
          </w:p>
        </w:tc>
        <w:tc>
          <w:tcPr>
            <w:tcW w:w="1800" w:type="dxa"/>
            <w:vAlign w:val="center"/>
          </w:tcPr>
          <w:p>
            <w:pPr>
              <w:pStyle w:val="TableNumber"/>
            </w:pPr>
            <w:r>
              <w:t>9.47 pp</w:t>
            </w:r>
          </w:p>
        </w:tc>
        <w:tc>
          <w:tcPr>
            <w:tcW w:w="1960" w:type="dxa"/>
            <w:vAlign w:val="center"/>
          </w:tcPr>
          <w:p>
            <w:pPr>
              <w:pStyle w:val="TableNumber"/>
            </w:pPr>
            <w:r>
              <w:t>0.1893</w:t>
            </w:r>
          </w:p>
        </w:tc>
      </w:tr>
      <w:tr>
        <w:trPr>
          <w:cantSplit/>
        </w:trPr>
        <w:tc>
          <w:tcPr>
            <w:tcW w:w="700" w:type="dxa"/>
            <w:vAlign w:val="center"/>
          </w:tcPr>
          <w:p>
            <w:pPr>
              <w:pStyle w:val="TableText"/>
            </w:pPr>
            <w:r>
              <w:t>13d</w:t>
            </w:r>
          </w:p>
        </w:tc>
        <w:tc>
          <w:tcPr>
            <w:tcW w:w="1600" w:type="dxa"/>
            <w:vAlign w:val="center"/>
          </w:tcPr>
          <w:p>
            <w:pPr>
              <w:pStyle w:val="TableNumber"/>
            </w:pPr>
            <w:r>
              <w:t>0.1476</w:t>
            </w:r>
          </w:p>
        </w:tc>
        <w:tc>
          <w:tcPr>
            <w:tcW w:w="1650" w:type="dxa"/>
            <w:vAlign w:val="center"/>
          </w:tcPr>
          <w:p>
            <w:pPr>
              <w:pStyle w:val="TableNumber"/>
            </w:pPr>
            <w:r>
              <w:t>55.48%</w:t>
            </w:r>
          </w:p>
        </w:tc>
        <w:tc>
          <w:tcPr>
            <w:tcW w:w="1650" w:type="dxa"/>
            <w:vAlign w:val="center"/>
          </w:tcPr>
          <w:p>
            <w:pPr>
              <w:pStyle w:val="TableNumber"/>
            </w:pPr>
            <w:r>
              <w:t>70.49%</w:t>
            </w:r>
          </w:p>
        </w:tc>
        <w:tc>
          <w:tcPr>
            <w:tcW w:w="1800" w:type="dxa"/>
            <w:vAlign w:val="center"/>
          </w:tcPr>
          <w:p>
            <w:pPr>
              <w:pStyle w:val="TableNumber"/>
            </w:pPr>
            <w:r>
              <w:t>9.51 pp</w:t>
            </w:r>
          </w:p>
        </w:tc>
        <w:tc>
          <w:tcPr>
            <w:tcW w:w="1960" w:type="dxa"/>
            <w:vAlign w:val="center"/>
          </w:tcPr>
          <w:p>
            <w:pPr>
              <w:pStyle w:val="TableNumber"/>
            </w:pPr>
            <w:r>
              <w:t>0.1981</w:t>
            </w:r>
          </w:p>
        </w:tc>
      </w:tr>
      <w:tr>
        <w:trPr>
          <w:cantSplit/>
        </w:trPr>
        <w:tc>
          <w:tcPr>
            <w:tcW w:w="700" w:type="dxa"/>
            <w:vAlign w:val="center"/>
          </w:tcPr>
          <w:p>
            <w:pPr>
              <w:pStyle w:val="TableText"/>
            </w:pPr>
            <w:r>
              <w:t>14d</w:t>
            </w:r>
          </w:p>
        </w:tc>
        <w:tc>
          <w:tcPr>
            <w:tcW w:w="1600" w:type="dxa"/>
            <w:vAlign w:val="center"/>
          </w:tcPr>
          <w:p>
            <w:pPr>
              <w:pStyle w:val="TableNumber"/>
            </w:pPr>
            <w:r>
              <w:t>0.1493</w:t>
            </w:r>
          </w:p>
        </w:tc>
        <w:tc>
          <w:tcPr>
            <w:tcW w:w="1650" w:type="dxa"/>
            <w:vAlign w:val="center"/>
          </w:tcPr>
          <w:p>
            <w:pPr>
              <w:pStyle w:val="TableNumber"/>
            </w:pPr>
            <w:r>
              <w:t>54.63%</w:t>
            </w:r>
          </w:p>
        </w:tc>
        <w:tc>
          <w:tcPr>
            <w:tcW w:w="1650" w:type="dxa"/>
            <w:vAlign w:val="center"/>
          </w:tcPr>
          <w:p>
            <w:pPr>
              <w:pStyle w:val="TableNumber"/>
            </w:pPr>
            <w:r>
              <w:t>70.64%</w:t>
            </w:r>
          </w:p>
        </w:tc>
        <w:tc>
          <w:tcPr>
            <w:tcW w:w="1800" w:type="dxa"/>
            <w:vAlign w:val="center"/>
          </w:tcPr>
          <w:p>
            <w:pPr>
              <w:pStyle w:val="TableNumber"/>
            </w:pPr>
            <w:r>
              <w:t>9.37 pp</w:t>
            </w:r>
          </w:p>
        </w:tc>
        <w:tc>
          <w:tcPr>
            <w:tcW w:w="1960" w:type="dxa"/>
            <w:vAlign w:val="center"/>
          </w:tcPr>
          <w:p>
            <w:pPr>
              <w:pStyle w:val="TableNumber"/>
            </w:pPr>
            <w:r>
              <w:t>0.2053</w:t>
            </w:r>
          </w:p>
        </w:tc>
      </w:tr>
    </w:tbl>
    <w:p>
      <w:pPr>
        <w:pStyle w:val="a"/>
      </w:pPr>
      <w:r>
        <w:t>q50 correlation generally rises from 0.0460 at day 1 to 0.1493 at day 14. Direction agreement is below 50% at days 1 and 2 and above 50% at the other 12 horizons. Coverage is below the nominal 80% throughout, ranging from 70.05% to 74.79%, so q10 to q90 is systematically too narrow. Width grows from 0.0548 to 0.2053, but not enough to restore nominal coverage.</w:t>
      </w:r>
    </w:p>
    <w:p>
      <w:pPr>
        <w:pStyle w:val="21"/>
      </w:pPr>
      <w:r>
        <w:t>6.3 Cross-sectional ranking and capital path</w:t>
      </w:r>
    </w:p>
    <w:p>
      <w:pPr>
        <w:pStyle w:val="Decision"/>
        <w:keepNext/>
        <w:spacing w:after="80"/>
      </w:pPr>
      <w:r>
        <w:t>Table 9 | Economic diagnostics at every horizon</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0.0560 (1/13)</w:t>
            </w:r>
          </w:p>
        </w:tc>
        <w:tc>
          <w:tcPr>
            <w:tcW w:w="1100" w:type="dxa"/>
            <w:vAlign w:val="center"/>
          </w:tcPr>
          <w:p>
            <w:pPr>
              <w:pStyle w:val="TableNumber"/>
            </w:pPr>
            <w:r>
              <w:t>0.283</w:t>
            </w:r>
          </w:p>
        </w:tc>
        <w:tc>
          <w:tcPr>
            <w:tcW w:w="1500" w:type="dxa"/>
            <w:vAlign w:val="center"/>
          </w:tcPr>
          <w:p>
            <w:pPr>
              <w:pStyle w:val="TableNumber"/>
            </w:pPr>
            <w:r>
              <w:t>+0.36%</w:t>
            </w:r>
          </w:p>
        </w:tc>
        <w:tc>
          <w:tcPr>
            <w:tcW w:w="1650" w:type="dxa"/>
            <w:vAlign w:val="center"/>
          </w:tcPr>
          <w:p>
            <w:pPr>
              <w:pStyle w:val="TableNumber"/>
            </w:pPr>
            <w:r>
              <w:t>3.14 (1/13)</w:t>
            </w:r>
          </w:p>
        </w:tc>
        <w:tc>
          <w:tcPr>
            <w:tcW w:w="1600" w:type="dxa"/>
            <w:vAlign w:val="center"/>
          </w:tcPr>
          <w:p>
            <w:pPr>
              <w:pStyle w:val="TableNumber"/>
            </w:pPr>
            <w:r>
              <w:t>-9.9% (3/13)</w:t>
            </w:r>
          </w:p>
        </w:tc>
        <w:tc>
          <w:tcPr>
            <w:tcW w:w="960" w:type="dxa"/>
            <w:vAlign w:val="center"/>
          </w:tcPr>
          <w:p>
            <w:pPr>
              <w:pStyle w:val="TableNumber"/>
            </w:pPr>
            <w:r>
              <w:t>0.398</w:t>
            </w:r>
          </w:p>
        </w:tc>
      </w:tr>
      <w:tr>
        <w:trPr>
          <w:cantSplit/>
        </w:trPr>
        <w:tc>
          <w:tcPr>
            <w:tcW w:w="650" w:type="dxa"/>
            <w:vAlign w:val="center"/>
          </w:tcPr>
          <w:p>
            <w:pPr>
              <w:pStyle w:val="TableText"/>
            </w:pPr>
            <w:r>
              <w:t>2d</w:t>
            </w:r>
          </w:p>
        </w:tc>
        <w:tc>
          <w:tcPr>
            <w:tcW w:w="1900" w:type="dxa"/>
            <w:vAlign w:val="center"/>
          </w:tcPr>
          <w:p>
            <w:pPr>
              <w:pStyle w:val="TableNumber"/>
            </w:pPr>
            <w:r>
              <w:t>0.0703 (1/13)</w:t>
            </w:r>
          </w:p>
        </w:tc>
        <w:tc>
          <w:tcPr>
            <w:tcW w:w="1100" w:type="dxa"/>
            <w:vAlign w:val="center"/>
          </w:tcPr>
          <w:p>
            <w:pPr>
              <w:pStyle w:val="TableNumber"/>
            </w:pPr>
            <w:r>
              <w:t>0.348</w:t>
            </w:r>
          </w:p>
        </w:tc>
        <w:tc>
          <w:tcPr>
            <w:tcW w:w="1500" w:type="dxa"/>
            <w:vAlign w:val="center"/>
          </w:tcPr>
          <w:p>
            <w:pPr>
              <w:pStyle w:val="TableNumber"/>
            </w:pPr>
            <w:r>
              <w:t>+0.80%</w:t>
            </w:r>
          </w:p>
        </w:tc>
        <w:tc>
          <w:tcPr>
            <w:tcW w:w="1650" w:type="dxa"/>
            <w:vAlign w:val="center"/>
          </w:tcPr>
          <w:p>
            <w:pPr>
              <w:pStyle w:val="TableNumber"/>
            </w:pPr>
            <w:r>
              <w:t>3.58 (1/13)</w:t>
            </w:r>
          </w:p>
        </w:tc>
        <w:tc>
          <w:tcPr>
            <w:tcW w:w="1600" w:type="dxa"/>
            <w:vAlign w:val="center"/>
          </w:tcPr>
          <w:p>
            <w:pPr>
              <w:pStyle w:val="TableNumber"/>
            </w:pPr>
            <w:r>
              <w:t>-13.7% (5/13)</w:t>
            </w:r>
          </w:p>
        </w:tc>
        <w:tc>
          <w:tcPr>
            <w:tcW w:w="960" w:type="dxa"/>
            <w:vAlign w:val="center"/>
          </w:tcPr>
          <w:p>
            <w:pPr>
              <w:pStyle w:val="TableNumber"/>
            </w:pPr>
            <w:r>
              <w:t>0.510</w:t>
            </w:r>
          </w:p>
        </w:tc>
      </w:tr>
      <w:tr>
        <w:trPr>
          <w:cantSplit/>
        </w:trPr>
        <w:tc>
          <w:tcPr>
            <w:tcW w:w="650" w:type="dxa"/>
            <w:vAlign w:val="center"/>
          </w:tcPr>
          <w:p>
            <w:pPr>
              <w:pStyle w:val="TableText"/>
            </w:pPr>
            <w:r>
              <w:t>3d</w:t>
            </w:r>
          </w:p>
        </w:tc>
        <w:tc>
          <w:tcPr>
            <w:tcW w:w="1900" w:type="dxa"/>
            <w:vAlign w:val="center"/>
          </w:tcPr>
          <w:p>
            <w:pPr>
              <w:pStyle w:val="TableNumber"/>
            </w:pPr>
            <w:r>
              <w:t>0.0843 (1/13)</w:t>
            </w:r>
          </w:p>
        </w:tc>
        <w:tc>
          <w:tcPr>
            <w:tcW w:w="1100" w:type="dxa"/>
            <w:vAlign w:val="center"/>
          </w:tcPr>
          <w:p>
            <w:pPr>
              <w:pStyle w:val="TableNumber"/>
            </w:pPr>
            <w:r>
              <w:t>0.412</w:t>
            </w:r>
          </w:p>
        </w:tc>
        <w:tc>
          <w:tcPr>
            <w:tcW w:w="1500" w:type="dxa"/>
            <w:vAlign w:val="center"/>
          </w:tcPr>
          <w:p>
            <w:pPr>
              <w:pStyle w:val="TableNumber"/>
            </w:pPr>
            <w:r>
              <w:t>+1.12%</w:t>
            </w:r>
          </w:p>
        </w:tc>
        <w:tc>
          <w:tcPr>
            <w:tcW w:w="1650" w:type="dxa"/>
            <w:vAlign w:val="center"/>
          </w:tcPr>
          <w:p>
            <w:pPr>
              <w:pStyle w:val="TableNumber"/>
            </w:pPr>
            <w:r>
              <w:t>3.11 (1/13)</w:t>
            </w:r>
          </w:p>
        </w:tc>
        <w:tc>
          <w:tcPr>
            <w:tcW w:w="1600" w:type="dxa"/>
            <w:vAlign w:val="center"/>
          </w:tcPr>
          <w:p>
            <w:pPr>
              <w:pStyle w:val="TableNumber"/>
            </w:pPr>
            <w:r>
              <w:t>-23.7% (5/13)</w:t>
            </w:r>
          </w:p>
        </w:tc>
        <w:tc>
          <w:tcPr>
            <w:tcW w:w="960" w:type="dxa"/>
            <w:vAlign w:val="center"/>
          </w:tcPr>
          <w:p>
            <w:pPr>
              <w:pStyle w:val="TableNumber"/>
            </w:pPr>
            <w:r>
              <w:t>0.575</w:t>
            </w:r>
          </w:p>
        </w:tc>
      </w:tr>
      <w:tr>
        <w:trPr>
          <w:cantSplit/>
        </w:trPr>
        <w:tc>
          <w:tcPr>
            <w:tcW w:w="650" w:type="dxa"/>
            <w:vAlign w:val="center"/>
          </w:tcPr>
          <w:p>
            <w:pPr>
              <w:pStyle w:val="TableText"/>
            </w:pPr>
            <w:r>
              <w:t>4d</w:t>
            </w:r>
          </w:p>
        </w:tc>
        <w:tc>
          <w:tcPr>
            <w:tcW w:w="1900" w:type="dxa"/>
            <w:vAlign w:val="center"/>
          </w:tcPr>
          <w:p>
            <w:pPr>
              <w:pStyle w:val="TableNumber"/>
            </w:pPr>
            <w:r>
              <w:t>0.0986 (1/13)</w:t>
            </w:r>
          </w:p>
        </w:tc>
        <w:tc>
          <w:tcPr>
            <w:tcW w:w="1100" w:type="dxa"/>
            <w:vAlign w:val="center"/>
          </w:tcPr>
          <w:p>
            <w:pPr>
              <w:pStyle w:val="TableNumber"/>
            </w:pPr>
            <w:r>
              <w:t>0.489</w:t>
            </w:r>
          </w:p>
        </w:tc>
        <w:tc>
          <w:tcPr>
            <w:tcW w:w="1500" w:type="dxa"/>
            <w:vAlign w:val="center"/>
          </w:tcPr>
          <w:p>
            <w:pPr>
              <w:pStyle w:val="TableNumber"/>
            </w:pPr>
            <w:r>
              <w:t>+1.64%</w:t>
            </w:r>
          </w:p>
        </w:tc>
        <w:tc>
          <w:tcPr>
            <w:tcW w:w="1650" w:type="dxa"/>
            <w:vAlign w:val="center"/>
          </w:tcPr>
          <w:p>
            <w:pPr>
              <w:pStyle w:val="TableNumber"/>
            </w:pPr>
            <w:r>
              <w:t>3.30 (1/13)</w:t>
            </w:r>
          </w:p>
        </w:tc>
        <w:tc>
          <w:tcPr>
            <w:tcW w:w="1600" w:type="dxa"/>
            <w:vAlign w:val="center"/>
          </w:tcPr>
          <w:p>
            <w:pPr>
              <w:pStyle w:val="TableNumber"/>
            </w:pPr>
            <w:r>
              <w:t>-30.4% (6/13)</w:t>
            </w:r>
          </w:p>
        </w:tc>
        <w:tc>
          <w:tcPr>
            <w:tcW w:w="960" w:type="dxa"/>
            <w:vAlign w:val="center"/>
          </w:tcPr>
          <w:p>
            <w:pPr>
              <w:pStyle w:val="TableNumber"/>
            </w:pPr>
            <w:r>
              <w:t>0.556</w:t>
            </w:r>
          </w:p>
        </w:tc>
      </w:tr>
      <w:tr>
        <w:trPr>
          <w:cantSplit/>
        </w:trPr>
        <w:tc>
          <w:tcPr>
            <w:tcW w:w="650" w:type="dxa"/>
            <w:vAlign w:val="center"/>
          </w:tcPr>
          <w:p>
            <w:pPr>
              <w:pStyle w:val="TableText"/>
            </w:pPr>
            <w:r>
              <w:t>5d</w:t>
            </w:r>
          </w:p>
        </w:tc>
        <w:tc>
          <w:tcPr>
            <w:tcW w:w="1900" w:type="dxa"/>
            <w:vAlign w:val="center"/>
          </w:tcPr>
          <w:p>
            <w:pPr>
              <w:pStyle w:val="TableNumber"/>
            </w:pPr>
            <w:r>
              <w:t>0.1021 (1/13)</w:t>
            </w:r>
          </w:p>
        </w:tc>
        <w:tc>
          <w:tcPr>
            <w:tcW w:w="1100" w:type="dxa"/>
            <w:vAlign w:val="center"/>
          </w:tcPr>
          <w:p>
            <w:pPr>
              <w:pStyle w:val="TableNumber"/>
            </w:pPr>
            <w:r>
              <w:t>0.529</w:t>
            </w:r>
          </w:p>
        </w:tc>
        <w:tc>
          <w:tcPr>
            <w:tcW w:w="1500" w:type="dxa"/>
            <w:vAlign w:val="center"/>
          </w:tcPr>
          <w:p>
            <w:pPr>
              <w:pStyle w:val="TableNumber"/>
            </w:pPr>
            <w:r>
              <w:t>+1.94%</w:t>
            </w:r>
          </w:p>
        </w:tc>
        <w:tc>
          <w:tcPr>
            <w:tcW w:w="1650" w:type="dxa"/>
            <w:vAlign w:val="center"/>
          </w:tcPr>
          <w:p>
            <w:pPr>
              <w:pStyle w:val="TableNumber"/>
            </w:pPr>
            <w:r>
              <w:t>3.18 (1/13)</w:t>
            </w:r>
          </w:p>
        </w:tc>
        <w:tc>
          <w:tcPr>
            <w:tcW w:w="1600" w:type="dxa"/>
            <w:vAlign w:val="center"/>
          </w:tcPr>
          <w:p>
            <w:pPr>
              <w:pStyle w:val="TableNumber"/>
            </w:pPr>
            <w:r>
              <w:t>-39.8% (7/13)</w:t>
            </w:r>
          </w:p>
        </w:tc>
        <w:tc>
          <w:tcPr>
            <w:tcW w:w="960" w:type="dxa"/>
            <w:vAlign w:val="center"/>
          </w:tcPr>
          <w:p>
            <w:pPr>
              <w:pStyle w:val="TableNumber"/>
            </w:pPr>
            <w:r>
              <w:t>0.575</w:t>
            </w:r>
          </w:p>
        </w:tc>
      </w:tr>
      <w:tr>
        <w:trPr>
          <w:cantSplit/>
        </w:trPr>
        <w:tc>
          <w:tcPr>
            <w:tcW w:w="650" w:type="dxa"/>
            <w:vAlign w:val="center"/>
          </w:tcPr>
          <w:p>
            <w:pPr>
              <w:pStyle w:val="TableText"/>
            </w:pPr>
            <w:r>
              <w:t>6d</w:t>
            </w:r>
          </w:p>
        </w:tc>
        <w:tc>
          <w:tcPr>
            <w:tcW w:w="1900" w:type="dxa"/>
            <w:vAlign w:val="center"/>
          </w:tcPr>
          <w:p>
            <w:pPr>
              <w:pStyle w:val="TableNumber"/>
            </w:pPr>
            <w:r>
              <w:t>0.0998 (1/13)</w:t>
            </w:r>
          </w:p>
        </w:tc>
        <w:tc>
          <w:tcPr>
            <w:tcW w:w="1100" w:type="dxa"/>
            <w:vAlign w:val="center"/>
          </w:tcPr>
          <w:p>
            <w:pPr>
              <w:pStyle w:val="TableNumber"/>
            </w:pPr>
            <w:r>
              <w:t>0.498</w:t>
            </w:r>
          </w:p>
        </w:tc>
        <w:tc>
          <w:tcPr>
            <w:tcW w:w="1500" w:type="dxa"/>
            <w:vAlign w:val="center"/>
          </w:tcPr>
          <w:p>
            <w:pPr>
              <w:pStyle w:val="TableNumber"/>
            </w:pPr>
            <w:r>
              <w:t>+2.24%</w:t>
            </w:r>
          </w:p>
        </w:tc>
        <w:tc>
          <w:tcPr>
            <w:tcW w:w="1650" w:type="dxa"/>
            <w:vAlign w:val="center"/>
          </w:tcPr>
          <w:p>
            <w:pPr>
              <w:pStyle w:val="TableNumber"/>
            </w:pPr>
            <w:r>
              <w:t>3.05 (1/13)</w:t>
            </w:r>
          </w:p>
        </w:tc>
        <w:tc>
          <w:tcPr>
            <w:tcW w:w="1600" w:type="dxa"/>
            <w:vAlign w:val="center"/>
          </w:tcPr>
          <w:p>
            <w:pPr>
              <w:pStyle w:val="TableNumber"/>
            </w:pPr>
            <w:r>
              <w:t>-47.2% (6/13)</w:t>
            </w:r>
          </w:p>
        </w:tc>
        <w:tc>
          <w:tcPr>
            <w:tcW w:w="960" w:type="dxa"/>
            <w:vAlign w:val="center"/>
          </w:tcPr>
          <w:p>
            <w:pPr>
              <w:pStyle w:val="TableNumber"/>
            </w:pPr>
            <w:r>
              <w:t>0.567</w:t>
            </w:r>
          </w:p>
        </w:tc>
      </w:tr>
      <w:tr>
        <w:trPr>
          <w:cantSplit/>
        </w:trPr>
        <w:tc>
          <w:tcPr>
            <w:tcW w:w="650" w:type="dxa"/>
            <w:vAlign w:val="center"/>
          </w:tcPr>
          <w:p>
            <w:pPr>
              <w:pStyle w:val="TableText"/>
            </w:pPr>
            <w:r>
              <w:t>7d</w:t>
            </w:r>
          </w:p>
        </w:tc>
        <w:tc>
          <w:tcPr>
            <w:tcW w:w="1900" w:type="dxa"/>
            <w:vAlign w:val="center"/>
          </w:tcPr>
          <w:p>
            <w:pPr>
              <w:pStyle w:val="TableNumber"/>
            </w:pPr>
            <w:r>
              <w:t>0.1000 (1/13)</w:t>
            </w:r>
          </w:p>
        </w:tc>
        <w:tc>
          <w:tcPr>
            <w:tcW w:w="1100" w:type="dxa"/>
            <w:vAlign w:val="center"/>
          </w:tcPr>
          <w:p>
            <w:pPr>
              <w:pStyle w:val="TableNumber"/>
            </w:pPr>
            <w:r>
              <w:t>0.484</w:t>
            </w:r>
          </w:p>
        </w:tc>
        <w:tc>
          <w:tcPr>
            <w:tcW w:w="1500" w:type="dxa"/>
            <w:vAlign w:val="center"/>
          </w:tcPr>
          <w:p>
            <w:pPr>
              <w:pStyle w:val="TableNumber"/>
            </w:pPr>
            <w:r>
              <w:t>+2.60%</w:t>
            </w:r>
          </w:p>
        </w:tc>
        <w:tc>
          <w:tcPr>
            <w:tcW w:w="1650" w:type="dxa"/>
            <w:vAlign w:val="center"/>
          </w:tcPr>
          <w:p>
            <w:pPr>
              <w:pStyle w:val="TableNumber"/>
            </w:pPr>
            <w:r>
              <w:t>2.91 (1/13)</w:t>
            </w:r>
          </w:p>
        </w:tc>
        <w:tc>
          <w:tcPr>
            <w:tcW w:w="1600" w:type="dxa"/>
            <w:vAlign w:val="center"/>
          </w:tcPr>
          <w:p>
            <w:pPr>
              <w:pStyle w:val="TableNumber"/>
            </w:pPr>
            <w:r>
              <w:t>-51.6% (7/13)</w:t>
            </w:r>
          </w:p>
        </w:tc>
        <w:tc>
          <w:tcPr>
            <w:tcW w:w="960" w:type="dxa"/>
            <w:vAlign w:val="center"/>
          </w:tcPr>
          <w:p>
            <w:pPr>
              <w:pStyle w:val="TableNumber"/>
            </w:pPr>
            <w:r>
              <w:t>0.561</w:t>
            </w:r>
          </w:p>
        </w:tc>
      </w:tr>
      <w:tr>
        <w:trPr>
          <w:cantSplit/>
        </w:trPr>
        <w:tc>
          <w:tcPr>
            <w:tcW w:w="650" w:type="dxa"/>
            <w:vAlign w:val="center"/>
          </w:tcPr>
          <w:p>
            <w:pPr>
              <w:pStyle w:val="TableText"/>
            </w:pPr>
            <w:r>
              <w:t>8d</w:t>
            </w:r>
          </w:p>
        </w:tc>
        <w:tc>
          <w:tcPr>
            <w:tcW w:w="1900" w:type="dxa"/>
            <w:vAlign w:val="center"/>
          </w:tcPr>
          <w:p>
            <w:pPr>
              <w:pStyle w:val="TableNumber"/>
            </w:pPr>
            <w:r>
              <w:t>0.0967 (1/13)</w:t>
            </w:r>
          </w:p>
        </w:tc>
        <w:tc>
          <w:tcPr>
            <w:tcW w:w="1100" w:type="dxa"/>
            <w:vAlign w:val="center"/>
          </w:tcPr>
          <w:p>
            <w:pPr>
              <w:pStyle w:val="TableNumber"/>
            </w:pPr>
            <w:r>
              <w:t>0.473</w:t>
            </w:r>
          </w:p>
        </w:tc>
        <w:tc>
          <w:tcPr>
            <w:tcW w:w="1500" w:type="dxa"/>
            <w:vAlign w:val="center"/>
          </w:tcPr>
          <w:p>
            <w:pPr>
              <w:pStyle w:val="TableNumber"/>
            </w:pPr>
            <w:r>
              <w:t>+2.62%</w:t>
            </w:r>
          </w:p>
        </w:tc>
        <w:tc>
          <w:tcPr>
            <w:tcW w:w="1650" w:type="dxa"/>
            <w:vAlign w:val="center"/>
          </w:tcPr>
          <w:p>
            <w:pPr>
              <w:pStyle w:val="TableNumber"/>
            </w:pPr>
            <w:r>
              <w:t>2.62 (1/13)</w:t>
            </w:r>
          </w:p>
        </w:tc>
        <w:tc>
          <w:tcPr>
            <w:tcW w:w="1600" w:type="dxa"/>
            <w:vAlign w:val="center"/>
          </w:tcPr>
          <w:p>
            <w:pPr>
              <w:pStyle w:val="TableNumber"/>
            </w:pPr>
            <w:r>
              <w:t>-58.2% (7/13)</w:t>
            </w:r>
          </w:p>
        </w:tc>
        <w:tc>
          <w:tcPr>
            <w:tcW w:w="960" w:type="dxa"/>
            <w:vAlign w:val="center"/>
          </w:tcPr>
          <w:p>
            <w:pPr>
              <w:pStyle w:val="TableNumber"/>
            </w:pPr>
            <w:r>
              <w:t>0.581</w:t>
            </w:r>
          </w:p>
        </w:tc>
      </w:tr>
      <w:tr>
        <w:trPr>
          <w:cantSplit/>
        </w:trPr>
        <w:tc>
          <w:tcPr>
            <w:tcW w:w="650" w:type="dxa"/>
            <w:vAlign w:val="center"/>
          </w:tcPr>
          <w:p>
            <w:pPr>
              <w:pStyle w:val="TableText"/>
            </w:pPr>
            <w:r>
              <w:t>9d</w:t>
            </w:r>
          </w:p>
        </w:tc>
        <w:tc>
          <w:tcPr>
            <w:tcW w:w="1900" w:type="dxa"/>
            <w:vAlign w:val="center"/>
          </w:tcPr>
          <w:p>
            <w:pPr>
              <w:pStyle w:val="TableNumber"/>
            </w:pPr>
            <w:r>
              <w:t>0.0982 (1/13)</w:t>
            </w:r>
          </w:p>
        </w:tc>
        <w:tc>
          <w:tcPr>
            <w:tcW w:w="1100" w:type="dxa"/>
            <w:vAlign w:val="center"/>
          </w:tcPr>
          <w:p>
            <w:pPr>
              <w:pStyle w:val="TableNumber"/>
            </w:pPr>
            <w:r>
              <w:t>0.468</w:t>
            </w:r>
          </w:p>
        </w:tc>
        <w:tc>
          <w:tcPr>
            <w:tcW w:w="1500" w:type="dxa"/>
            <w:vAlign w:val="center"/>
          </w:tcPr>
          <w:p>
            <w:pPr>
              <w:pStyle w:val="TableNumber"/>
            </w:pPr>
            <w:r>
              <w:t>+3.13%</w:t>
            </w:r>
          </w:p>
        </w:tc>
        <w:tc>
          <w:tcPr>
            <w:tcW w:w="1650" w:type="dxa"/>
            <w:vAlign w:val="center"/>
          </w:tcPr>
          <w:p>
            <w:pPr>
              <w:pStyle w:val="TableNumber"/>
            </w:pPr>
            <w:r>
              <w:t>2.74 (1/13)</w:t>
            </w:r>
          </w:p>
        </w:tc>
        <w:tc>
          <w:tcPr>
            <w:tcW w:w="1600" w:type="dxa"/>
            <w:vAlign w:val="center"/>
          </w:tcPr>
          <w:p>
            <w:pPr>
              <w:pStyle w:val="TableNumber"/>
            </w:pPr>
            <w:r>
              <w:t>-57.4% (7/13)</w:t>
            </w:r>
          </w:p>
        </w:tc>
        <w:tc>
          <w:tcPr>
            <w:tcW w:w="960" w:type="dxa"/>
            <w:vAlign w:val="center"/>
          </w:tcPr>
          <w:p>
            <w:pPr>
              <w:pStyle w:val="TableNumber"/>
            </w:pPr>
            <w:r>
              <w:t>0.567</w:t>
            </w:r>
          </w:p>
        </w:tc>
      </w:tr>
      <w:tr>
        <w:trPr>
          <w:cantSplit/>
        </w:trPr>
        <w:tc>
          <w:tcPr>
            <w:tcW w:w="650" w:type="dxa"/>
            <w:vAlign w:val="center"/>
          </w:tcPr>
          <w:p>
            <w:pPr>
              <w:pStyle w:val="TableText"/>
            </w:pPr>
            <w:r>
              <w:t>10d</w:t>
            </w:r>
          </w:p>
        </w:tc>
        <w:tc>
          <w:tcPr>
            <w:tcW w:w="1900" w:type="dxa"/>
            <w:vAlign w:val="center"/>
          </w:tcPr>
          <w:p>
            <w:pPr>
              <w:pStyle w:val="TableNumber"/>
            </w:pPr>
            <w:r>
              <w:t>0.0971 (1/13)</w:t>
            </w:r>
          </w:p>
        </w:tc>
        <w:tc>
          <w:tcPr>
            <w:tcW w:w="1100" w:type="dxa"/>
            <w:vAlign w:val="center"/>
          </w:tcPr>
          <w:p>
            <w:pPr>
              <w:pStyle w:val="TableNumber"/>
            </w:pPr>
            <w:r>
              <w:t>0.463</w:t>
            </w:r>
          </w:p>
        </w:tc>
        <w:tc>
          <w:tcPr>
            <w:tcW w:w="1500" w:type="dxa"/>
            <w:vAlign w:val="center"/>
          </w:tcPr>
          <w:p>
            <w:pPr>
              <w:pStyle w:val="TableNumber"/>
            </w:pPr>
            <w:r>
              <w:t>+3.26%</w:t>
            </w:r>
          </w:p>
        </w:tc>
        <w:tc>
          <w:tcPr>
            <w:tcW w:w="1650" w:type="dxa"/>
            <w:vAlign w:val="center"/>
          </w:tcPr>
          <w:p>
            <w:pPr>
              <w:pStyle w:val="TableNumber"/>
            </w:pPr>
            <w:r>
              <w:t>2.61 (1/13)</w:t>
            </w:r>
          </w:p>
        </w:tc>
        <w:tc>
          <w:tcPr>
            <w:tcW w:w="1600" w:type="dxa"/>
            <w:vAlign w:val="center"/>
          </w:tcPr>
          <w:p>
            <w:pPr>
              <w:pStyle w:val="TableNumber"/>
            </w:pPr>
            <w:r>
              <w:t>-62.2% (8/13)</w:t>
            </w:r>
          </w:p>
        </w:tc>
        <w:tc>
          <w:tcPr>
            <w:tcW w:w="960" w:type="dxa"/>
            <w:vAlign w:val="center"/>
          </w:tcPr>
          <w:p>
            <w:pPr>
              <w:pStyle w:val="TableNumber"/>
            </w:pPr>
            <w:r>
              <w:t>0.585</w:t>
            </w:r>
          </w:p>
        </w:tc>
      </w:tr>
      <w:tr>
        <w:trPr>
          <w:cantSplit/>
        </w:trPr>
        <w:tc>
          <w:tcPr>
            <w:tcW w:w="650" w:type="dxa"/>
            <w:vAlign w:val="center"/>
          </w:tcPr>
          <w:p>
            <w:pPr>
              <w:pStyle w:val="TableText"/>
            </w:pPr>
            <w:r>
              <w:t>11d</w:t>
            </w:r>
          </w:p>
        </w:tc>
        <w:tc>
          <w:tcPr>
            <w:tcW w:w="1900" w:type="dxa"/>
            <w:vAlign w:val="center"/>
          </w:tcPr>
          <w:p>
            <w:pPr>
              <w:pStyle w:val="TableNumber"/>
            </w:pPr>
            <w:r>
              <w:t>0.0972 (1/13)</w:t>
            </w:r>
          </w:p>
        </w:tc>
        <w:tc>
          <w:tcPr>
            <w:tcW w:w="1100" w:type="dxa"/>
            <w:vAlign w:val="center"/>
          </w:tcPr>
          <w:p>
            <w:pPr>
              <w:pStyle w:val="TableNumber"/>
            </w:pPr>
            <w:r>
              <w:t>0.480</w:t>
            </w:r>
          </w:p>
        </w:tc>
        <w:tc>
          <w:tcPr>
            <w:tcW w:w="1500" w:type="dxa"/>
            <w:vAlign w:val="center"/>
          </w:tcPr>
          <w:p>
            <w:pPr>
              <w:pStyle w:val="TableNumber"/>
            </w:pPr>
            <w:r>
              <w:t>+3.45%</w:t>
            </w:r>
          </w:p>
        </w:tc>
        <w:tc>
          <w:tcPr>
            <w:tcW w:w="1650" w:type="dxa"/>
            <w:vAlign w:val="center"/>
          </w:tcPr>
          <w:p>
            <w:pPr>
              <w:pStyle w:val="TableNumber"/>
            </w:pPr>
            <w:r>
              <w:t>2.55 (1/13)</w:t>
            </w:r>
          </w:p>
        </w:tc>
        <w:tc>
          <w:tcPr>
            <w:tcW w:w="1600" w:type="dxa"/>
            <w:vAlign w:val="center"/>
          </w:tcPr>
          <w:p>
            <w:pPr>
              <w:pStyle w:val="TableNumber"/>
            </w:pPr>
            <w:r>
              <w:t>-64.5% (7/13)</w:t>
            </w:r>
          </w:p>
        </w:tc>
        <w:tc>
          <w:tcPr>
            <w:tcW w:w="960" w:type="dxa"/>
            <w:vAlign w:val="center"/>
          </w:tcPr>
          <w:p>
            <w:pPr>
              <w:pStyle w:val="TableNumber"/>
            </w:pPr>
            <w:r>
              <w:t>0.576</w:t>
            </w:r>
          </w:p>
        </w:tc>
      </w:tr>
      <w:tr>
        <w:trPr>
          <w:cantSplit/>
        </w:trPr>
        <w:tc>
          <w:tcPr>
            <w:tcW w:w="650" w:type="dxa"/>
            <w:vAlign w:val="center"/>
          </w:tcPr>
          <w:p>
            <w:pPr>
              <w:pStyle w:val="TableText"/>
            </w:pPr>
            <w:r>
              <w:t>12d</w:t>
            </w:r>
          </w:p>
        </w:tc>
        <w:tc>
          <w:tcPr>
            <w:tcW w:w="1900" w:type="dxa"/>
            <w:vAlign w:val="center"/>
          </w:tcPr>
          <w:p>
            <w:pPr>
              <w:pStyle w:val="TableNumber"/>
            </w:pPr>
            <w:r>
              <w:t>0.0935 (1/13)</w:t>
            </w:r>
          </w:p>
        </w:tc>
        <w:tc>
          <w:tcPr>
            <w:tcW w:w="1100" w:type="dxa"/>
            <w:vAlign w:val="center"/>
          </w:tcPr>
          <w:p>
            <w:pPr>
              <w:pStyle w:val="TableNumber"/>
            </w:pPr>
            <w:r>
              <w:t>0.463</w:t>
            </w:r>
          </w:p>
        </w:tc>
        <w:tc>
          <w:tcPr>
            <w:tcW w:w="1500" w:type="dxa"/>
            <w:vAlign w:val="center"/>
          </w:tcPr>
          <w:p>
            <w:pPr>
              <w:pStyle w:val="TableNumber"/>
            </w:pPr>
            <w:r>
              <w:t>+3.78%</w:t>
            </w:r>
          </w:p>
        </w:tc>
        <w:tc>
          <w:tcPr>
            <w:tcW w:w="1650" w:type="dxa"/>
            <w:vAlign w:val="center"/>
          </w:tcPr>
          <w:p>
            <w:pPr>
              <w:pStyle w:val="TableNumber"/>
            </w:pPr>
            <w:r>
              <w:t>2.54 (1/13)</w:t>
            </w:r>
          </w:p>
        </w:tc>
        <w:tc>
          <w:tcPr>
            <w:tcW w:w="1600" w:type="dxa"/>
            <w:vAlign w:val="center"/>
          </w:tcPr>
          <w:p>
            <w:pPr>
              <w:pStyle w:val="TableNumber"/>
            </w:pPr>
            <w:r>
              <w:t>-66.0% (8/13)</w:t>
            </w:r>
          </w:p>
        </w:tc>
        <w:tc>
          <w:tcPr>
            <w:tcW w:w="960" w:type="dxa"/>
            <w:vAlign w:val="center"/>
          </w:tcPr>
          <w:p>
            <w:pPr>
              <w:pStyle w:val="TableNumber"/>
            </w:pPr>
            <w:r>
              <w:t>0.558</w:t>
            </w:r>
          </w:p>
        </w:tc>
      </w:tr>
      <w:tr>
        <w:trPr>
          <w:cantSplit/>
        </w:trPr>
        <w:tc>
          <w:tcPr>
            <w:tcW w:w="650" w:type="dxa"/>
            <w:vAlign w:val="center"/>
          </w:tcPr>
          <w:p>
            <w:pPr>
              <w:pStyle w:val="TableText"/>
            </w:pPr>
            <w:r>
              <w:t>13d</w:t>
            </w:r>
          </w:p>
        </w:tc>
        <w:tc>
          <w:tcPr>
            <w:tcW w:w="1900" w:type="dxa"/>
            <w:vAlign w:val="center"/>
          </w:tcPr>
          <w:p>
            <w:pPr>
              <w:pStyle w:val="TableNumber"/>
            </w:pPr>
            <w:r>
              <w:t>0.0949 (1/13)</w:t>
            </w:r>
          </w:p>
        </w:tc>
        <w:tc>
          <w:tcPr>
            <w:tcW w:w="1100" w:type="dxa"/>
            <w:vAlign w:val="center"/>
          </w:tcPr>
          <w:p>
            <w:pPr>
              <w:pStyle w:val="TableNumber"/>
            </w:pPr>
            <w:r>
              <w:t>0.462</w:t>
            </w:r>
          </w:p>
        </w:tc>
        <w:tc>
          <w:tcPr>
            <w:tcW w:w="1500" w:type="dxa"/>
            <w:vAlign w:val="center"/>
          </w:tcPr>
          <w:p>
            <w:pPr>
              <w:pStyle w:val="TableNumber"/>
            </w:pPr>
            <w:r>
              <w:t>+3.85%</w:t>
            </w:r>
          </w:p>
        </w:tc>
        <w:tc>
          <w:tcPr>
            <w:tcW w:w="1650" w:type="dxa"/>
            <w:vAlign w:val="center"/>
          </w:tcPr>
          <w:p>
            <w:pPr>
              <w:pStyle w:val="TableNumber"/>
            </w:pPr>
            <w:r>
              <w:t>2.40 (1/13)</w:t>
            </w:r>
          </w:p>
        </w:tc>
        <w:tc>
          <w:tcPr>
            <w:tcW w:w="1600" w:type="dxa"/>
            <w:vAlign w:val="center"/>
          </w:tcPr>
          <w:p>
            <w:pPr>
              <w:pStyle w:val="TableNumber"/>
            </w:pPr>
            <w:r>
              <w:t>-68.0% (8/13)</w:t>
            </w:r>
          </w:p>
        </w:tc>
        <w:tc>
          <w:tcPr>
            <w:tcW w:w="960" w:type="dxa"/>
            <w:vAlign w:val="center"/>
          </w:tcPr>
          <w:p>
            <w:pPr>
              <w:pStyle w:val="TableNumber"/>
            </w:pPr>
            <w:r>
              <w:t>0.581</w:t>
            </w:r>
          </w:p>
        </w:tc>
      </w:tr>
      <w:tr>
        <w:trPr>
          <w:cantSplit/>
        </w:trPr>
        <w:tc>
          <w:tcPr>
            <w:tcW w:w="650" w:type="dxa"/>
            <w:vAlign w:val="center"/>
          </w:tcPr>
          <w:p>
            <w:pPr>
              <w:pStyle w:val="TableText"/>
            </w:pPr>
            <w:r>
              <w:t>14d</w:t>
            </w:r>
          </w:p>
        </w:tc>
        <w:tc>
          <w:tcPr>
            <w:tcW w:w="1900" w:type="dxa"/>
            <w:vAlign w:val="center"/>
          </w:tcPr>
          <w:p>
            <w:pPr>
              <w:pStyle w:val="TableNumber"/>
            </w:pPr>
            <w:r>
              <w:t>0.0964 (1/13)</w:t>
            </w:r>
          </w:p>
        </w:tc>
        <w:tc>
          <w:tcPr>
            <w:tcW w:w="1100" w:type="dxa"/>
            <w:vAlign w:val="center"/>
          </w:tcPr>
          <w:p>
            <w:pPr>
              <w:pStyle w:val="TableNumber"/>
            </w:pPr>
            <w:r>
              <w:t>0.476</w:t>
            </w:r>
          </w:p>
        </w:tc>
        <w:tc>
          <w:tcPr>
            <w:tcW w:w="1500" w:type="dxa"/>
            <w:vAlign w:val="center"/>
          </w:tcPr>
          <w:p>
            <w:pPr>
              <w:pStyle w:val="TableNumber"/>
            </w:pPr>
            <w:r>
              <w:t>+4.05%</w:t>
            </w:r>
          </w:p>
        </w:tc>
        <w:tc>
          <w:tcPr>
            <w:tcW w:w="1650" w:type="dxa"/>
            <w:vAlign w:val="center"/>
          </w:tcPr>
          <w:p>
            <w:pPr>
              <w:pStyle w:val="TableNumber"/>
            </w:pPr>
            <w:r>
              <w:t>2.33 (1/13)</w:t>
            </w:r>
          </w:p>
        </w:tc>
        <w:tc>
          <w:tcPr>
            <w:tcW w:w="1600" w:type="dxa"/>
            <w:vAlign w:val="center"/>
          </w:tcPr>
          <w:p>
            <w:pPr>
              <w:pStyle w:val="TableNumber"/>
            </w:pPr>
            <w:r>
              <w:t>-69.5% (6/13)</w:t>
            </w:r>
          </w:p>
        </w:tc>
        <w:tc>
          <w:tcPr>
            <w:tcW w:w="960" w:type="dxa"/>
            <w:vAlign w:val="center"/>
          </w:tcPr>
          <w:p>
            <w:pPr>
              <w:pStyle w:val="TableNumber"/>
            </w:pPr>
            <w:r>
              <w:t>0.576</w:t>
            </w:r>
          </w:p>
        </w:tc>
      </w:tr>
    </w:tbl>
    <w:p>
      <w:pPr>
        <w:pStyle w:val="a"/>
      </w:pPr>
      <w:r>
        <w:t>RankIC and net Sharpe are positive and rank first at all 14 horizons. Maximum drawdown ranks only 3 through 8 and deepens from -9.9% at day 1 to -69.5% at day 14. Stage 2 strengthens cross-sectional ranking relative to Stage 1, but the capital path still deteriorates at longer horizons.</w:t>
      </w:r>
    </w:p>
    <w:p>
      <w:pPr>
        <w:pStyle w:val="Note"/>
      </w:pPr>
      <w:r>
        <w:t>Forward returns can overlap across horizons. Sharpe uses sqrt(252/h) without an autocorrelation correction and omits complete market impact, borrow, capacity, slippage, and tax models.</w:t>
      </w:r>
    </w:p>
    <w:p>
      <w:pPr>
        <w:pStyle w:val="11"/>
      </w:pPr>
      <w:r>
        <w:t>7. Derived signal distribution across all horizons</w:t>
      </w:r>
    </w:p>
    <w:p>
      <w:pPr>
        <w:pStyle w:val="Decision"/>
        <w:keepNext/>
        <w:spacing w:after="80"/>
      </w:pPr>
      <w:r>
        <w:t>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w:t>
            </w:r>
          </w:p>
        </w:tc>
      </w:tr>
      <w:tr>
        <w:trPr>
          <w:cantSplit/>
        </w:trPr>
        <w:tc>
          <w:tcPr>
            <w:tcW w:w="900" w:type="dxa"/>
            <w:vAlign w:val="center"/>
          </w:tcPr>
          <w:p>
            <w:pPr>
              <w:pStyle w:val="TableText"/>
            </w:pPr>
            <w:r>
              <w:t>1d</w:t>
            </w:r>
          </w:p>
        </w:tc>
        <w:tc>
          <w:tcPr>
            <w:tcW w:w="1800" w:type="dxa"/>
            <w:vAlign w:val="center"/>
          </w:tcPr>
          <w:p>
            <w:pPr>
              <w:pStyle w:val="TableNumber"/>
            </w:pPr>
            <w:r>
              <w:t>10.06%</w:t>
            </w:r>
          </w:p>
        </w:tc>
        <w:tc>
          <w:tcPr>
            <w:tcW w:w="1800" w:type="dxa"/>
            <w:vAlign w:val="center"/>
          </w:tcPr>
          <w:p>
            <w:pPr>
              <w:pStyle w:val="TableNumber"/>
            </w:pPr>
            <w:r>
              <w:t>0.64%</w:t>
            </w:r>
          </w:p>
        </w:tc>
        <w:tc>
          <w:tcPr>
            <w:tcW w:w="1800" w:type="dxa"/>
            <w:vAlign w:val="center"/>
          </w:tcPr>
          <w:p>
            <w:pPr>
              <w:pStyle w:val="TableNumber"/>
            </w:pPr>
            <w:r>
              <w:t>88.38%</w:t>
            </w:r>
          </w:p>
        </w:tc>
        <w:tc>
          <w:tcPr>
            <w:tcW w:w="3060" w:type="dxa"/>
            <w:vAlign w:val="center"/>
          </w:tcPr>
          <w:p>
            <w:pPr>
              <w:pStyle w:val="TableNumber"/>
            </w:pPr>
            <w:r>
              <w:t>0/184</w:t>
            </w:r>
          </w:p>
        </w:tc>
      </w:tr>
      <w:tr>
        <w:trPr>
          <w:cantSplit/>
        </w:trPr>
        <w:tc>
          <w:tcPr>
            <w:tcW w:w="900" w:type="dxa"/>
            <w:vAlign w:val="center"/>
          </w:tcPr>
          <w:p>
            <w:pPr>
              <w:pStyle w:val="TableText"/>
            </w:pPr>
            <w:r>
              <w:t>2d</w:t>
            </w:r>
          </w:p>
        </w:tc>
        <w:tc>
          <w:tcPr>
            <w:tcW w:w="1800" w:type="dxa"/>
            <w:vAlign w:val="center"/>
          </w:tcPr>
          <w:p>
            <w:pPr>
              <w:pStyle w:val="TableNumber"/>
            </w:pPr>
            <w:r>
              <w:t>36.66%</w:t>
            </w:r>
          </w:p>
        </w:tc>
        <w:tc>
          <w:tcPr>
            <w:tcW w:w="1800" w:type="dxa"/>
            <w:vAlign w:val="center"/>
          </w:tcPr>
          <w:p>
            <w:pPr>
              <w:pStyle w:val="TableNumber"/>
            </w:pPr>
            <w:r>
              <w:t>1.14%</w:t>
            </w:r>
          </w:p>
        </w:tc>
        <w:tc>
          <w:tcPr>
            <w:tcW w:w="1800" w:type="dxa"/>
            <w:vAlign w:val="center"/>
          </w:tcPr>
          <w:p>
            <w:pPr>
              <w:pStyle w:val="TableNumber"/>
            </w:pPr>
            <w:r>
              <w:t>62.20%</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60.70%</w:t>
            </w:r>
          </w:p>
        </w:tc>
        <w:tc>
          <w:tcPr>
            <w:tcW w:w="1800" w:type="dxa"/>
            <w:vAlign w:val="center"/>
          </w:tcPr>
          <w:p>
            <w:pPr>
              <w:pStyle w:val="TableNumber"/>
            </w:pPr>
            <w:r>
              <w:t>1.36%</w:t>
            </w:r>
          </w:p>
        </w:tc>
        <w:tc>
          <w:tcPr>
            <w:tcW w:w="1800" w:type="dxa"/>
            <w:vAlign w:val="center"/>
          </w:tcPr>
          <w:p>
            <w:pPr>
              <w:pStyle w:val="TableNumber"/>
            </w:pPr>
            <w:r>
              <w:t>37.94%</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67.18%</w:t>
            </w:r>
          </w:p>
        </w:tc>
        <w:tc>
          <w:tcPr>
            <w:tcW w:w="1800" w:type="dxa"/>
            <w:vAlign w:val="center"/>
          </w:tcPr>
          <w:p>
            <w:pPr>
              <w:pStyle w:val="TableNumber"/>
            </w:pPr>
            <w:r>
              <w:t>0.94%</w:t>
            </w:r>
          </w:p>
        </w:tc>
        <w:tc>
          <w:tcPr>
            <w:tcW w:w="1800" w:type="dxa"/>
            <w:vAlign w:val="center"/>
          </w:tcPr>
          <w:p>
            <w:pPr>
              <w:pStyle w:val="TableNumber"/>
            </w:pPr>
            <w:r>
              <w:t>31.88%</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72.47%</w:t>
            </w:r>
          </w:p>
        </w:tc>
        <w:tc>
          <w:tcPr>
            <w:tcW w:w="1800" w:type="dxa"/>
            <w:vAlign w:val="center"/>
          </w:tcPr>
          <w:p>
            <w:pPr>
              <w:pStyle w:val="TableNumber"/>
            </w:pPr>
            <w:r>
              <w:t>0.78%</w:t>
            </w:r>
          </w:p>
        </w:tc>
        <w:tc>
          <w:tcPr>
            <w:tcW w:w="1800" w:type="dxa"/>
            <w:vAlign w:val="center"/>
          </w:tcPr>
          <w:p>
            <w:pPr>
              <w:pStyle w:val="TableNumber"/>
            </w:pPr>
            <w:r>
              <w:t>25.82%</w:t>
            </w:r>
          </w:p>
        </w:tc>
        <w:tc>
          <w:tcPr>
            <w:tcW w:w="3060" w:type="dxa"/>
            <w:vAlign w:val="center"/>
          </w:tcPr>
          <w:p>
            <w:pPr>
              <w:pStyle w:val="TableNumber"/>
            </w:pPr>
            <w:r>
              <w:t>187/0</w:t>
            </w:r>
          </w:p>
        </w:tc>
      </w:tr>
      <w:tr>
        <w:trPr>
          <w:cantSplit/>
        </w:trPr>
        <w:tc>
          <w:tcPr>
            <w:tcW w:w="900" w:type="dxa"/>
            <w:vAlign w:val="center"/>
          </w:tcPr>
          <w:p>
            <w:pPr>
              <w:pStyle w:val="TableText"/>
            </w:pPr>
            <w:r>
              <w:t>6d</w:t>
            </w:r>
          </w:p>
        </w:tc>
        <w:tc>
          <w:tcPr>
            <w:tcW w:w="1800" w:type="dxa"/>
            <w:vAlign w:val="center"/>
          </w:tcPr>
          <w:p>
            <w:pPr>
              <w:pStyle w:val="TableNumber"/>
            </w:pPr>
            <w:r>
              <w:t>79.15%</w:t>
            </w:r>
          </w:p>
        </w:tc>
        <w:tc>
          <w:tcPr>
            <w:tcW w:w="1800" w:type="dxa"/>
            <w:vAlign w:val="center"/>
          </w:tcPr>
          <w:p>
            <w:pPr>
              <w:pStyle w:val="TableNumber"/>
            </w:pPr>
            <w:r>
              <w:t>0.51%</w:t>
            </w:r>
          </w:p>
        </w:tc>
        <w:tc>
          <w:tcPr>
            <w:tcW w:w="1800" w:type="dxa"/>
            <w:vAlign w:val="center"/>
          </w:tcPr>
          <w:p>
            <w:pPr>
              <w:pStyle w:val="TableNumber"/>
            </w:pPr>
            <w:r>
              <w:t>19.35%</w:t>
            </w:r>
          </w:p>
        </w:tc>
        <w:tc>
          <w:tcPr>
            <w:tcW w:w="3060" w:type="dxa"/>
            <w:vAlign w:val="center"/>
          </w:tcPr>
          <w:p>
            <w:pPr>
              <w:pStyle w:val="TableNumber"/>
            </w:pPr>
            <w:r>
              <w:t>196/3</w:t>
            </w:r>
          </w:p>
        </w:tc>
      </w:tr>
      <w:tr>
        <w:trPr>
          <w:cantSplit/>
        </w:trPr>
        <w:tc>
          <w:tcPr>
            <w:tcW w:w="900" w:type="dxa"/>
            <w:vAlign w:val="center"/>
          </w:tcPr>
          <w:p>
            <w:pPr>
              <w:pStyle w:val="TableText"/>
            </w:pPr>
            <w:r>
              <w:t>7d</w:t>
            </w:r>
          </w:p>
        </w:tc>
        <w:tc>
          <w:tcPr>
            <w:tcW w:w="1800" w:type="dxa"/>
            <w:vAlign w:val="center"/>
          </w:tcPr>
          <w:p>
            <w:pPr>
              <w:pStyle w:val="TableNumber"/>
            </w:pPr>
            <w:r>
              <w:t>78.56%</w:t>
            </w:r>
          </w:p>
        </w:tc>
        <w:tc>
          <w:tcPr>
            <w:tcW w:w="1800" w:type="dxa"/>
            <w:vAlign w:val="center"/>
          </w:tcPr>
          <w:p>
            <w:pPr>
              <w:pStyle w:val="TableNumber"/>
            </w:pPr>
            <w:r>
              <w:t>0.43%</w:t>
            </w:r>
          </w:p>
        </w:tc>
        <w:tc>
          <w:tcPr>
            <w:tcW w:w="1800" w:type="dxa"/>
            <w:vAlign w:val="center"/>
          </w:tcPr>
          <w:p>
            <w:pPr>
              <w:pStyle w:val="TableNumber"/>
            </w:pPr>
            <w:r>
              <w:t>19.49%</w:t>
            </w:r>
          </w:p>
        </w:tc>
        <w:tc>
          <w:tcPr>
            <w:tcW w:w="3060" w:type="dxa"/>
            <w:vAlign w:val="center"/>
          </w:tcPr>
          <w:p>
            <w:pPr>
              <w:pStyle w:val="TableNumber"/>
            </w:pPr>
            <w:r>
              <w:t>217/86</w:t>
            </w:r>
          </w:p>
        </w:tc>
      </w:tr>
      <w:tr>
        <w:trPr>
          <w:cantSplit/>
        </w:trPr>
        <w:tc>
          <w:tcPr>
            <w:tcW w:w="900" w:type="dxa"/>
            <w:vAlign w:val="center"/>
          </w:tcPr>
          <w:p>
            <w:pPr>
              <w:pStyle w:val="TableText"/>
            </w:pPr>
            <w:r>
              <w:t>8d</w:t>
            </w:r>
          </w:p>
        </w:tc>
        <w:tc>
          <w:tcPr>
            <w:tcW w:w="1800" w:type="dxa"/>
            <w:vAlign w:val="center"/>
          </w:tcPr>
          <w:p>
            <w:pPr>
              <w:pStyle w:val="TableNumber"/>
            </w:pPr>
            <w:r>
              <w:t>77.67%</w:t>
            </w:r>
          </w:p>
        </w:tc>
        <w:tc>
          <w:tcPr>
            <w:tcW w:w="1800" w:type="dxa"/>
            <w:vAlign w:val="center"/>
          </w:tcPr>
          <w:p>
            <w:pPr>
              <w:pStyle w:val="TableNumber"/>
            </w:pPr>
            <w:r>
              <w:t>0.48%</w:t>
            </w:r>
          </w:p>
        </w:tc>
        <w:tc>
          <w:tcPr>
            <w:tcW w:w="1800" w:type="dxa"/>
            <w:vAlign w:val="center"/>
          </w:tcPr>
          <w:p>
            <w:pPr>
              <w:pStyle w:val="TableNumber"/>
            </w:pPr>
            <w:r>
              <w:t>19.90%</w:t>
            </w:r>
          </w:p>
        </w:tc>
        <w:tc>
          <w:tcPr>
            <w:tcW w:w="3060" w:type="dxa"/>
            <w:vAlign w:val="center"/>
          </w:tcPr>
          <w:p>
            <w:pPr>
              <w:pStyle w:val="TableNumber"/>
            </w:pPr>
            <w:r>
              <w:t>269/120</w:t>
            </w:r>
          </w:p>
        </w:tc>
      </w:tr>
      <w:tr>
        <w:trPr>
          <w:cantSplit/>
        </w:trPr>
        <w:tc>
          <w:tcPr>
            <w:tcW w:w="900" w:type="dxa"/>
            <w:vAlign w:val="center"/>
          </w:tcPr>
          <w:p>
            <w:pPr>
              <w:pStyle w:val="TableText"/>
            </w:pPr>
            <w:r>
              <w:t>9d</w:t>
            </w:r>
          </w:p>
        </w:tc>
        <w:tc>
          <w:tcPr>
            <w:tcW w:w="1800" w:type="dxa"/>
            <w:vAlign w:val="center"/>
          </w:tcPr>
          <w:p>
            <w:pPr>
              <w:pStyle w:val="TableNumber"/>
            </w:pPr>
            <w:r>
              <w:t>76.05%</w:t>
            </w:r>
          </w:p>
        </w:tc>
        <w:tc>
          <w:tcPr>
            <w:tcW w:w="1800" w:type="dxa"/>
            <w:vAlign w:val="center"/>
          </w:tcPr>
          <w:p>
            <w:pPr>
              <w:pStyle w:val="TableNumber"/>
            </w:pPr>
            <w:r>
              <w:t>0.65%</w:t>
            </w:r>
          </w:p>
        </w:tc>
        <w:tc>
          <w:tcPr>
            <w:tcW w:w="1800" w:type="dxa"/>
            <w:vAlign w:val="center"/>
          </w:tcPr>
          <w:p>
            <w:pPr>
              <w:pStyle w:val="TableNumber"/>
            </w:pPr>
            <w:r>
              <w:t>21.18%</w:t>
            </w:r>
          </w:p>
        </w:tc>
        <w:tc>
          <w:tcPr>
            <w:tcW w:w="3060" w:type="dxa"/>
            <w:vAlign w:val="center"/>
          </w:tcPr>
          <w:p>
            <w:pPr>
              <w:pStyle w:val="TableNumber"/>
            </w:pPr>
            <w:r>
              <w:t>267/159</w:t>
            </w:r>
          </w:p>
        </w:tc>
      </w:tr>
      <w:tr>
        <w:trPr>
          <w:cantSplit/>
        </w:trPr>
        <w:tc>
          <w:tcPr>
            <w:tcW w:w="900" w:type="dxa"/>
            <w:vAlign w:val="center"/>
          </w:tcPr>
          <w:p>
            <w:pPr>
              <w:pStyle w:val="TableText"/>
            </w:pPr>
            <w:r>
              <w:t>10d</w:t>
            </w:r>
          </w:p>
        </w:tc>
        <w:tc>
          <w:tcPr>
            <w:tcW w:w="1800" w:type="dxa"/>
            <w:vAlign w:val="center"/>
          </w:tcPr>
          <w:p>
            <w:pPr>
              <w:pStyle w:val="TableNumber"/>
            </w:pPr>
            <w:r>
              <w:t>75.96%</w:t>
            </w:r>
          </w:p>
        </w:tc>
        <w:tc>
          <w:tcPr>
            <w:tcW w:w="1800" w:type="dxa"/>
            <w:vAlign w:val="center"/>
          </w:tcPr>
          <w:p>
            <w:pPr>
              <w:pStyle w:val="TableNumber"/>
            </w:pPr>
            <w:r>
              <w:t>0.51%</w:t>
            </w:r>
          </w:p>
        </w:tc>
        <w:tc>
          <w:tcPr>
            <w:tcW w:w="1800" w:type="dxa"/>
            <w:vAlign w:val="center"/>
          </w:tcPr>
          <w:p>
            <w:pPr>
              <w:pStyle w:val="TableNumber"/>
            </w:pPr>
            <w:r>
              <w:t>20.95%</w:t>
            </w:r>
          </w:p>
        </w:tc>
        <w:tc>
          <w:tcPr>
            <w:tcW w:w="3060" w:type="dxa"/>
            <w:vAlign w:val="center"/>
          </w:tcPr>
          <w:p>
            <w:pPr>
              <w:pStyle w:val="TableNumber"/>
            </w:pPr>
            <w:r>
              <w:t>344/172</w:t>
            </w:r>
          </w:p>
        </w:tc>
      </w:tr>
      <w:tr>
        <w:trPr>
          <w:cantSplit/>
        </w:trPr>
        <w:tc>
          <w:tcPr>
            <w:tcW w:w="900" w:type="dxa"/>
            <w:vAlign w:val="center"/>
          </w:tcPr>
          <w:p>
            <w:pPr>
              <w:pStyle w:val="TableText"/>
            </w:pPr>
            <w:r>
              <w:t>11d</w:t>
            </w:r>
          </w:p>
        </w:tc>
        <w:tc>
          <w:tcPr>
            <w:tcW w:w="1800" w:type="dxa"/>
            <w:vAlign w:val="center"/>
          </w:tcPr>
          <w:p>
            <w:pPr>
              <w:pStyle w:val="TableNumber"/>
            </w:pPr>
            <w:r>
              <w:t>77.53%</w:t>
            </w:r>
          </w:p>
        </w:tc>
        <w:tc>
          <w:tcPr>
            <w:tcW w:w="1800" w:type="dxa"/>
            <w:vAlign w:val="center"/>
          </w:tcPr>
          <w:p>
            <w:pPr>
              <w:pStyle w:val="TableNumber"/>
            </w:pPr>
            <w:r>
              <w:t>0.41%</w:t>
            </w:r>
          </w:p>
        </w:tc>
        <w:tc>
          <w:tcPr>
            <w:tcW w:w="1800" w:type="dxa"/>
            <w:vAlign w:val="center"/>
          </w:tcPr>
          <w:p>
            <w:pPr>
              <w:pStyle w:val="TableNumber"/>
            </w:pPr>
            <w:r>
              <w:t>19.43%</w:t>
            </w:r>
          </w:p>
        </w:tc>
        <w:tc>
          <w:tcPr>
            <w:tcW w:w="3060" w:type="dxa"/>
            <w:vAlign w:val="center"/>
          </w:tcPr>
          <w:p>
            <w:pPr>
              <w:pStyle w:val="TableNumber"/>
            </w:pPr>
            <w:r>
              <w:t>350/173</w:t>
            </w:r>
          </w:p>
        </w:tc>
      </w:tr>
      <w:tr>
        <w:trPr>
          <w:cantSplit/>
        </w:trPr>
        <w:tc>
          <w:tcPr>
            <w:tcW w:w="900" w:type="dxa"/>
            <w:vAlign w:val="center"/>
          </w:tcPr>
          <w:p>
            <w:pPr>
              <w:pStyle w:val="TableText"/>
            </w:pPr>
            <w:r>
              <w:t>12d</w:t>
            </w:r>
          </w:p>
        </w:tc>
        <w:tc>
          <w:tcPr>
            <w:tcW w:w="1800" w:type="dxa"/>
            <w:vAlign w:val="center"/>
          </w:tcPr>
          <w:p>
            <w:pPr>
              <w:pStyle w:val="TableNumber"/>
            </w:pPr>
            <w:r>
              <w:t>78.64%</w:t>
            </w:r>
          </w:p>
        </w:tc>
        <w:tc>
          <w:tcPr>
            <w:tcW w:w="1800" w:type="dxa"/>
            <w:vAlign w:val="center"/>
          </w:tcPr>
          <w:p>
            <w:pPr>
              <w:pStyle w:val="TableNumber"/>
            </w:pPr>
            <w:r>
              <w:t>0.41%</w:t>
            </w:r>
          </w:p>
        </w:tc>
        <w:tc>
          <w:tcPr>
            <w:tcW w:w="1800" w:type="dxa"/>
            <w:vAlign w:val="center"/>
          </w:tcPr>
          <w:p>
            <w:pPr>
              <w:pStyle w:val="TableNumber"/>
            </w:pPr>
            <w:r>
              <w:t>18.95%</w:t>
            </w:r>
          </w:p>
        </w:tc>
        <w:tc>
          <w:tcPr>
            <w:tcW w:w="3060" w:type="dxa"/>
            <w:vAlign w:val="center"/>
          </w:tcPr>
          <w:p>
            <w:pPr>
              <w:pStyle w:val="TableNumber"/>
            </w:pPr>
            <w:r>
              <w:t>245/152</w:t>
            </w:r>
          </w:p>
        </w:tc>
      </w:tr>
      <w:tr>
        <w:trPr>
          <w:cantSplit/>
        </w:trPr>
        <w:tc>
          <w:tcPr>
            <w:tcW w:w="900" w:type="dxa"/>
            <w:vAlign w:val="center"/>
          </w:tcPr>
          <w:p>
            <w:pPr>
              <w:pStyle w:val="TableText"/>
            </w:pPr>
            <w:r>
              <w:t>13d</w:t>
            </w:r>
          </w:p>
        </w:tc>
        <w:tc>
          <w:tcPr>
            <w:tcW w:w="1800" w:type="dxa"/>
            <w:vAlign w:val="center"/>
          </w:tcPr>
          <w:p>
            <w:pPr>
              <w:pStyle w:val="TableNumber"/>
            </w:pPr>
            <w:r>
              <w:t>80.26%</w:t>
            </w:r>
          </w:p>
        </w:tc>
        <w:tc>
          <w:tcPr>
            <w:tcW w:w="1800" w:type="dxa"/>
            <w:vAlign w:val="center"/>
          </w:tcPr>
          <w:p>
            <w:pPr>
              <w:pStyle w:val="TableNumber"/>
            </w:pPr>
            <w:r>
              <w:t>0.39%</w:t>
            </w:r>
          </w:p>
        </w:tc>
        <w:tc>
          <w:tcPr>
            <w:tcW w:w="1800" w:type="dxa"/>
            <w:vAlign w:val="center"/>
          </w:tcPr>
          <w:p>
            <w:pPr>
              <w:pStyle w:val="TableNumber"/>
            </w:pPr>
            <w:r>
              <w:t>17.36%</w:t>
            </w:r>
          </w:p>
        </w:tc>
        <w:tc>
          <w:tcPr>
            <w:tcW w:w="3060" w:type="dxa"/>
            <w:vAlign w:val="center"/>
          </w:tcPr>
          <w:p>
            <w:pPr>
              <w:pStyle w:val="TableNumber"/>
            </w:pPr>
            <w:r>
              <w:t>271/127</w:t>
            </w:r>
          </w:p>
        </w:tc>
      </w:tr>
      <w:tr>
        <w:trPr>
          <w:cantSplit/>
        </w:trPr>
        <w:tc>
          <w:tcPr>
            <w:tcW w:w="900" w:type="dxa"/>
            <w:vAlign w:val="center"/>
          </w:tcPr>
          <w:p>
            <w:pPr>
              <w:pStyle w:val="TableText"/>
            </w:pPr>
            <w:r>
              <w:t>14d</w:t>
            </w:r>
          </w:p>
        </w:tc>
        <w:tc>
          <w:tcPr>
            <w:tcW w:w="1800" w:type="dxa"/>
            <w:vAlign w:val="center"/>
          </w:tcPr>
          <w:p>
            <w:pPr>
              <w:pStyle w:val="TableNumber"/>
            </w:pPr>
            <w:r>
              <w:t>78.57%</w:t>
            </w:r>
          </w:p>
        </w:tc>
        <w:tc>
          <w:tcPr>
            <w:tcW w:w="1800" w:type="dxa"/>
            <w:vAlign w:val="center"/>
          </w:tcPr>
          <w:p>
            <w:pPr>
              <w:pStyle w:val="TableNumber"/>
            </w:pPr>
            <w:r>
              <w:t>0.37%</w:t>
            </w:r>
          </w:p>
        </w:tc>
        <w:tc>
          <w:tcPr>
            <w:tcW w:w="1800" w:type="dxa"/>
            <w:vAlign w:val="center"/>
          </w:tcPr>
          <w:p>
            <w:pPr>
              <w:pStyle w:val="TableNumber"/>
            </w:pPr>
            <w:r>
              <w:t>19.14%</w:t>
            </w:r>
          </w:p>
        </w:tc>
        <w:tc>
          <w:tcPr>
            <w:tcW w:w="3060" w:type="dxa"/>
            <w:vAlign w:val="center"/>
          </w:tcPr>
          <w:p>
            <w:pPr>
              <w:pStyle w:val="TableNumber"/>
            </w:pPr>
            <w:r>
              <w:t>262/120</w:t>
            </w:r>
          </w:p>
        </w:tc>
      </w:tr>
    </w:tbl>
    <w:p>
      <w:pPr>
        <w:pStyle w:val="a"/>
      </w:pPr>
      <w:r>
        <w:t>Day 1 is dominated by 88.38% bullish labels plus 184 strong-bullish cases; day 2 remains 62.20% bullish. Bearish becomes the majority from day 3, reaching 80.26% at day 13 and 78.57% at day 14. Strong-bearish appears from day 5, while long horizons also contain strong-bullish cases. These mutually exclusive rules describe where q10, q50, and q90 sit relative to zero; they are not probabilities. The horizon reversal rules out one position-mapping policy for all 14 horizons.</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17,056</w:t>
            </w:r>
          </w:p>
        </w:tc>
        <w:tc>
          <w:tcPr>
            <w:tcW w:w="1300" w:type="dxa"/>
            <w:vAlign w:val="center"/>
          </w:tcPr>
          <w:p>
            <w:pPr>
              <w:pStyle w:val="TableNumber"/>
            </w:pPr>
            <w:r>
              <w:t>0.3231</w:t>
            </w:r>
          </w:p>
        </w:tc>
        <w:tc>
          <w:tcPr>
            <w:tcW w:w="1400" w:type="dxa"/>
            <w:vAlign w:val="center"/>
          </w:tcPr>
          <w:p>
            <w:pPr>
              <w:pStyle w:val="TableNumber"/>
            </w:pPr>
            <w:r>
              <w:t>0.1177</w:t>
            </w:r>
          </w:p>
        </w:tc>
        <w:tc>
          <w:tcPr>
            <w:tcW w:w="1800" w:type="dxa"/>
            <w:vAlign w:val="center"/>
          </w:tcPr>
          <w:p>
            <w:pPr>
              <w:pStyle w:val="TableNumber"/>
            </w:pPr>
            <w:r>
              <w:t>0.0478 to 0.1544</w:t>
            </w:r>
          </w:p>
        </w:tc>
        <w:tc>
          <w:tcPr>
            <w:tcW w:w="1250" w:type="dxa"/>
            <w:vAlign w:val="center"/>
          </w:tcPr>
          <w:p>
            <w:pPr>
              <w:pStyle w:val="TableNumber"/>
            </w:pPr>
            <w:r>
              <w:t>52.74%</w:t>
            </w:r>
          </w:p>
        </w:tc>
        <w:tc>
          <w:tcPr>
            <w:tcW w:w="1010" w:type="dxa"/>
            <w:vAlign w:val="center"/>
          </w:tcPr>
          <w:p>
            <w:pPr>
              <w:pStyle w:val="TableNumber"/>
            </w:pPr>
            <w:r>
              <w:t>71.75%</w:t>
            </w:r>
          </w:p>
        </w:tc>
      </w:tr>
      <w:tr>
        <w:trPr>
          <w:cantSplit/>
        </w:trPr>
        <w:tc>
          <w:tcPr>
            <w:tcW w:w="1500" w:type="dxa"/>
            <w:vAlign w:val="center"/>
          </w:tcPr>
          <w:p>
            <w:pPr>
              <w:pStyle w:val="TableText"/>
            </w:pPr>
            <w:r>
              <w:t>TPEx</w:t>
            </w:r>
          </w:p>
        </w:tc>
        <w:tc>
          <w:tcPr>
            <w:tcW w:w="1100" w:type="dxa"/>
            <w:vAlign w:val="center"/>
          </w:tcPr>
          <w:p>
            <w:pPr>
              <w:pStyle w:val="TableNumber"/>
            </w:pPr>
            <w:r>
              <w:t>1,377</w:t>
            </w:r>
          </w:p>
        </w:tc>
        <w:tc>
          <w:tcPr>
            <w:tcW w:w="1300" w:type="dxa"/>
            <w:vAlign w:val="center"/>
          </w:tcPr>
          <w:p>
            <w:pPr>
              <w:pStyle w:val="TableNumber"/>
            </w:pPr>
            <w:r>
              <w:t>0.2195</w:t>
            </w:r>
          </w:p>
        </w:tc>
        <w:tc>
          <w:tcPr>
            <w:tcW w:w="1400" w:type="dxa"/>
            <w:vAlign w:val="center"/>
          </w:tcPr>
          <w:p>
            <w:pPr>
              <w:pStyle w:val="TableNumber"/>
            </w:pPr>
            <w:r>
              <w:t>0.0797</w:t>
            </w:r>
          </w:p>
        </w:tc>
        <w:tc>
          <w:tcPr>
            <w:tcW w:w="1800" w:type="dxa"/>
            <w:vAlign w:val="center"/>
          </w:tcPr>
          <w:p>
            <w:pPr>
              <w:pStyle w:val="TableNumber"/>
            </w:pPr>
            <w:r>
              <w:t>0.0393 to 0.1131</w:t>
            </w:r>
          </w:p>
        </w:tc>
        <w:tc>
          <w:tcPr>
            <w:tcW w:w="1250" w:type="dxa"/>
            <w:vAlign w:val="center"/>
          </w:tcPr>
          <w:p>
            <w:pPr>
              <w:pStyle w:val="TableNumber"/>
            </w:pPr>
            <w:r>
              <w:t>56.48%</w:t>
            </w:r>
          </w:p>
        </w:tc>
        <w:tc>
          <w:tcPr>
            <w:tcW w:w="1010" w:type="dxa"/>
            <w:vAlign w:val="center"/>
          </w:tcPr>
          <w:p>
            <w:pPr>
              <w:pStyle w:val="TableNumber"/>
            </w:pPr>
            <w:r>
              <w:t>69.60%</w:t>
            </w:r>
          </w:p>
        </w:tc>
      </w:tr>
      <w:tr>
        <w:trPr>
          <w:cantSplit/>
        </w:trPr>
        <w:tc>
          <w:tcPr>
            <w:tcW w:w="1500" w:type="dxa"/>
            <w:vAlign w:val="center"/>
          </w:tcPr>
          <w:p>
            <w:pPr>
              <w:pStyle w:val="TableText"/>
            </w:pPr>
            <w:r>
              <w:t>TWSE</w:t>
            </w:r>
          </w:p>
        </w:tc>
        <w:tc>
          <w:tcPr>
            <w:tcW w:w="1100" w:type="dxa"/>
            <w:vAlign w:val="center"/>
          </w:tcPr>
          <w:p>
            <w:pPr>
              <w:pStyle w:val="TableNumber"/>
            </w:pPr>
            <w:r>
              <w:t>1,567</w:t>
            </w:r>
          </w:p>
        </w:tc>
        <w:tc>
          <w:tcPr>
            <w:tcW w:w="1300" w:type="dxa"/>
            <w:vAlign w:val="center"/>
          </w:tcPr>
          <w:p>
            <w:pPr>
              <w:pStyle w:val="TableNumber"/>
            </w:pPr>
            <w:r>
              <w:t>0.2113</w:t>
            </w:r>
          </w:p>
        </w:tc>
        <w:tc>
          <w:tcPr>
            <w:tcW w:w="1400" w:type="dxa"/>
            <w:vAlign w:val="center"/>
          </w:tcPr>
          <w:p>
            <w:pPr>
              <w:pStyle w:val="TableNumber"/>
            </w:pPr>
            <w:r>
              <w:t>0.0115</w:t>
            </w:r>
          </w:p>
        </w:tc>
        <w:tc>
          <w:tcPr>
            <w:tcW w:w="1800" w:type="dxa"/>
            <w:vAlign w:val="center"/>
          </w:tcPr>
          <w:p>
            <w:pPr>
              <w:pStyle w:val="TableNumber"/>
            </w:pPr>
            <w:r>
              <w:t>-0.0130 to 0.0448</w:t>
            </w:r>
          </w:p>
        </w:tc>
        <w:tc>
          <w:tcPr>
            <w:tcW w:w="1250" w:type="dxa"/>
            <w:vAlign w:val="center"/>
          </w:tcPr>
          <w:p>
            <w:pPr>
              <w:pStyle w:val="TableNumber"/>
            </w:pPr>
            <w:r>
              <w:t>60.51%</w:t>
            </w:r>
          </w:p>
        </w:tc>
        <w:tc>
          <w:tcPr>
            <w:tcW w:w="1010" w:type="dxa"/>
            <w:vAlign w:val="center"/>
          </w:tcPr>
          <w:p>
            <w:pPr>
              <w:pStyle w:val="TableNumber"/>
            </w:pPr>
            <w:r>
              <w:t>73.81%</w:t>
            </w:r>
          </w:p>
        </w:tc>
      </w:tr>
    </w:tbl>
    <w:p>
      <w:pPr>
        <w:pStyle w:val="a"/>
      </w:pPr>
      <w:r>
        <w:t>Taiwan slices have lower 14-horizon scores but far fewer rows than EODHD / US, and the markets, periods, and universes differ. TWSE has higher mean direction agreement but lower mean correlation. A single slice metric cannot establish that one market is easier to predict.</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2024</w:t>
            </w:r>
          </w:p>
        </w:tc>
        <w:tc>
          <w:tcPr>
            <w:tcW w:w="1200" w:type="dxa"/>
            <w:vAlign w:val="center"/>
          </w:tcPr>
          <w:p>
            <w:pPr>
              <w:pStyle w:val="TableNumber"/>
            </w:pPr>
            <w:r>
              <w:t>1,928</w:t>
            </w:r>
          </w:p>
        </w:tc>
        <w:tc>
          <w:tcPr>
            <w:tcW w:w="1400" w:type="dxa"/>
            <w:vAlign w:val="center"/>
          </w:tcPr>
          <w:p>
            <w:pPr>
              <w:pStyle w:val="TableNumber"/>
            </w:pPr>
            <w:r>
              <w:t>0.3088</w:t>
            </w:r>
          </w:p>
        </w:tc>
        <w:tc>
          <w:tcPr>
            <w:tcW w:w="1400" w:type="dxa"/>
            <w:vAlign w:val="center"/>
          </w:tcPr>
          <w:p>
            <w:pPr>
              <w:pStyle w:val="TableNumber"/>
            </w:pPr>
            <w:r>
              <w:t>0.0459</w:t>
            </w:r>
          </w:p>
        </w:tc>
        <w:tc>
          <w:tcPr>
            <w:tcW w:w="1800" w:type="dxa"/>
            <w:vAlign w:val="center"/>
          </w:tcPr>
          <w:p>
            <w:pPr>
              <w:pStyle w:val="TableNumber"/>
            </w:pPr>
            <w:r>
              <w:t>0.0030 to 0.0942</w:t>
            </w:r>
          </w:p>
        </w:tc>
        <w:tc>
          <w:tcPr>
            <w:tcW w:w="1200" w:type="dxa"/>
            <w:vAlign w:val="center"/>
          </w:tcPr>
          <w:p>
            <w:pPr>
              <w:pStyle w:val="TableNumber"/>
            </w:pPr>
            <w:r>
              <w:t>52.99%</w:t>
            </w:r>
          </w:p>
        </w:tc>
        <w:tc>
          <w:tcPr>
            <w:tcW w:w="1060" w:type="dxa"/>
            <w:vAlign w:val="center"/>
          </w:tcPr>
          <w:p>
            <w:pPr>
              <w:pStyle w:val="TableNumber"/>
            </w:pPr>
            <w:r>
              <w:t>75.16%</w:t>
            </w:r>
          </w:p>
        </w:tc>
      </w:tr>
      <w:tr>
        <w:trPr>
          <w:cantSplit/>
        </w:trPr>
        <w:tc>
          <w:tcPr>
            <w:tcW w:w="1300" w:type="dxa"/>
            <w:vAlign w:val="center"/>
          </w:tcPr>
          <w:p>
            <w:pPr>
              <w:pStyle w:val="TableText"/>
            </w:pPr>
            <w:r>
              <w:t>2025</w:t>
            </w:r>
          </w:p>
        </w:tc>
        <w:tc>
          <w:tcPr>
            <w:tcW w:w="1200" w:type="dxa"/>
            <w:vAlign w:val="center"/>
          </w:tcPr>
          <w:p>
            <w:pPr>
              <w:pStyle w:val="TableNumber"/>
            </w:pPr>
            <w:r>
              <w:t>18,072</w:t>
            </w:r>
          </w:p>
        </w:tc>
        <w:tc>
          <w:tcPr>
            <w:tcW w:w="1400" w:type="dxa"/>
            <w:vAlign w:val="center"/>
          </w:tcPr>
          <w:p>
            <w:pPr>
              <w:pStyle w:val="TableNumber"/>
            </w:pPr>
            <w:r>
              <w:t>0.3070</w:t>
            </w:r>
          </w:p>
        </w:tc>
        <w:tc>
          <w:tcPr>
            <w:tcW w:w="1400" w:type="dxa"/>
            <w:vAlign w:val="center"/>
          </w:tcPr>
          <w:p>
            <w:pPr>
              <w:pStyle w:val="TableNumber"/>
            </w:pPr>
            <w:r>
              <w:t>0.1116</w:t>
            </w:r>
          </w:p>
        </w:tc>
        <w:tc>
          <w:tcPr>
            <w:tcW w:w="1800" w:type="dxa"/>
            <w:vAlign w:val="center"/>
          </w:tcPr>
          <w:p>
            <w:pPr>
              <w:pStyle w:val="TableNumber"/>
            </w:pPr>
            <w:r>
              <w:t>0.0466 to 0.1474</w:t>
            </w:r>
          </w:p>
        </w:tc>
        <w:tc>
          <w:tcPr>
            <w:tcW w:w="1200" w:type="dxa"/>
            <w:vAlign w:val="center"/>
          </w:tcPr>
          <w:p>
            <w:pPr>
              <w:pStyle w:val="TableNumber"/>
            </w:pPr>
            <w:r>
              <w:t>53.67%</w:t>
            </w:r>
          </w:p>
        </w:tc>
        <w:tc>
          <w:tcPr>
            <w:tcW w:w="1060" w:type="dxa"/>
            <w:vAlign w:val="center"/>
          </w:tcPr>
          <w:p>
            <w:pPr>
              <w:pStyle w:val="TableNumber"/>
            </w:pPr>
            <w:r>
              <w:t>71.40%</w:t>
            </w:r>
          </w:p>
        </w:tc>
      </w:tr>
    </w:tbl>
    <w:p>
      <w:pPr>
        <w:pStyle w:val="Lead"/>
      </w:pPr>
      <w:r>
        <w:t>The day 1 through day 14 scores are 0.3088 for 2024 and 0.3070 for 2025, both close to the aggregate result. Mean correlation is 0.0459 in 2024 versus 0.1116 in 2025, while mean direction agreement is 52.99% versus 53.67%. With only 1,928 rows in 2024 and 18,072 in 2025, the smaller year slice does not establish temporal stability.</w:t>
      </w:r>
    </w:p>
    <w:p>
      <w:pPr>
        <w:pStyle w:val="11"/>
      </w:pPr>
      <w:r>
        <w:t>9. Risks and next stage</w:t>
      </w:r>
    </w:p>
    <w:p>
      <w:pPr>
        <w:pStyle w:val="Decision"/>
        <w:keepNext/>
        <w:spacing w:after="80"/>
      </w:pPr>
      <w:r>
        <w:t>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Required validation</w:t>
            </w:r>
          </w:p>
        </w:tc>
      </w:tr>
      <w:tr>
        <w:trPr>
          <w:cantSplit/>
        </w:trPr>
        <w:tc>
          <w:tcPr>
            <w:tcW w:w="2500" w:type="dxa"/>
            <w:vAlign w:val="center"/>
          </w:tcPr>
          <w:p>
            <w:pPr>
              <w:pStyle w:val="TableText"/>
            </w:pPr>
            <w:r>
              <w:t>Test remains locked</w:t>
            </w:r>
          </w:p>
        </w:tc>
        <w:tc>
          <w:tcPr>
            <w:tcW w:w="2900" w:type="dxa"/>
            <w:vAlign w:val="center"/>
          </w:tcPr>
          <w:p>
            <w:pPr>
              <w:pStyle w:val="TableText"/>
            </w:pPr>
            <w:r>
              <w:t>Every conclusion is validation-only</w:t>
            </w:r>
          </w:p>
        </w:tc>
        <w:tc>
          <w:tcPr>
            <w:tcW w:w="3960" w:type="dxa"/>
            <w:vAlign w:val="center"/>
          </w:tcPr>
          <w:p>
            <w:pPr>
              <w:pStyle w:val="TableText"/>
            </w:pPr>
            <w:r>
              <w:t>Register model, calibration, and risk gates before one-time test</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Run multiple seeds and report median, dispersion, and worst case</w:t>
            </w:r>
          </w:p>
        </w:tc>
      </w:tr>
      <w:tr>
        <w:trPr>
          <w:cantSplit/>
        </w:trPr>
        <w:tc>
          <w:tcPr>
            <w:tcW w:w="2500" w:type="dxa"/>
            <w:vAlign w:val="center"/>
          </w:tcPr>
          <w:p>
            <w:pPr>
              <w:pStyle w:val="TableText"/>
            </w:pPr>
            <w:r>
              <w:t>Interval undercoverage</w:t>
            </w:r>
          </w:p>
        </w:tc>
        <w:tc>
          <w:tcPr>
            <w:tcW w:w="2900" w:type="dxa"/>
            <w:vAlign w:val="center"/>
          </w:tcPr>
          <w:p>
            <w:pPr>
              <w:pStyle w:val="TableText"/>
            </w:pPr>
            <w:r>
              <w:t>All 14 horizons below 80%; minimum 70.05%</w:t>
            </w:r>
          </w:p>
        </w:tc>
        <w:tc>
          <w:tcPr>
            <w:tcW w:w="3960" w:type="dxa"/>
            <w:vAlign w:val="center"/>
          </w:tcPr>
          <w:p>
            <w:pPr>
              <w:pStyle w:val="TableText"/>
            </w:pPr>
            <w:r>
              <w:t>Fit horizon-specific calibration on validation and then freeze it</w:t>
            </w:r>
          </w:p>
        </w:tc>
      </w:tr>
      <w:tr>
        <w:trPr>
          <w:cantSplit/>
        </w:trPr>
        <w:tc>
          <w:tcPr>
            <w:tcW w:w="2500" w:type="dxa"/>
            <w:vAlign w:val="center"/>
          </w:tcPr>
          <w:p>
            <w:pPr>
              <w:pStyle w:val="TableText"/>
            </w:pPr>
            <w:r>
              <w:t>Long-horizon drawdown</w:t>
            </w:r>
          </w:p>
        </w:tc>
        <w:tc>
          <w:tcPr>
            <w:tcW w:w="2900" w:type="dxa"/>
            <w:vAlign w:val="center"/>
          </w:tcPr>
          <w:p>
            <w:pPr>
              <w:pStyle w:val="TableText"/>
            </w:pPr>
            <w:r>
              <w:t>About -69.5% at day 14</w:t>
            </w:r>
          </w:p>
        </w:tc>
        <w:tc>
          <w:tcPr>
            <w:tcW w:w="3960" w:type="dxa"/>
            <w:vAlign w:val="center"/>
          </w:tcPr>
          <w:p>
            <w:pPr>
              <w:pStyle w:val="TableText"/>
            </w:pPr>
            <w:r>
              <w:t>Compare holding-period, exposure, and risk constraints</w:t>
            </w:r>
          </w:p>
        </w:tc>
      </w:tr>
      <w:tr>
        <w:trPr>
          <w:cantSplit/>
        </w:trPr>
        <w:tc>
          <w:tcPr>
            <w:tcW w:w="2500" w:type="dxa"/>
            <w:vAlign w:val="center"/>
          </w:tcPr>
          <w:p>
            <w:pPr>
              <w:pStyle w:val="TableText"/>
            </w:pPr>
            <w:r>
              <w:t>Signal reverses by horizon</w:t>
            </w:r>
          </w:p>
        </w:tc>
        <w:tc>
          <w:tcPr>
            <w:tcW w:w="2900" w:type="dxa"/>
            <w:vAlign w:val="center"/>
          </w:tcPr>
          <w:p>
            <w:pPr>
              <w:pStyle w:val="TableText"/>
            </w:pPr>
            <w:r>
              <w:t>88.38% bullish at day 1; 80.26% bearish at day 13</w:t>
            </w:r>
          </w:p>
        </w:tc>
        <w:tc>
          <w:tcPr>
            <w:tcW w:w="3960" w:type="dxa"/>
            <w:vAlign w:val="center"/>
          </w:tcPr>
          <w:p>
            <w:pPr>
              <w:pStyle w:val="TableText"/>
            </w:pPr>
            <w:r>
              <w:t>Fix threshold and position mapping separately by horizon</w:t>
            </w:r>
          </w:p>
        </w:tc>
      </w:tr>
      <w:tr>
        <w:trPr>
          <w:cantSplit/>
        </w:trPr>
        <w:tc>
          <w:tcPr>
            <w:tcW w:w="2500" w:type="dxa"/>
            <w:vAlign w:val="center"/>
          </w:tcPr>
          <w:p>
            <w:pPr>
              <w:pStyle w:val="TableText"/>
            </w:pPr>
            <w:r>
              <w:t>Unbalanced year samples</w:t>
            </w:r>
          </w:p>
        </w:tc>
        <w:tc>
          <w:tcPr>
            <w:tcW w:w="2900" w:type="dxa"/>
            <w:vAlign w:val="center"/>
          </w:tcPr>
          <w:p>
            <w:pPr>
              <w:pStyle w:val="TableText"/>
            </w:pPr>
            <w:r>
              <w:t>1,928 rows in 2024; 18,072 in 2025</w:t>
            </w:r>
          </w:p>
        </w:tc>
        <w:tc>
          <w:tcPr>
            <w:tcW w:w="3960" w:type="dxa"/>
            <w:vAlign w:val="center"/>
          </w:tcPr>
          <w:p>
            <w:pPr>
              <w:pStyle w:val="TableText"/>
            </w:pPr>
            <w:r>
              <w:t>Expand year, regime, rolling, and provider stability analysis</w:t>
            </w:r>
          </w:p>
        </w:tc>
      </w:tr>
      <w:tr>
        <w:trPr>
          <w:cantSplit/>
        </w:trPr>
        <w:tc>
          <w:tcPr>
            <w:tcW w:w="2500" w:type="dxa"/>
            <w:vAlign w:val="center"/>
          </w:tcPr>
          <w:p>
            <w:pPr>
              <w:pStyle w:val="TableText"/>
            </w:pPr>
            <w:r>
              <w:t>Lifecycle anomaly</w:t>
            </w:r>
          </w:p>
        </w:tc>
        <w:tc>
          <w:tcPr>
            <w:tcW w:w="2900" w:type="dxa"/>
            <w:vAlign w:val="center"/>
          </w:tcPr>
          <w:p>
            <w:pPr>
              <w:pStyle w:val="TableText"/>
            </w:pPr>
            <w:r>
              <w:t>Completion ready but training exit code 1</w:t>
            </w:r>
          </w:p>
        </w:tc>
        <w:tc>
          <w:tcPr>
            <w:tcW w:w="3960" w:type="dxa"/>
            <w:vAlign w:val="center"/>
          </w:tcPr>
          <w:p>
            <w:pPr>
              <w:pStyle w:val="TableText"/>
            </w:pPr>
            <w:r>
              <w:t>Retrieve recovery.json and combined.log to determine the cause</w:t>
            </w:r>
          </w:p>
        </w:tc>
      </w:tr>
      <w:tr>
        <w:trPr>
          <w:cantSplit/>
        </w:trPr>
        <w:tc>
          <w:tcPr>
            <w:tcW w:w="2500" w:type="dxa"/>
            <w:vAlign w:val="center"/>
          </w:tcPr>
          <w:p>
            <w:pPr>
              <w:pStyle w:val="TableText"/>
            </w:pPr>
            <w:r>
              <w:t>Checkpoint misuse</w:t>
            </w:r>
          </w:p>
        </w:tc>
        <w:tc>
          <w:tcPr>
            <w:tcW w:w="2900" w:type="dxa"/>
            <w:vAlign w:val="center"/>
          </w:tcPr>
          <w:p>
            <w:pPr>
              <w:pStyle w:val="TableText"/>
            </w:pPr>
            <w:r>
              <w:t>Validation uses checkpoint-028982; final score is worse</w:t>
            </w:r>
          </w:p>
        </w:tc>
        <w:tc>
          <w:tcPr>
            <w:tcW w:w="3960" w:type="dxa"/>
            <w:vAlign w:val="center"/>
          </w:tcPr>
          <w:p>
            <w:pPr>
              <w:pStyle w:val="TableText"/>
            </w:pPr>
            <w:r>
              <w:t>Lock deployment artifact to the best-checkpoint.json target</w:t>
            </w:r>
          </w:p>
        </w:tc>
      </w:tr>
      <w:tr>
        <w:trPr>
          <w:cantSplit/>
        </w:trPr>
        <w:tc>
          <w:tcPr>
            <w:tcW w:w="2500" w:type="dxa"/>
            <w:vAlign w:val="center"/>
          </w:tcPr>
          <w:p>
            <w:pPr>
              <w:pStyle w:val="TableText"/>
            </w:pPr>
            <w:r>
              <w:t>Simplified costs</w:t>
            </w:r>
          </w:p>
        </w:tc>
        <w:tc>
          <w:tcPr>
            <w:tcW w:w="2900" w:type="dxa"/>
            <w:vAlign w:val="center"/>
          </w:tcPr>
          <w:p>
            <w:pPr>
              <w:pStyle w:val="TableText"/>
            </w:pPr>
            <w:r>
              <w:t>Fixed 10 bps per unit turnover</w:t>
            </w:r>
          </w:p>
        </w:tc>
        <w:tc>
          <w:tcPr>
            <w:tcW w:w="3960" w:type="dxa"/>
            <w:vAlign w:val="center"/>
          </w:tcPr>
          <w:p>
            <w:pPr>
              <w:pStyle w:val="TableText"/>
            </w:pPr>
            <w:r>
              <w:t>Add slippage, impact, borrow, capacity, and tax scenarios</w:t>
            </w:r>
          </w:p>
        </w:tc>
      </w:tr>
    </w:tbl>
    <w:p>
      <w:pPr>
        <w:pStyle w:val="Lead"/>
      </w:pPr>
      <w:r>
        <w:t>Final assessment: the best Stage 2 checkpoint outperforms the main comparison models and Stage 1 on validation distribution error and cross-sectional ranking across days 1 through 14. Interval undercoverage, long-horizon drawdown, horizon-dependent signal reversal, one seed, the locked test split, and the lifecycle anomaly still prevent a deployment conclusion.</w:t>
      </w:r>
    </w:p>
    <w:p>
      <w:pPr>
        <w:pStyle w:val="11"/>
        <w:pageBreakBefore/>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 1-14 score</w:t>
            </w:r>
          </w:p>
        </w:tc>
        <w:tc>
          <w:tcPr>
            <w:tcW w:w="1330" w:type="dxa"/>
            <w:shd w:val="clear" w:fill="DCE6F1"/>
            <w:vAlign w:val="center"/>
          </w:tcPr>
          <w:p>
            <w:pPr>
              <w:pStyle w:val="TableHeader"/>
            </w:pPr>
            <w:r>
              <w:t>Day 1</w:t>
            </w:r>
          </w:p>
        </w:tc>
        <w:tc>
          <w:tcPr>
            <w:tcW w:w="1330" w:type="dxa"/>
            <w:shd w:val="clear" w:fill="DCE6F1"/>
            <w:vAlign w:val="center"/>
          </w:tcPr>
          <w:p>
            <w:pPr>
              <w:pStyle w:val="TableHeader"/>
            </w:pPr>
            <w:r>
              <w:t>Day 7</w:t>
            </w:r>
          </w:p>
        </w:tc>
        <w:tc>
          <w:tcPr>
            <w:tcW w:w="1350" w:type="dxa"/>
            <w:shd w:val="clear" w:fill="DCE6F1"/>
            <w:vAlign w:val="center"/>
          </w:tcPr>
          <w:p>
            <w:pPr>
              <w:pStyle w:val="TableHeader"/>
            </w:pPr>
            <w:r>
              <w:t>Day 14</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0.307166</w:t>
            </w:r>
          </w:p>
        </w:tc>
        <w:tc>
          <w:tcPr>
            <w:tcW w:w="1330" w:type="dxa"/>
            <w:shd w:val="clear" w:fill="EDF5FC"/>
            <w:vAlign w:val="center"/>
          </w:tcPr>
          <w:p>
            <w:pPr>
              <w:pStyle w:val="TableNumber"/>
            </w:pPr>
            <w:r>
              <w:t>0.3819</w:t>
            </w:r>
          </w:p>
        </w:tc>
        <w:tc>
          <w:tcPr>
            <w:tcW w:w="1330" w:type="dxa"/>
            <w:shd w:val="clear" w:fill="EDF5FC"/>
            <w:vAlign w:val="center"/>
          </w:tcPr>
          <w:p>
            <w:pPr>
              <w:pStyle w:val="TableNumber"/>
            </w:pPr>
            <w:r>
              <w:t>0.3020</w:t>
            </w:r>
          </w:p>
        </w:tc>
        <w:tc>
          <w:tcPr>
            <w:tcW w:w="1350" w:type="dxa"/>
            <w:shd w:val="clear" w:fill="EDF5FC"/>
            <w:vAlign w:val="center"/>
          </w:tcPr>
          <w:p>
            <w:pPr>
              <w:pStyle w:val="TableNumber"/>
            </w:pPr>
            <w:r>
              <w:t>0.2832</w:t>
            </w:r>
          </w:p>
        </w:tc>
      </w:tr>
      <w:tr>
        <w:trPr>
          <w:cantSplit/>
        </w:trPr>
        <w:tc>
          <w:tcPr>
            <w:tcW w:w="650" w:type="dxa"/>
            <w:vAlign w:val="center"/>
          </w:tcPr>
          <w:p>
            <w:pPr>
              <w:pStyle w:val="TableNumber"/>
            </w:pPr>
            <w:r>
              <w:t>2</w:t>
            </w:r>
          </w:p>
        </w:tc>
        <w:tc>
          <w:tcPr>
            <w:tcW w:w="2800" w:type="dxa"/>
            <w:vAlign w:val="center"/>
          </w:tcPr>
          <w:p>
            <w:pPr>
              <w:pStyle w:val="TableText"/>
            </w:pPr>
            <w:r>
              <w:t>Paired GRU</w:t>
            </w:r>
          </w:p>
        </w:tc>
        <w:tc>
          <w:tcPr>
            <w:tcW w:w="1900" w:type="dxa"/>
            <w:vAlign w:val="center"/>
          </w:tcPr>
          <w:p>
            <w:pPr>
              <w:pStyle w:val="TableNumber"/>
            </w:pPr>
            <w:r>
              <w:t>0.336588</w:t>
            </w:r>
          </w:p>
        </w:tc>
        <w:tc>
          <w:tcPr>
            <w:tcW w:w="1330" w:type="dxa"/>
            <w:vAlign w:val="center"/>
          </w:tcPr>
          <w:p>
            <w:pPr>
              <w:pStyle w:val="TableNumber"/>
            </w:pPr>
            <w:r>
              <w:t>0.3762</w:t>
            </w:r>
          </w:p>
        </w:tc>
        <w:tc>
          <w:tcPr>
            <w:tcW w:w="1330" w:type="dxa"/>
            <w:vAlign w:val="center"/>
          </w:tcPr>
          <w:p>
            <w:pPr>
              <w:pStyle w:val="TableNumber"/>
            </w:pPr>
            <w:r>
              <w:t>0.3335</w:t>
            </w:r>
          </w:p>
        </w:tc>
        <w:tc>
          <w:tcPr>
            <w:tcW w:w="1350" w:type="dxa"/>
            <w:vAlign w:val="center"/>
          </w:tcPr>
          <w:p>
            <w:pPr>
              <w:pStyle w:val="TableNumber"/>
            </w:pPr>
            <w:r>
              <w:t>0.3290</w:t>
            </w:r>
          </w:p>
        </w:tc>
      </w:tr>
      <w:tr>
        <w:trPr>
          <w:cantSplit/>
        </w:trPr>
        <w:tc>
          <w:tcPr>
            <w:tcW w:w="650" w:type="dxa"/>
            <w:vAlign w:val="center"/>
          </w:tcPr>
          <w:p>
            <w:pPr>
              <w:pStyle w:val="TableNumber"/>
            </w:pPr>
            <w:r>
              <w:t>3</w:t>
            </w:r>
          </w:p>
        </w:tc>
        <w:tc>
          <w:tcPr>
            <w:tcW w:w="2800" w:type="dxa"/>
            <w:vAlign w:val="center"/>
          </w:tcPr>
          <w:p>
            <w:pPr>
              <w:pStyle w:val="TableText"/>
            </w:pPr>
            <w:r>
              <w:t>Compact PatchTST</w:t>
            </w:r>
          </w:p>
        </w:tc>
        <w:tc>
          <w:tcPr>
            <w:tcW w:w="1900" w:type="dxa"/>
            <w:vAlign w:val="center"/>
          </w:tcPr>
          <w:p>
            <w:pPr>
              <w:pStyle w:val="TableNumber"/>
            </w:pPr>
            <w:r>
              <w:t>0.342796</w:t>
            </w:r>
          </w:p>
        </w:tc>
        <w:tc>
          <w:tcPr>
            <w:tcW w:w="1330" w:type="dxa"/>
            <w:vAlign w:val="center"/>
          </w:tcPr>
          <w:p>
            <w:pPr>
              <w:pStyle w:val="TableNumber"/>
            </w:pPr>
            <w:r>
              <w:t>0.3848</w:t>
            </w:r>
          </w:p>
        </w:tc>
        <w:tc>
          <w:tcPr>
            <w:tcW w:w="1330" w:type="dxa"/>
            <w:vAlign w:val="center"/>
          </w:tcPr>
          <w:p>
            <w:pPr>
              <w:pStyle w:val="TableNumber"/>
            </w:pPr>
            <w:r>
              <w:t>0.3455</w:t>
            </w:r>
          </w:p>
        </w:tc>
        <w:tc>
          <w:tcPr>
            <w:tcW w:w="1350" w:type="dxa"/>
            <w:vAlign w:val="center"/>
          </w:tcPr>
          <w:p>
            <w:pPr>
              <w:pStyle w:val="TableNumber"/>
            </w:pPr>
            <w:r>
              <w:t>0.3287</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0.344933</w:t>
            </w:r>
          </w:p>
        </w:tc>
        <w:tc>
          <w:tcPr>
            <w:tcW w:w="1330" w:type="dxa"/>
            <w:vAlign w:val="center"/>
          </w:tcPr>
          <w:p>
            <w:pPr>
              <w:pStyle w:val="TableNumber"/>
            </w:pPr>
            <w:r>
              <w:t>0.3741</w:t>
            </w:r>
          </w:p>
        </w:tc>
        <w:tc>
          <w:tcPr>
            <w:tcW w:w="1330" w:type="dxa"/>
            <w:vAlign w:val="center"/>
          </w:tcPr>
          <w:p>
            <w:pPr>
              <w:pStyle w:val="TableNumber"/>
            </w:pPr>
            <w:r>
              <w:t>0.3403</w:t>
            </w:r>
          </w:p>
        </w:tc>
        <w:tc>
          <w:tcPr>
            <w:tcW w:w="1350" w:type="dxa"/>
            <w:vAlign w:val="center"/>
          </w:tcPr>
          <w:p>
            <w:pPr>
              <w:pStyle w:val="TableNumber"/>
            </w:pPr>
            <w:r>
              <w:t>0.3439</w:t>
            </w:r>
          </w:p>
        </w:tc>
      </w:tr>
      <w:tr>
        <w:trPr>
          <w:cantSplit/>
        </w:trPr>
        <w:tc>
          <w:tcPr>
            <w:tcW w:w="650" w:type="dxa"/>
            <w:vAlign w:val="center"/>
          </w:tcPr>
          <w:p>
            <w:pPr>
              <w:pStyle w:val="TableNumber"/>
            </w:pPr>
            <w:r>
              <w:t>5</w:t>
            </w:r>
          </w:p>
        </w:tc>
        <w:tc>
          <w:tcPr>
            <w:tcW w:w="2800" w:type="dxa"/>
            <w:vAlign w:val="center"/>
          </w:tcPr>
          <w:p>
            <w:pPr>
              <w:pStyle w:val="TableText"/>
            </w:pPr>
            <w:r>
              <w:t>Always-buy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6</w:t>
            </w:r>
          </w:p>
        </w:tc>
        <w:tc>
          <w:tcPr>
            <w:tcW w:w="2800" w:type="dxa"/>
            <w:vAlign w:val="center"/>
          </w:tcPr>
          <w:p>
            <w:pPr>
              <w:pStyle w:val="TableText"/>
            </w:pPr>
            <w:r>
              <w:t>Zero-return distribution</w:t>
            </w:r>
          </w:p>
        </w:tc>
        <w:tc>
          <w:tcPr>
            <w:tcW w:w="1900" w:type="dxa"/>
            <w:vAlign w:val="center"/>
          </w:tcPr>
          <w:p>
            <w:pPr>
              <w:pStyle w:val="TableNumber"/>
            </w:pPr>
            <w:r>
              <w:t>0.363115</w:t>
            </w:r>
          </w:p>
        </w:tc>
        <w:tc>
          <w:tcPr>
            <w:tcW w:w="1330" w:type="dxa"/>
            <w:vAlign w:val="center"/>
          </w:tcPr>
          <w:p>
            <w:pPr>
              <w:pStyle w:val="TableNumber"/>
            </w:pPr>
            <w:r>
              <w:t>0.4111</w:t>
            </w:r>
          </w:p>
        </w:tc>
        <w:tc>
          <w:tcPr>
            <w:tcW w:w="1330" w:type="dxa"/>
            <w:vAlign w:val="center"/>
          </w:tcPr>
          <w:p>
            <w:pPr>
              <w:pStyle w:val="TableNumber"/>
            </w:pPr>
            <w:r>
              <w:t>0.3580</w:t>
            </w:r>
          </w:p>
        </w:tc>
        <w:tc>
          <w:tcPr>
            <w:tcW w:w="1350" w:type="dxa"/>
            <w:vAlign w:val="center"/>
          </w:tcPr>
          <w:p>
            <w:pPr>
              <w:pStyle w:val="TableNumber"/>
            </w:pPr>
            <w:r>
              <w:t>0.3541</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0.365315</w:t>
            </w:r>
          </w:p>
        </w:tc>
        <w:tc>
          <w:tcPr>
            <w:tcW w:w="1330" w:type="dxa"/>
            <w:vAlign w:val="center"/>
          </w:tcPr>
          <w:p>
            <w:pPr>
              <w:pStyle w:val="TableNumber"/>
            </w:pPr>
            <w:r>
              <w:t>0.4116</w:t>
            </w:r>
          </w:p>
        </w:tc>
        <w:tc>
          <w:tcPr>
            <w:tcW w:w="1330" w:type="dxa"/>
            <w:vAlign w:val="center"/>
          </w:tcPr>
          <w:p>
            <w:pPr>
              <w:pStyle w:val="TableNumber"/>
            </w:pPr>
            <w:r>
              <w:t>0.3602</w:t>
            </w:r>
          </w:p>
        </w:tc>
        <w:tc>
          <w:tcPr>
            <w:tcW w:w="1350" w:type="dxa"/>
            <w:vAlign w:val="center"/>
          </w:tcPr>
          <w:p>
            <w:pPr>
              <w:pStyle w:val="TableNumber"/>
            </w:pPr>
            <w:r>
              <w:t>0.3570</w:t>
            </w:r>
          </w:p>
        </w:tc>
      </w:tr>
      <w:tr>
        <w:trPr>
          <w:cantSplit/>
        </w:trPr>
        <w:tc>
          <w:tcPr>
            <w:tcW w:w="650" w:type="dxa"/>
            <w:vAlign w:val="center"/>
          </w:tcPr>
          <w:p>
            <w:pPr>
              <w:pStyle w:val="TableNumber"/>
            </w:pPr>
            <w:r>
              <w:t>8</w:t>
            </w:r>
          </w:p>
        </w:tc>
        <w:tc>
          <w:tcPr>
            <w:tcW w:w="2800" w:type="dxa"/>
            <w:vAlign w:val="center"/>
          </w:tcPr>
          <w:p>
            <w:pPr>
              <w:pStyle w:val="TableText"/>
            </w:pPr>
            <w:r>
              <w:t>MA crossover</w:t>
            </w:r>
          </w:p>
        </w:tc>
        <w:tc>
          <w:tcPr>
            <w:tcW w:w="1900" w:type="dxa"/>
            <w:vAlign w:val="center"/>
          </w:tcPr>
          <w:p>
            <w:pPr>
              <w:pStyle w:val="TableNumber"/>
            </w:pPr>
            <w:r>
              <w:t>0.404804</w:t>
            </w:r>
          </w:p>
        </w:tc>
        <w:tc>
          <w:tcPr>
            <w:tcW w:w="1330" w:type="dxa"/>
            <w:vAlign w:val="center"/>
          </w:tcPr>
          <w:p>
            <w:pPr>
              <w:pStyle w:val="TableNumber"/>
            </w:pPr>
            <w:r>
              <w:t>0.4180</w:t>
            </w:r>
          </w:p>
        </w:tc>
        <w:tc>
          <w:tcPr>
            <w:tcW w:w="1330" w:type="dxa"/>
            <w:vAlign w:val="center"/>
          </w:tcPr>
          <w:p>
            <w:pPr>
              <w:pStyle w:val="TableNumber"/>
            </w:pPr>
            <w:r>
              <w:t>0.3975</w:t>
            </w:r>
          </w:p>
        </w:tc>
        <w:tc>
          <w:tcPr>
            <w:tcW w:w="1350" w:type="dxa"/>
            <w:vAlign w:val="center"/>
          </w:tcPr>
          <w:p>
            <w:pPr>
              <w:pStyle w:val="TableNumber"/>
            </w:pPr>
            <w:r>
              <w:t>0.4283</w:t>
            </w:r>
          </w:p>
        </w:tc>
      </w:tr>
      <w:tr>
        <w:trPr>
          <w:cantSplit/>
        </w:trPr>
        <w:tc>
          <w:tcPr>
            <w:tcW w:w="650" w:type="dxa"/>
            <w:vAlign w:val="center"/>
          </w:tcPr>
          <w:p>
            <w:pPr>
              <w:pStyle w:val="TableNumber"/>
            </w:pPr>
            <w:r>
              <w:t>9</w:t>
            </w:r>
          </w:p>
        </w:tc>
        <w:tc>
          <w:tcPr>
            <w:tcW w:w="2800" w:type="dxa"/>
            <w:vAlign w:val="center"/>
          </w:tcPr>
          <w:p>
            <w:pPr>
              <w:pStyle w:val="TableText"/>
            </w:pPr>
            <w:r>
              <w:t>DLinear</w:t>
            </w:r>
          </w:p>
        </w:tc>
        <w:tc>
          <w:tcPr>
            <w:tcW w:w="1900" w:type="dxa"/>
            <w:vAlign w:val="center"/>
          </w:tcPr>
          <w:p>
            <w:pPr>
              <w:pStyle w:val="TableNumber"/>
            </w:pPr>
            <w:r>
              <w:t>0.405290</w:t>
            </w:r>
          </w:p>
        </w:tc>
        <w:tc>
          <w:tcPr>
            <w:tcW w:w="1330" w:type="dxa"/>
            <w:vAlign w:val="center"/>
          </w:tcPr>
          <w:p>
            <w:pPr>
              <w:pStyle w:val="TableNumber"/>
            </w:pPr>
            <w:r>
              <w:t>0.5413</w:t>
            </w:r>
          </w:p>
        </w:tc>
        <w:tc>
          <w:tcPr>
            <w:tcW w:w="1330" w:type="dxa"/>
            <w:vAlign w:val="center"/>
          </w:tcPr>
          <w:p>
            <w:pPr>
              <w:pStyle w:val="TableNumber"/>
            </w:pPr>
            <w:r>
              <w:t>0.3895</w:t>
            </w:r>
          </w:p>
        </w:tc>
        <w:tc>
          <w:tcPr>
            <w:tcW w:w="1350" w:type="dxa"/>
            <w:vAlign w:val="center"/>
          </w:tcPr>
          <w:p>
            <w:pPr>
              <w:pStyle w:val="TableNumber"/>
            </w:pPr>
            <w:r>
              <w:t>0.3848</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0.432191</w:t>
            </w:r>
          </w:p>
        </w:tc>
        <w:tc>
          <w:tcPr>
            <w:tcW w:w="1330" w:type="dxa"/>
            <w:vAlign w:val="center"/>
          </w:tcPr>
          <w:p>
            <w:pPr>
              <w:pStyle w:val="TableNumber"/>
            </w:pPr>
            <w:r>
              <w:t>0.4255</w:t>
            </w:r>
          </w:p>
        </w:tc>
        <w:tc>
          <w:tcPr>
            <w:tcW w:w="1330" w:type="dxa"/>
            <w:vAlign w:val="center"/>
          </w:tcPr>
          <w:p>
            <w:pPr>
              <w:pStyle w:val="TableNumber"/>
            </w:pPr>
            <w:r>
              <w:t>0.4262</w:t>
            </w:r>
          </w:p>
        </w:tc>
        <w:tc>
          <w:tcPr>
            <w:tcW w:w="1350" w:type="dxa"/>
            <w:vAlign w:val="center"/>
          </w:tcPr>
          <w:p>
            <w:pPr>
              <w:pStyle w:val="TableNumber"/>
            </w:pPr>
            <w:r>
              <w:t>0.4710</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0.566933</w:t>
            </w:r>
          </w:p>
        </w:tc>
        <w:tc>
          <w:tcPr>
            <w:tcW w:w="1330" w:type="dxa"/>
            <w:vAlign w:val="center"/>
          </w:tcPr>
          <w:p>
            <w:pPr>
              <w:pStyle w:val="TableNumber"/>
            </w:pPr>
            <w:r>
              <w:t>0.4548</w:t>
            </w:r>
          </w:p>
        </w:tc>
        <w:tc>
          <w:tcPr>
            <w:tcW w:w="1330" w:type="dxa"/>
            <w:vAlign w:val="center"/>
          </w:tcPr>
          <w:p>
            <w:pPr>
              <w:pStyle w:val="TableNumber"/>
            </w:pPr>
            <w:r>
              <w:t>0.5634</w:t>
            </w:r>
          </w:p>
        </w:tc>
        <w:tc>
          <w:tcPr>
            <w:tcW w:w="1350" w:type="dxa"/>
            <w:vAlign w:val="center"/>
          </w:tcPr>
          <w:p>
            <w:pPr>
              <w:pStyle w:val="TableNumber"/>
            </w:pPr>
            <w:r>
              <w:t>0.6839</w:t>
            </w:r>
          </w:p>
        </w:tc>
      </w:tr>
      <w:tr>
        <w:trPr>
          <w:cantSplit/>
        </w:trPr>
        <w:tc>
          <w:tcPr>
            <w:tcW w:w="650" w:type="dxa"/>
            <w:vAlign w:val="center"/>
          </w:tcPr>
          <w:p>
            <w:pPr>
              <w:pStyle w:val="TableNumber"/>
            </w:pPr>
            <w:r>
              <w:t>12</w:t>
            </w:r>
          </w:p>
        </w:tc>
        <w:tc>
          <w:tcPr>
            <w:tcW w:w="2800" w:type="dxa"/>
            <w:vAlign w:val="center"/>
          </w:tcPr>
          <w:p>
            <w:pPr>
              <w:pStyle w:val="TableText"/>
            </w:pPr>
            <w:r>
              <w:t>5-day reversal</w:t>
            </w:r>
          </w:p>
        </w:tc>
        <w:tc>
          <w:tcPr>
            <w:tcW w:w="1900" w:type="dxa"/>
            <w:vAlign w:val="center"/>
          </w:tcPr>
          <w:p>
            <w:pPr>
              <w:pStyle w:val="TableNumber"/>
            </w:pPr>
            <w:r>
              <w:t>0.571595</w:t>
            </w:r>
          </w:p>
        </w:tc>
        <w:tc>
          <w:tcPr>
            <w:tcW w:w="1330" w:type="dxa"/>
            <w:vAlign w:val="center"/>
          </w:tcPr>
          <w:p>
            <w:pPr>
              <w:pStyle w:val="TableNumber"/>
            </w:pPr>
            <w:r>
              <w:t>0.4586</w:t>
            </w:r>
          </w:p>
        </w:tc>
        <w:tc>
          <w:tcPr>
            <w:tcW w:w="1330" w:type="dxa"/>
            <w:vAlign w:val="center"/>
          </w:tcPr>
          <w:p>
            <w:pPr>
              <w:pStyle w:val="TableNumber"/>
            </w:pPr>
            <w:r>
              <w:t>0.5629</w:t>
            </w:r>
          </w:p>
        </w:tc>
        <w:tc>
          <w:tcPr>
            <w:tcW w:w="1350" w:type="dxa"/>
            <w:vAlign w:val="center"/>
          </w:tcPr>
          <w:p>
            <w:pPr>
              <w:pStyle w:val="TableNumber"/>
            </w:pPr>
            <w:r>
              <w:t>0.7012</w:t>
            </w:r>
          </w:p>
        </w:tc>
      </w:tr>
      <w:tr>
        <w:trPr>
          <w:cantSplit/>
        </w:trPr>
        <w:tc>
          <w:tcPr>
            <w:tcW w:w="650" w:type="dxa"/>
            <w:vAlign w:val="center"/>
          </w:tcPr>
          <w:p>
            <w:pPr>
              <w:pStyle w:val="TableNumber"/>
            </w:pPr>
            <w:r>
              <w:t>13</w:t>
            </w:r>
          </w:p>
        </w:tc>
        <w:tc>
          <w:tcPr>
            <w:tcW w:w="2800" w:type="dxa"/>
            <w:vAlign w:val="center"/>
          </w:tcPr>
          <w:p>
            <w:pPr>
              <w:pStyle w:val="TableText"/>
            </w:pPr>
            <w:r>
              <w:t>5-day momentum</w:t>
            </w:r>
          </w:p>
        </w:tc>
        <w:tc>
          <w:tcPr>
            <w:tcW w:w="1900" w:type="dxa"/>
            <w:vAlign w:val="center"/>
          </w:tcPr>
          <w:p>
            <w:pPr>
              <w:pStyle w:val="TableNumber"/>
            </w:pPr>
            <w:r>
              <w:t>0.588425</w:t>
            </w:r>
          </w:p>
        </w:tc>
        <w:tc>
          <w:tcPr>
            <w:tcW w:w="1330" w:type="dxa"/>
            <w:vAlign w:val="center"/>
          </w:tcPr>
          <w:p>
            <w:pPr>
              <w:pStyle w:val="TableNumber"/>
            </w:pPr>
            <w:r>
              <w:t>0.4608</w:t>
            </w:r>
          </w:p>
        </w:tc>
        <w:tc>
          <w:tcPr>
            <w:tcW w:w="1330" w:type="dxa"/>
            <w:vAlign w:val="center"/>
          </w:tcPr>
          <w:p>
            <w:pPr>
              <w:pStyle w:val="TableNumber"/>
            </w:pPr>
            <w:r>
              <w:t>0.5853</w:t>
            </w:r>
          </w:p>
        </w:tc>
        <w:tc>
          <w:tcPr>
            <w:tcW w:w="1350" w:type="dxa"/>
            <w:vAlign w:val="center"/>
          </w:tcPr>
          <w:p>
            <w:pPr>
              <w:pStyle w:val="TableNumber"/>
            </w:pPr>
            <w:r>
              <w:t>0.7159</w:t>
            </w:r>
          </w:p>
        </w:tc>
      </w:tr>
    </w:tbl>
    <w:p>
      <w:pPr>
        <w:pStyle w:val="Note"/>
      </w:pPr>
      <w:r>
        <w:t>All learned baselines use seed 42. Primary ranking uses only the 14-horizon selection score.</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use</w:t>
            </w:r>
          </w:p>
        </w:tc>
      </w:tr>
      <w:tr>
        <w:trPr>
          <w:cantSplit/>
        </w:trPr>
        <w:tc>
          <w:tcPr>
            <w:tcW w:w="3000" w:type="dxa"/>
            <w:vAlign w:val="center"/>
          </w:tcPr>
          <w:p>
            <w:pPr>
              <w:pStyle w:val="TableText"/>
            </w:pPr>
            <w:r>
              <w:t>Run ID</w:t>
            </w:r>
          </w:p>
        </w:tc>
        <w:tc>
          <w:tcPr>
            <w:tcW w:w="6360" w:type="dxa"/>
            <w:vAlign w:val="center"/>
          </w:tcPr>
          <w:p>
            <w:pPr>
              <w:pStyle w:val="TableText"/>
            </w:pPr>
            <w:r>
              <w:t>run-20260903T184811Z-81563229</w:t>
            </w:r>
          </w:p>
        </w:tc>
      </w:tr>
      <w:tr>
        <w:trPr>
          <w:cantSplit/>
        </w:trPr>
        <w:tc>
          <w:tcPr>
            <w:tcW w:w="3000" w:type="dxa"/>
            <w:vAlign w:val="center"/>
          </w:tcPr>
          <w:p>
            <w:pPr>
              <w:pStyle w:val="TableText"/>
            </w:pPr>
            <w:r>
              <w:t>Best checkpoint</w:t>
            </w:r>
          </w:p>
        </w:tc>
        <w:tc>
          <w:tcPr>
            <w:tcW w:w="6360" w:type="dxa"/>
            <w:vAlign w:val="center"/>
          </w:tcPr>
          <w:p>
            <w:pPr>
              <w:pStyle w:val="TableText"/>
            </w:pPr>
            <w:r>
              <w:t>checkpoint-028982; selection score 0.30716596632829113</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horizons 1-14; q10/q50/q90</w:t>
            </w:r>
          </w:p>
        </w:tc>
      </w:tr>
      <w:tr>
        <w:trPr>
          <w:cantSplit/>
        </w:trPr>
        <w:tc>
          <w:tcPr>
            <w:tcW w:w="3000" w:type="dxa"/>
            <w:vAlign w:val="center"/>
          </w:tcPr>
          <w:p>
            <w:pPr>
              <w:pStyle w:val="TableText"/>
            </w:pPr>
            <w:r>
              <w:t>Validation state</w:t>
            </w:r>
          </w:p>
        </w:tc>
        <w:tc>
          <w:tcPr>
            <w:tcW w:w="6360" w:type="dxa"/>
            <w:vAlign w:val="center"/>
          </w:tcPr>
          <w:p>
            <w:pPr>
              <w:pStyle w:val="TableText"/>
            </w:pPr>
            <w:r>
              <w:t>ready; exit code 0; test_unlocked=false</w:t>
            </w:r>
          </w:p>
        </w:tc>
      </w:tr>
      <w:tr>
        <w:trPr>
          <w:cantSplit/>
        </w:trPr>
        <w:tc>
          <w:tcPr>
            <w:tcW w:w="3000" w:type="dxa"/>
            <w:vAlign w:val="center"/>
          </w:tcPr>
          <w:p>
            <w:pPr>
              <w:pStyle w:val="TableText"/>
            </w:pPr>
            <w:r>
              <w:t>Training lifecycle</w:t>
            </w:r>
          </w:p>
        </w:tc>
        <w:tc>
          <w:tcPr>
            <w:tcW w:w="6360" w:type="dxa"/>
            <w:vAlign w:val="center"/>
          </w:tcPr>
          <w:p>
            <w:pPr>
              <w:pStyle w:val="TableText"/>
            </w:pPr>
            <w:r>
              <w:t>ready; exit code 1; timed_out=false; training_completed=true</w:t>
            </w:r>
          </w:p>
        </w:tc>
      </w:tr>
      <w:tr>
        <w:trPr>
          <w:cantSplit/>
        </w:trPr>
        <w:tc>
          <w:tcPr>
            <w:tcW w:w="3000" w:type="dxa"/>
            <w:vAlign w:val="center"/>
          </w:tcPr>
          <w:p>
            <w:pPr>
              <w:pStyle w:val="TableText"/>
            </w:pPr>
            <w:r>
              <w:t>Stage 1 comparison</w:t>
            </w:r>
          </w:p>
        </w:tc>
        <w:tc>
          <w:tcPr>
            <w:tcW w:w="6360" w:type="dxa"/>
            <w:vAlign w:val="center"/>
          </w:tcPr>
          <w:p>
            <w:pPr>
              <w:pStyle w:val="TableText"/>
            </w:pPr>
            <w:r>
              <w:t>run-20260903T140429Z-1247813592; score 0.31475936576408564</w:t>
            </w:r>
          </w:p>
        </w:tc>
      </w:tr>
      <w:tr>
        <w:trPr>
          <w:cantSplit/>
        </w:trPr>
        <w:tc>
          <w:tcPr>
            <w:tcW w:w="3000" w:type="dxa"/>
            <w:vAlign w:val="center"/>
          </w:tcPr>
          <w:p>
            <w:pPr>
              <w:pStyle w:val="TableText"/>
            </w:pPr>
            <w:r>
              <w:t>Dataset request SHA-256</w:t>
            </w:r>
          </w:p>
        </w:tc>
        <w:tc>
          <w:tcPr>
            <w:tcW w:w="6360" w:type="dxa"/>
            <w:vAlign w:val="center"/>
          </w:tcPr>
          <w:p>
            <w:pPr>
              <w:pStyle w:val="TableText"/>
            </w:pPr>
            <w:r>
              <w:t>bbe0e0662867673393b742822ffc54ac5476e10015bfaacef02831560a8e3bf0</w:t>
            </w:r>
          </w:p>
        </w:tc>
      </w:tr>
      <w:tr>
        <w:trPr>
          <w:cantSplit/>
        </w:trPr>
        <w:tc>
          <w:tcPr>
            <w:tcW w:w="3000" w:type="dxa"/>
            <w:vAlign w:val="center"/>
          </w:tcPr>
          <w:p>
            <w:pPr>
              <w:pStyle w:val="TableText"/>
            </w:pPr>
            <w:r>
              <w:t>Primary artifacts</w:t>
            </w:r>
          </w:p>
        </w:tc>
        <w:tc>
          <w:tcPr>
            <w:tcW w:w="6360" w:type="dxa"/>
            <w:vAlign w:val="center"/>
          </w:tcPr>
          <w:p>
            <w:pPr>
              <w:pStyle w:val="TableText"/>
            </w:pPr>
            <w:r>
              <w:t>best-checkpoint.json; checkpoint-leaderboard.json; training-result.json; validation-benchmark.json; resolved-config.yaml; run-manifest.json</w:t>
            </w:r>
          </w:p>
        </w:tc>
      </w:tr>
    </w:tbl>
    <w:p>
      <w:pPr>
        <w:pStyle w:val="Note"/>
      </w:pPr>
      <w:r>
        <w:t>All values come directly from run artifacts. This report did not retrain, resample, or unlock test.</w:t>
      </w:r>
    </w:p>
    <w:sectPr w:rsidR="00A97D95">
      <w:footerReference r: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One to Fourteen Day Alpha Validation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Stage 2 Alpha Model Performance Evaluation | run-20260903T184811Z-81563229</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2</ns0:revision>
  <dcterms:created xsi:type="dcterms:W3CDTF">2026-07-17T00:00:00Z</dcterms:created>
  <dcterms:modified xsi:type="dcterms:W3CDTF">2026-09-05T10:03:24Z</dcterms:modified>
</ns0:coreProperties>
</file>