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Kicker"/>
      </w:pPr>
      <w:r>
        <w:t>模型指標說明手冊</w:t>
      </w:r>
    </w:p>
    <w:p>
      <w:pPr>
        <w:pStyle w:val="ReportTitle"/>
      </w:pPr>
      <w:r>
        <w:t>先懂股票上的意思，再看公式</w:t>
      </w:r>
    </w:p>
    <w:p>
      <w:pPr>
        <w:pStyle w:val="1"/>
      </w:pPr>
      <w:r>
        <w:t>1 至 14 日 benchmark-relative alpha｜schema 5.0</w:t>
      </w:r>
    </w:p>
    <w:p>
      <w:pPr>
        <w:pStyle w:val="Metadata"/>
      </w:pPr>
      <w:r>
        <w:t>範例數據：run-20260903T140429Z-1247813592</w:t>
      </w:r>
    </w:p>
    <w:p>
      <w:pPr>
        <w:pStyle w:val="Metadata"/>
      </w:pPr>
      <w:r>
        <w:t>更新日期：2026-09-05｜適合第一次閱讀量化模型報告的人</w:t>
      </w:r>
    </w:p>
    <w:p>
      <w:pPr>
        <w:pStyle w:val="Lead"/>
      </w:pPr>
      <w:r>
        <w:t>本手冊不把專有名詞當作解釋。每一個指標都先回答『放到股票上代表什麼』，再用具體股票情境說明，接著交代公式、數字好壞、本次 1 至 14 日結果，以及這個數字不能證明什麼。模型一次輸出 14 個持有期，所以所有總結都以 1 至 14 日為主；第 5 日只能是其中一列。</w:t>
      </w:r>
    </w:p>
    <w:p>
      <w:pPr>
        <w:pStyle w:val="11"/>
      </w:pPr>
      <w:r>
        <w:t>0. 新手先看這一頁</w:t>
      </w:r>
    </w:p>
    <w:p>
      <w:pPr>
        <w:pStyle w:val="Decision"/>
        <w:keepNext/>
        <w:spacing w:after="80"/>
      </w:pPr>
      <w:r>
        <w:t>表 1｜把專有名詞換成股票問題</w:t>
      </w:r>
    </w:p>
    <w:tbl>
      <w:tblPr>
        <w:tblStyle w:val="BenchmarkTable"/>
        <w:tblW w:w="9360" w:type="dxa"/>
        <w:tblLayout w:type="fixed"/>
      </w:tblPr>
      <w:tblGrid>
        <w:gridCol w:w="2500"/>
        <w:gridCol w:w="2200"/>
        <w:gridCol w:w="3020"/>
        <w:gridCol w:w="1640"/>
      </w:tblGrid>
      <w:tr>
        <w:trPr>
          <w:tblHeader/>
        </w:trPr>
        <w:tc>
          <w:tcPr>
            <w:tcW w:w="2500" w:type="dxa"/>
            <w:shd w:val="clear" w:fill="DCE6F1"/>
            <w:vAlign w:val="center"/>
          </w:tcPr>
          <w:p>
            <w:pPr>
              <w:pStyle w:val="TableHeader"/>
            </w:pPr>
            <w:r>
              <w:t>你真正想知道的事</w:t>
            </w:r>
          </w:p>
        </w:tc>
        <w:tc>
          <w:tcPr>
            <w:tcW w:w="2200" w:type="dxa"/>
            <w:shd w:val="clear" w:fill="DCE6F1"/>
            <w:vAlign w:val="center"/>
          </w:tcPr>
          <w:p>
            <w:pPr>
              <w:pStyle w:val="TableHeader"/>
            </w:pPr>
            <w:r>
              <w:t>應看指標</w:t>
            </w:r>
          </w:p>
        </w:tc>
        <w:tc>
          <w:tcPr>
            <w:tcW w:w="3020" w:type="dxa"/>
            <w:shd w:val="clear" w:fill="DCE6F1"/>
            <w:vAlign w:val="center"/>
          </w:tcPr>
          <w:p>
            <w:pPr>
              <w:pStyle w:val="TableHeader"/>
            </w:pPr>
            <w:r>
              <w:t>最直白的意思</w:t>
            </w:r>
          </w:p>
        </w:tc>
        <w:tc>
          <w:tcPr>
            <w:tcW w:w="1640" w:type="dxa"/>
            <w:shd w:val="clear" w:fill="DCE6F1"/>
            <w:vAlign w:val="center"/>
          </w:tcPr>
          <w:p>
            <w:pPr>
              <w:pStyle w:val="TableHeader"/>
            </w:pPr>
            <w:r>
              <w:t>還必須搭配</w:t>
            </w:r>
          </w:p>
        </w:tc>
      </w:tr>
      <w:tr>
        <w:trPr>
          <w:cantSplit/>
        </w:trPr>
        <w:tc>
          <w:tcPr>
            <w:tcW w:w="2500" w:type="dxa"/>
            <w:vAlign w:val="center"/>
          </w:tcPr>
          <w:p>
            <w:pPr>
              <w:pStyle w:val="TableText"/>
            </w:pPr>
            <w:r>
              <w:t>模型預測的到底是什麼？</w:t>
            </w:r>
          </w:p>
        </w:tc>
        <w:tc>
          <w:tcPr>
            <w:tcW w:w="2200" w:type="dxa"/>
            <w:vAlign w:val="center"/>
          </w:tcPr>
          <w:p>
            <w:pPr>
              <w:pStyle w:val="TableText"/>
            </w:pPr>
            <w:r>
              <w:t>q10／q50／q90</w:t>
            </w:r>
          </w:p>
        </w:tc>
        <w:tc>
          <w:tcPr>
            <w:tcW w:w="3020" w:type="dxa"/>
            <w:vAlign w:val="center"/>
          </w:tcPr>
          <w:p>
            <w:pPr>
              <w:pStyle w:val="TableText"/>
            </w:pPr>
            <w:r>
              <w:t>相對 benchmark 的悲觀、中間、樂觀 alpha，不是股價目標</w:t>
            </w:r>
          </w:p>
        </w:tc>
        <w:tc>
          <w:tcPr>
            <w:tcW w:w="1640" w:type="dxa"/>
            <w:vAlign w:val="center"/>
          </w:tcPr>
          <w:p>
            <w:pPr>
              <w:pStyle w:val="TableText"/>
            </w:pPr>
            <w:r>
              <w:t>horizon 與 log-return 單位</w:t>
            </w:r>
          </w:p>
        </w:tc>
      </w:tr>
      <w:tr>
        <w:trPr>
          <w:cantSplit/>
        </w:trPr>
        <w:tc>
          <w:tcPr>
            <w:tcW w:w="2500" w:type="dxa"/>
            <w:vAlign w:val="center"/>
          </w:tcPr>
          <w:p>
            <w:pPr>
              <w:pStyle w:val="TableText"/>
            </w:pPr>
            <w:r>
              <w:t>整組分布有沒有比別的模型準？</w:t>
            </w:r>
          </w:p>
        </w:tc>
        <w:tc>
          <w:tcPr>
            <w:tcW w:w="2200" w:type="dxa"/>
            <w:vAlign w:val="center"/>
          </w:tcPr>
          <w:p>
            <w:pPr>
              <w:pStyle w:val="TableText"/>
            </w:pPr>
            <w:r>
              <w:t>normalized pinball／selection score</w:t>
            </w:r>
          </w:p>
        </w:tc>
        <w:tc>
          <w:tcPr>
            <w:tcW w:w="3020" w:type="dxa"/>
            <w:vAlign w:val="center"/>
          </w:tcPr>
          <w:p>
            <w:pPr>
              <w:pStyle w:val="TableText"/>
            </w:pPr>
            <w:r>
              <w:t>分位數放錯位置的程度；越低越好</w:t>
            </w:r>
          </w:p>
        </w:tc>
        <w:tc>
          <w:tcPr>
            <w:tcW w:w="1640" w:type="dxa"/>
            <w:vAlign w:val="center"/>
          </w:tcPr>
          <w:p>
            <w:pPr>
              <w:pStyle w:val="TableText"/>
            </w:pPr>
            <w:r>
              <w:t>逐一檢查 1–14 日</w:t>
            </w:r>
          </w:p>
        </w:tc>
      </w:tr>
      <w:tr>
        <w:trPr>
          <w:cantSplit/>
        </w:trPr>
        <w:tc>
          <w:tcPr>
            <w:tcW w:w="2500" w:type="dxa"/>
            <w:vAlign w:val="center"/>
          </w:tcPr>
          <w:p>
            <w:pPr>
              <w:pStyle w:val="TableText"/>
            </w:pPr>
            <w:r>
              <w:t>中間預測離實際有多遠？</w:t>
            </w:r>
          </w:p>
        </w:tc>
        <w:tc>
          <w:tcPr>
            <w:tcW w:w="2200" w:type="dxa"/>
            <w:vAlign w:val="center"/>
          </w:tcPr>
          <w:p>
            <w:pPr>
              <w:pStyle w:val="TableText"/>
            </w:pPr>
            <w:r>
              <w:t>q50 MAE／N-MAE</w:t>
            </w:r>
          </w:p>
        </w:tc>
        <w:tc>
          <w:tcPr>
            <w:tcW w:w="3020" w:type="dxa"/>
            <w:vAlign w:val="center"/>
          </w:tcPr>
          <w:p>
            <w:pPr>
              <w:pStyle w:val="TableText"/>
            </w:pPr>
            <w:r>
              <w:t>q50 平均猜錯多少</w:t>
            </w:r>
          </w:p>
        </w:tc>
        <w:tc>
          <w:tcPr>
            <w:tcW w:w="1640" w:type="dxa"/>
            <w:vAlign w:val="center"/>
          </w:tcPr>
          <w:p>
            <w:pPr>
              <w:pStyle w:val="TableText"/>
            </w:pPr>
            <w:r>
              <w:t>correlation、direction</w:t>
            </w:r>
          </w:p>
        </w:tc>
      </w:tr>
      <w:tr>
        <w:trPr>
          <w:cantSplit/>
        </w:trPr>
        <w:tc>
          <w:tcPr>
            <w:tcW w:w="2500" w:type="dxa"/>
            <w:vAlign w:val="center"/>
          </w:tcPr>
          <w:p>
            <w:pPr>
              <w:pStyle w:val="TableText"/>
            </w:pPr>
            <w:r>
              <w:t>悲觀到樂觀範圍可信嗎？</w:t>
            </w:r>
          </w:p>
        </w:tc>
        <w:tc>
          <w:tcPr>
            <w:tcW w:w="2200" w:type="dxa"/>
            <w:vAlign w:val="center"/>
          </w:tcPr>
          <w:p>
            <w:pPr>
              <w:pStyle w:val="TableText"/>
            </w:pPr>
            <w:r>
              <w:t>coverage／width</w:t>
            </w:r>
          </w:p>
        </w:tc>
        <w:tc>
          <w:tcPr>
            <w:tcW w:w="3020" w:type="dxa"/>
            <w:vAlign w:val="center"/>
          </w:tcPr>
          <w:p>
            <w:pPr>
              <w:pStyle w:val="TableText"/>
            </w:pPr>
            <w:r>
              <w:t>實際值有沒有常落在 q10–q90，區間又有多寬</w:t>
            </w:r>
          </w:p>
        </w:tc>
        <w:tc>
          <w:tcPr>
            <w:tcW w:w="1640" w:type="dxa"/>
            <w:vAlign w:val="center"/>
          </w:tcPr>
          <w:p>
            <w:pPr>
              <w:pStyle w:val="TableText"/>
            </w:pPr>
            <w:r>
              <w:t>coverage error</w:t>
            </w:r>
          </w:p>
        </w:tc>
      </w:tr>
      <w:tr>
        <w:trPr>
          <w:cantSplit/>
        </w:trPr>
        <w:tc>
          <w:tcPr>
            <w:tcW w:w="2500" w:type="dxa"/>
            <w:vAlign w:val="center"/>
          </w:tcPr>
          <w:p>
            <w:pPr>
              <w:pStyle w:val="TableText"/>
            </w:pPr>
            <w:r>
              <w:t>同一天能不能挑出相對強股？</w:t>
            </w:r>
          </w:p>
        </w:tc>
        <w:tc>
          <w:tcPr>
            <w:tcW w:w="2200" w:type="dxa"/>
            <w:vAlign w:val="center"/>
          </w:tcPr>
          <w:p>
            <w:pPr>
              <w:pStyle w:val="TableText"/>
            </w:pPr>
            <w:r>
              <w:t>RankIC／ICIR</w:t>
            </w:r>
          </w:p>
        </w:tc>
        <w:tc>
          <w:tcPr>
            <w:tcW w:w="3020" w:type="dxa"/>
            <w:vAlign w:val="center"/>
          </w:tcPr>
          <w:p>
            <w:pPr>
              <w:pStyle w:val="TableText"/>
            </w:pPr>
            <w:r>
              <w:t>預測排序與實際排序是否一致、是否穩定</w:t>
            </w:r>
          </w:p>
        </w:tc>
        <w:tc>
          <w:tcPr>
            <w:tcW w:w="1640" w:type="dxa"/>
            <w:vAlign w:val="center"/>
          </w:tcPr>
          <w:p>
            <w:pPr>
              <w:pStyle w:val="TableText"/>
            </w:pPr>
            <w:r>
              <w:t>long/short、turnover</w:t>
            </w:r>
          </w:p>
        </w:tc>
      </w:tr>
      <w:tr>
        <w:trPr>
          <w:cantSplit/>
        </w:trPr>
        <w:tc>
          <w:tcPr>
            <w:tcW w:w="2500" w:type="dxa"/>
            <w:vAlign w:val="center"/>
          </w:tcPr>
          <w:p>
            <w:pPr>
              <w:pStyle w:val="TableText"/>
            </w:pPr>
            <w:r>
              <w:t>模擬資金路徑能不能承受？</w:t>
            </w:r>
          </w:p>
        </w:tc>
        <w:tc>
          <w:tcPr>
            <w:tcW w:w="2200" w:type="dxa"/>
            <w:vAlign w:val="center"/>
          </w:tcPr>
          <w:p>
            <w:pPr>
              <w:pStyle w:val="TableText"/>
            </w:pPr>
            <w:r>
              <w:t>net return／Sharpe／MDD</w:t>
            </w:r>
          </w:p>
        </w:tc>
        <w:tc>
          <w:tcPr>
            <w:tcW w:w="3020" w:type="dxa"/>
            <w:vAlign w:val="center"/>
          </w:tcPr>
          <w:p>
            <w:pPr>
              <w:pStyle w:val="TableText"/>
            </w:pPr>
            <w:r>
              <w:t>成本後報酬、報酬波動比、最深回撤</w:t>
            </w:r>
          </w:p>
        </w:tc>
        <w:tc>
          <w:tcPr>
            <w:tcW w:w="1640" w:type="dxa"/>
            <w:vAlign w:val="center"/>
          </w:tcPr>
          <w:p>
            <w:pPr>
              <w:pStyle w:val="TableText"/>
            </w:pPr>
            <w:r>
              <w:t>test、滑價、借券、容量</w:t>
            </w:r>
          </w:p>
        </w:tc>
      </w:tr>
    </w:tbl>
    <w:p>
      <w:pPr>
        <w:pStyle w:val="a"/>
      </w:pPr>
      <w:r>
        <w:t>本次 run 的一句話結論：14 日等權 selection score=0.314759，13 個模型第 1；RankIC 與成本後 Sharpe 在 14 個 horizon 全為正，但最大回撤由 1 日約 -15.4% 惡化到 14 日約 -66.7%。這表示分布預測與股票排序值得進一步驗證，不表示已可交易。</w:t>
      </w:r>
    </w:p>
    <w:p>
      <w:pPr>
        <w:pStyle w:val="11"/>
      </w:pPr>
      <w:r>
        <w:t>1. 模型預測的不是股價，而是相對 benchmark 的 alpha</w:t>
      </w:r>
    </w:p>
    <w:p>
      <w:pPr>
        <w:pStyle w:val="31"/>
      </w:pPr>
      <w:r>
        <w:t>1.1 Target alpha／真值 y</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問的是：從下一個共同交易日開盤進場，到第 h 個共同交易日收盤出場，這檔股票相對 benchmark 多賺或少賺多少？正數代表跑贏 benchmark；負數代表跑輸。</w:t>
            </w:r>
          </w:p>
        </w:tc>
      </w:tr>
      <w:tr>
        <w:trPr>
          <w:cantSplit/>
        </w:trPr>
        <w:tc>
          <w:tcPr>
            <w:tcW w:w="1900" w:type="dxa"/>
            <w:vAlign w:val="center"/>
          </w:tcPr>
          <w:p>
            <w:pPr>
              <w:pStyle w:val="TableText"/>
            </w:pPr>
            <w:r>
              <w:t>股票情境</w:t>
            </w:r>
          </w:p>
        </w:tc>
        <w:tc>
          <w:tcPr>
            <w:tcW w:w="7460" w:type="dxa"/>
            <w:vAlign w:val="center"/>
          </w:tcPr>
          <w:p>
            <w:pPr>
              <w:pStyle w:val="TableText"/>
            </w:pPr>
            <w:r>
              <w:t>股票 adjusted gross return=1.06、benchmark=1.02，股票本身漲約 6%，benchmark 漲約 2%。模型評估的 y=ln(1.06/1.02)=0.03847；換回 gross-ratio 尺度 exp(y)−1=3.92%，意思是相對 benchmark 約多 3.92%，不是『預測股價 3.92 元』。</w:t>
            </w:r>
          </w:p>
        </w:tc>
      </w:tr>
      <w:tr>
        <w:trPr>
          <w:cantSplit/>
        </w:trPr>
        <w:tc>
          <w:tcPr>
            <w:tcW w:w="1900" w:type="dxa"/>
            <w:vAlign w:val="center"/>
          </w:tcPr>
          <w:p>
            <w:pPr>
              <w:pStyle w:val="TableText"/>
            </w:pPr>
            <w:r>
              <w:t>實際計算</w:t>
            </w:r>
          </w:p>
        </w:tc>
        <w:tc>
          <w:tcPr>
            <w:tcW w:w="7460" w:type="dxa"/>
            <w:vAlign w:val="center"/>
          </w:tcPr>
          <w:p>
            <w:pPr>
              <w:pStyle w:val="TableText"/>
            </w:pPr>
            <w:r>
              <w:t>yᵢ,ₕ=ln(asset adjusted grossᵢ,ₕ)−ln(benchmark adjusted grossᵢ,ₕ)=ln(asset gross/benchmark gross)。訊號在 t 日收盤後形成；下一個兩者共同交易日的 raw regular-session open 是進場，第 h 個共同持有交易日 raw close 是出場。</w:t>
            </w:r>
          </w:p>
        </w:tc>
      </w:tr>
      <w:tr>
        <w:trPr>
          <w:cantSplit/>
        </w:trPr>
        <w:tc>
          <w:tcPr>
            <w:tcW w:w="1900" w:type="dxa"/>
            <w:vAlign w:val="center"/>
          </w:tcPr>
          <w:p>
            <w:pPr>
              <w:pStyle w:val="TableText"/>
            </w:pPr>
            <w:r>
              <w:t>怎麼判讀</w:t>
            </w:r>
          </w:p>
        </w:tc>
        <w:tc>
          <w:tcPr>
            <w:tcW w:w="7460" w:type="dxa"/>
            <w:vAlign w:val="center"/>
          </w:tcPr>
          <w:p>
            <w:pPr>
              <w:pStyle w:val="TableText"/>
            </w:pPr>
            <w:r>
              <w:t>y&gt;0 是相對強勢，y&lt;0 是相對弱勢，y=0 是與 benchmark 相同。若 log alpha=0.05，換成相對 gross ratio 是 exp(0.05)−1=5.13%。</w:t>
            </w:r>
          </w:p>
        </w:tc>
      </w:tr>
      <w:tr>
        <w:trPr>
          <w:cantSplit/>
        </w:trPr>
        <w:tc>
          <w:tcPr>
            <w:tcW w:w="1900" w:type="dxa"/>
            <w:vAlign w:val="center"/>
          </w:tcPr>
          <w:p>
            <w:pPr>
              <w:pStyle w:val="TableText"/>
            </w:pPr>
            <w:r>
              <w:t>本次 run</w:t>
            </w:r>
          </w:p>
        </w:tc>
        <w:tc>
          <w:tcPr>
            <w:tcW w:w="7460" w:type="dxa"/>
            <w:vAlign w:val="center"/>
          </w:tcPr>
          <w:p>
            <w:pPr>
              <w:pStyle w:val="TableText"/>
            </w:pPr>
            <w:r>
              <w:t>本次 validation 有 20,000 筆樣本，每筆都具有 1d、2d、…、14d 共 14 個 y。模型與真值在每個 horizon 一一對齊。</w:t>
            </w:r>
          </w:p>
        </w:tc>
      </w:tr>
      <w:tr>
        <w:trPr>
          <w:cantSplit/>
        </w:trPr>
        <w:tc>
          <w:tcPr>
            <w:tcW w:w="1900" w:type="dxa"/>
            <w:vAlign w:val="center"/>
          </w:tcPr>
          <w:p>
            <w:pPr>
              <w:pStyle w:val="TableText"/>
            </w:pPr>
            <w:r>
              <w:t>不能這樣解讀</w:t>
            </w:r>
          </w:p>
        </w:tc>
        <w:tc>
          <w:tcPr>
            <w:tcW w:w="7460" w:type="dxa"/>
            <w:vAlign w:val="center"/>
          </w:tcPr>
          <w:p>
            <w:pPr>
              <w:pStyle w:val="TableText"/>
            </w:pPr>
            <w:r>
              <w:t>它不是股票絕對漲跌、估值、目標價、EPS 成長率，也不是把股票簡單報酬直接減 benchmark 簡單報酬。</w:t>
            </w:r>
          </w:p>
        </w:tc>
      </w:tr>
      <w:tr>
        <w:trPr>
          <w:cantSplit/>
        </w:trPr>
        <w:tc>
          <w:tcPr>
            <w:tcW w:w="1900" w:type="dxa"/>
            <w:vAlign w:val="center"/>
          </w:tcPr>
          <w:p>
            <w:pPr>
              <w:pStyle w:val="TableText"/>
            </w:pPr>
            <w:r>
              <w:t>應搭配閱讀</w:t>
            </w:r>
          </w:p>
        </w:tc>
        <w:tc>
          <w:tcPr>
            <w:tcW w:w="7460" w:type="dxa"/>
            <w:vAlign w:val="center"/>
          </w:tcPr>
          <w:p>
            <w:pPr>
              <w:pStyle w:val="TableText"/>
            </w:pPr>
            <w:r>
              <w:t>所有 q 值、MAE、pinball 與區間寬度都沿用這個 benchmark-relative log-return 單位。</w:t>
            </w:r>
          </w:p>
        </w:tc>
      </w:tr>
    </w:tbl>
    <w:p>
      <w:pPr>
        <w:pStyle w:val="31"/>
      </w:pPr>
      <w:r>
        <w:t>1.2 Horizon／1 至 14 日持有期</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同一檔股票今天會得到 14 組答案：持有 1 日怎麼看、2 日怎麼看，一直到 14 日怎麼看。它不是只預測第 5 日。</w:t>
            </w:r>
          </w:p>
        </w:tc>
      </w:tr>
      <w:tr>
        <w:trPr>
          <w:cantSplit/>
        </w:trPr>
        <w:tc>
          <w:tcPr>
            <w:tcW w:w="1900" w:type="dxa"/>
            <w:vAlign w:val="center"/>
          </w:tcPr>
          <w:p>
            <w:pPr>
              <w:pStyle w:val="TableText"/>
            </w:pPr>
            <w:r>
              <w:t>股票情境</w:t>
            </w:r>
          </w:p>
        </w:tc>
        <w:tc>
          <w:tcPr>
            <w:tcW w:w="7460" w:type="dxa"/>
            <w:vAlign w:val="center"/>
          </w:tcPr>
          <w:p>
            <w:pPr>
              <w:pStyle w:val="TableText"/>
            </w:pPr>
            <w:r>
              <w:t>某股票 1 日可能受短線雜訊影響，q50 接近 0；7 日可能有正 alpha；14 日也可能因風險累積而出現更寬的 q10–q90。三個 horizon 回答的是不同持有期間，不能拿第 5 日代替全部。</w:t>
            </w:r>
          </w:p>
        </w:tc>
      </w:tr>
      <w:tr>
        <w:trPr>
          <w:cantSplit/>
        </w:trPr>
        <w:tc>
          <w:tcPr>
            <w:tcW w:w="1900" w:type="dxa"/>
            <w:vAlign w:val="center"/>
          </w:tcPr>
          <w:p>
            <w:pPr>
              <w:pStyle w:val="TableText"/>
            </w:pPr>
            <w:r>
              <w:t>實際計算</w:t>
            </w:r>
          </w:p>
        </w:tc>
        <w:tc>
          <w:tcPr>
            <w:tcW w:w="7460" w:type="dxa"/>
            <w:vAlign w:val="center"/>
          </w:tcPr>
          <w:p>
            <w:pPr>
              <w:pStyle w:val="TableText"/>
            </w:pPr>
            <w:r>
              <w:t>alpha_quantiles 的 shape 是 [batch,14,3]。第二維 index 0–13 對應 1d–14d；每一列第三維依序為 q10、q50、q90。所有 per_horizon 指標都分開計算，selection score 再對 14 列等權平均。</w:t>
            </w:r>
          </w:p>
        </w:tc>
      </w:tr>
      <w:tr>
        <w:trPr>
          <w:cantSplit/>
        </w:trPr>
        <w:tc>
          <w:tcPr>
            <w:tcW w:w="1900" w:type="dxa"/>
            <w:vAlign w:val="center"/>
          </w:tcPr>
          <w:p>
            <w:pPr>
              <w:pStyle w:val="TableText"/>
            </w:pPr>
            <w:r>
              <w:t>怎麼判讀</w:t>
            </w:r>
          </w:p>
        </w:tc>
        <w:tc>
          <w:tcPr>
            <w:tcW w:w="7460" w:type="dxa"/>
            <w:vAlign w:val="center"/>
          </w:tcPr>
          <w:p>
            <w:pPr>
              <w:pStyle w:val="TableText"/>
            </w:pPr>
            <w:r>
              <w:t>選模型先看 14 日總分，再逐日確認是否普遍有效；選實際持有期則還要看該日的誤差、coverage、RankIC、Sharpe、MDD 與 turnover。</w:t>
            </w:r>
          </w:p>
        </w:tc>
      </w:tr>
      <w:tr>
        <w:trPr>
          <w:cantSplit/>
        </w:trPr>
        <w:tc>
          <w:tcPr>
            <w:tcW w:w="1900" w:type="dxa"/>
            <w:vAlign w:val="center"/>
          </w:tcPr>
          <w:p>
            <w:pPr>
              <w:pStyle w:val="TableText"/>
            </w:pPr>
            <w:r>
              <w:t>本次 run</w:t>
            </w:r>
          </w:p>
        </w:tc>
        <w:tc>
          <w:tcPr>
            <w:tcW w:w="7460" w:type="dxa"/>
            <w:vAlign w:val="center"/>
          </w:tcPr>
          <w:p>
            <w:pPr>
              <w:pStyle w:val="TableText"/>
            </w:pPr>
            <w:r>
              <w:t>本次 normalized pinball 在第 1 日排名第 2，第 2 至 14 日均排名第 1；因此總分優勢並非只來自第 5 日。</w:t>
            </w:r>
          </w:p>
        </w:tc>
      </w:tr>
      <w:tr>
        <w:trPr>
          <w:cantSplit/>
        </w:trPr>
        <w:tc>
          <w:tcPr>
            <w:tcW w:w="1900" w:type="dxa"/>
            <w:vAlign w:val="center"/>
          </w:tcPr>
          <w:p>
            <w:pPr>
              <w:pStyle w:val="TableText"/>
            </w:pPr>
            <w:r>
              <w:t>不能這樣解讀</w:t>
            </w:r>
          </w:p>
        </w:tc>
        <w:tc>
          <w:tcPr>
            <w:tcW w:w="7460" w:type="dxa"/>
            <w:vAlign w:val="center"/>
          </w:tcPr>
          <w:p>
            <w:pPr>
              <w:pStyle w:val="TableText"/>
            </w:pPr>
            <w:r>
              <w:t>JSON 名稱 primary_5d 是相容舊監控路徑；其中 selection_score 仍是 1–14 日總分。不要因欄位名稱含 5d 就把整份模型報告縮成 5 日評估。</w:t>
            </w:r>
          </w:p>
        </w:tc>
      </w:tr>
    </w:tbl>
    <w:p>
      <w:pPr>
        <w:pStyle w:val="21"/>
      </w:pPr>
      <w:r>
        <w:t>1.3 q10、q50、q90：先用股票情境理解</w:t>
      </w:r>
    </w:p>
    <w:p>
      <w:pPr>
        <w:pStyle w:val="a"/>
      </w:pPr>
      <w:r>
        <w:t>每個 q 都是在預測『相對 benchmark 的 adjusted execution log return』，不是股票估值、絕對漲幅、價格目標或三種漲跌機率。最容易理解的方法，是把 q10 當偏悲觀結果、q50 當中間結果、q90 當偏樂觀結果。</w:t>
      </w:r>
    </w:p>
    <w:tbl>
      <w:tblPr>
        <w:tblStyle w:val="BenchmarkTable"/>
        <w:tblW w:w="9360" w:type="dxa"/>
        <w:tblLayout w:type="fixed"/>
      </w:tblPr>
      <w:tblGrid>
        <w:gridCol w:w="2020"/>
        <w:gridCol w:w="720"/>
        <w:gridCol w:w="720"/>
        <w:gridCol w:w="720"/>
        <w:gridCol w:w="3690"/>
        <w:gridCol w:w="1490"/>
      </w:tblGrid>
      <w:tr>
        <w:trPr>
          <w:tblHeader/>
        </w:trPr>
        <w:tc>
          <w:tcPr>
            <w:tcW w:w="2020" w:type="dxa"/>
            <w:shd w:val="clear" w:fill="DCE6F1"/>
            <w:vAlign w:val="center"/>
          </w:tcPr>
          <w:p>
            <w:pPr>
              <w:pStyle w:val="TableHeader"/>
            </w:pPr>
            <w:r>
              <w:t>股票情境</w:t>
            </w:r>
          </w:p>
        </w:tc>
        <w:tc>
          <w:tcPr>
            <w:tcW w:w="720" w:type="dxa"/>
            <w:shd w:val="clear" w:fill="DCE6F1"/>
            <w:vAlign w:val="center"/>
          </w:tcPr>
          <w:p>
            <w:pPr>
              <w:pStyle w:val="TableHeader"/>
            </w:pPr>
            <w:r>
              <w:t>q10</w:t>
            </w:r>
          </w:p>
        </w:tc>
        <w:tc>
          <w:tcPr>
            <w:tcW w:w="720" w:type="dxa"/>
            <w:shd w:val="clear" w:fill="DCE6F1"/>
            <w:vAlign w:val="center"/>
          </w:tcPr>
          <w:p>
            <w:pPr>
              <w:pStyle w:val="TableHeader"/>
            </w:pPr>
            <w:r>
              <w:t>q50</w:t>
            </w:r>
          </w:p>
        </w:tc>
        <w:tc>
          <w:tcPr>
            <w:tcW w:w="720" w:type="dxa"/>
            <w:shd w:val="clear" w:fill="DCE6F1"/>
            <w:vAlign w:val="center"/>
          </w:tcPr>
          <w:p>
            <w:pPr>
              <w:pStyle w:val="TableHeader"/>
            </w:pPr>
            <w:r>
              <w:t>q90</w:t>
            </w:r>
          </w:p>
        </w:tc>
        <w:tc>
          <w:tcPr>
            <w:tcW w:w="3690" w:type="dxa"/>
            <w:shd w:val="clear" w:fill="DCE6F1"/>
            <w:vAlign w:val="center"/>
          </w:tcPr>
          <w:p>
            <w:pPr>
              <w:pStyle w:val="TableHeader"/>
            </w:pPr>
            <w:r>
              <w:t>白話解讀</w:t>
            </w:r>
          </w:p>
        </w:tc>
        <w:tc>
          <w:tcPr>
            <w:tcW w:w="1490" w:type="dxa"/>
            <w:shd w:val="clear" w:fill="DCE6F1"/>
            <w:vAlign w:val="center"/>
          </w:tcPr>
          <w:p>
            <w:pPr>
              <w:pStyle w:val="TableHeader"/>
            </w:pPr>
            <w:r>
              <w:t>θ=0 衍生標籤</w:t>
            </w:r>
          </w:p>
        </w:tc>
      </w:tr>
      <w:tr>
        <w:trPr>
          <w:cantSplit/>
        </w:trPr>
        <w:tc>
          <w:tcPr>
            <w:tcW w:w="2020" w:type="dxa"/>
            <w:vAlign w:val="center"/>
          </w:tcPr>
          <w:p>
            <w:pPr>
              <w:pStyle w:val="TableText"/>
            </w:pPr>
            <w:r>
              <w:t>穩定優於大盤的強勢股</w:t>
            </w:r>
          </w:p>
        </w:tc>
        <w:tc>
          <w:tcPr>
            <w:tcW w:w="720" w:type="dxa"/>
            <w:vAlign w:val="center"/>
          </w:tcPr>
          <w:p>
            <w:pPr>
              <w:pStyle w:val="TableText"/>
            </w:pPr>
            <w:r>
              <w:t>+0.02</w:t>
            </w:r>
          </w:p>
        </w:tc>
        <w:tc>
          <w:tcPr>
            <w:tcW w:w="720" w:type="dxa"/>
            <w:vAlign w:val="center"/>
          </w:tcPr>
          <w:p>
            <w:pPr>
              <w:pStyle w:val="TableText"/>
            </w:pPr>
            <w:r>
              <w:t>+0.05</w:t>
            </w:r>
          </w:p>
        </w:tc>
        <w:tc>
          <w:tcPr>
            <w:tcW w:w="720" w:type="dxa"/>
            <w:vAlign w:val="center"/>
          </w:tcPr>
          <w:p>
            <w:pPr>
              <w:pStyle w:val="TableText"/>
            </w:pPr>
            <w:r>
              <w:t>+0.09</w:t>
            </w:r>
          </w:p>
        </w:tc>
        <w:tc>
          <w:tcPr>
            <w:tcW w:w="3690" w:type="dxa"/>
            <w:vAlign w:val="center"/>
          </w:tcPr>
          <w:p>
            <w:pPr>
              <w:pStyle w:val="TableText"/>
            </w:pPr>
            <w:r>
              <w:t>連偏悲觀結果都優於 benchmark；中間約 +5.13% 相對 gross ratio</w:t>
            </w:r>
          </w:p>
        </w:tc>
        <w:tc>
          <w:tcPr>
            <w:tcW w:w="1490" w:type="dxa"/>
            <w:vAlign w:val="center"/>
          </w:tcPr>
          <w:p>
            <w:pPr>
              <w:pStyle w:val="TableText"/>
            </w:pPr>
            <w:r>
              <w:t>strong_bullish</w:t>
            </w:r>
          </w:p>
        </w:tc>
      </w:tr>
      <w:tr>
        <w:trPr>
          <w:cantSplit/>
        </w:trPr>
        <w:tc>
          <w:tcPr>
            <w:tcW w:w="2020" w:type="dxa"/>
            <w:vAlign w:val="center"/>
          </w:tcPr>
          <w:p>
            <w:pPr>
              <w:pStyle w:val="TableText"/>
            </w:pPr>
            <w:r>
              <w:t>相對弱勢的低價股／雞蛋水餃股</w:t>
            </w:r>
          </w:p>
        </w:tc>
        <w:tc>
          <w:tcPr>
            <w:tcW w:w="720" w:type="dxa"/>
            <w:vAlign w:val="center"/>
          </w:tcPr>
          <w:p>
            <w:pPr>
              <w:pStyle w:val="TableText"/>
            </w:pPr>
            <w:r>
              <w:t>−0.12</w:t>
            </w:r>
          </w:p>
        </w:tc>
        <w:tc>
          <w:tcPr>
            <w:tcW w:w="720" w:type="dxa"/>
            <w:vAlign w:val="center"/>
          </w:tcPr>
          <w:p>
            <w:pPr>
              <w:pStyle w:val="TableText"/>
            </w:pPr>
            <w:r>
              <w:t>−0.06</w:t>
            </w:r>
          </w:p>
        </w:tc>
        <w:tc>
          <w:tcPr>
            <w:tcW w:w="720" w:type="dxa"/>
            <w:vAlign w:val="center"/>
          </w:tcPr>
          <w:p>
            <w:pPr>
              <w:pStyle w:val="TableText"/>
            </w:pPr>
            <w:r>
              <w:t>−0.01</w:t>
            </w:r>
          </w:p>
        </w:tc>
        <w:tc>
          <w:tcPr>
            <w:tcW w:w="3690" w:type="dxa"/>
            <w:vAlign w:val="center"/>
          </w:tcPr>
          <w:p>
            <w:pPr>
              <w:pStyle w:val="TableText"/>
            </w:pPr>
            <w:r>
              <w:t>連偏樂觀結果仍跑輸 benchmark</w:t>
            </w:r>
          </w:p>
        </w:tc>
        <w:tc>
          <w:tcPr>
            <w:tcW w:w="1490" w:type="dxa"/>
            <w:vAlign w:val="center"/>
          </w:tcPr>
          <w:p>
            <w:pPr>
              <w:pStyle w:val="TableText"/>
            </w:pPr>
            <w:r>
              <w:t>strong_bearish</w:t>
            </w:r>
          </w:p>
        </w:tc>
      </w:tr>
      <w:tr>
        <w:trPr>
          <w:cantSplit/>
        </w:trPr>
        <w:tc>
          <w:tcPr>
            <w:tcW w:w="2020" w:type="dxa"/>
            <w:vAlign w:val="center"/>
          </w:tcPr>
          <w:p>
            <w:pPr>
              <w:pStyle w:val="TableText"/>
            </w:pPr>
            <w:r>
              <w:t>上下尾很大的妖股</w:t>
            </w:r>
          </w:p>
        </w:tc>
        <w:tc>
          <w:tcPr>
            <w:tcW w:w="720" w:type="dxa"/>
            <w:vAlign w:val="center"/>
          </w:tcPr>
          <w:p>
            <w:pPr>
              <w:pStyle w:val="TableText"/>
            </w:pPr>
            <w:r>
              <w:t>−0.08</w:t>
            </w:r>
          </w:p>
        </w:tc>
        <w:tc>
          <w:tcPr>
            <w:tcW w:w="720" w:type="dxa"/>
            <w:vAlign w:val="center"/>
          </w:tcPr>
          <w:p>
            <w:pPr>
              <w:pStyle w:val="TableText"/>
            </w:pPr>
            <w:r>
              <w:t>−0.01</w:t>
            </w:r>
          </w:p>
        </w:tc>
        <w:tc>
          <w:tcPr>
            <w:tcW w:w="720" w:type="dxa"/>
            <w:vAlign w:val="center"/>
          </w:tcPr>
          <w:p>
            <w:pPr>
              <w:pStyle w:val="TableText"/>
            </w:pPr>
            <w:r>
              <w:t>+0.25</w:t>
            </w:r>
          </w:p>
        </w:tc>
        <w:tc>
          <w:tcPr>
            <w:tcW w:w="3690" w:type="dxa"/>
            <w:vAlign w:val="center"/>
          </w:tcPr>
          <w:p>
            <w:pPr>
              <w:pStyle w:val="TableText"/>
            </w:pPr>
            <w:r>
              <w:t>悲觀與中間不佳，但偏樂觀尾端很大；可能爆發，不代表大概率上漲</w:t>
            </w:r>
          </w:p>
        </w:tc>
        <w:tc>
          <w:tcPr>
            <w:tcW w:w="1490" w:type="dxa"/>
            <w:vAlign w:val="center"/>
          </w:tcPr>
          <w:p>
            <w:pPr>
              <w:pStyle w:val="TableText"/>
            </w:pPr>
            <w:r>
              <w:t>bearish</w:t>
            </w:r>
          </w:p>
        </w:tc>
      </w:tr>
      <w:tr>
        <w:trPr>
          <w:cantSplit/>
        </w:trPr>
        <w:tc>
          <w:tcPr>
            <w:tcW w:w="2020" w:type="dxa"/>
            <w:vAlign w:val="center"/>
          </w:tcPr>
          <w:p>
            <w:pPr>
              <w:pStyle w:val="TableText"/>
            </w:pPr>
            <w:r>
              <w:t>中間偏多、仍有下行風險</w:t>
            </w:r>
          </w:p>
        </w:tc>
        <w:tc>
          <w:tcPr>
            <w:tcW w:w="720" w:type="dxa"/>
            <w:vAlign w:val="center"/>
          </w:tcPr>
          <w:p>
            <w:pPr>
              <w:pStyle w:val="TableText"/>
            </w:pPr>
            <w:r>
              <w:t>−0.04</w:t>
            </w:r>
          </w:p>
        </w:tc>
        <w:tc>
          <w:tcPr>
            <w:tcW w:w="720" w:type="dxa"/>
            <w:vAlign w:val="center"/>
          </w:tcPr>
          <w:p>
            <w:pPr>
              <w:pStyle w:val="TableText"/>
            </w:pPr>
            <w:r>
              <w:t>+0.03</w:t>
            </w:r>
          </w:p>
        </w:tc>
        <w:tc>
          <w:tcPr>
            <w:tcW w:w="720" w:type="dxa"/>
            <w:vAlign w:val="center"/>
          </w:tcPr>
          <w:p>
            <w:pPr>
              <w:pStyle w:val="TableText"/>
            </w:pPr>
            <w:r>
              <w:t>+0.10</w:t>
            </w:r>
          </w:p>
        </w:tc>
        <w:tc>
          <w:tcPr>
            <w:tcW w:w="3690" w:type="dxa"/>
            <w:vAlign w:val="center"/>
          </w:tcPr>
          <w:p>
            <w:pPr>
              <w:pStyle w:val="TableText"/>
            </w:pPr>
            <w:r>
              <w:t>典型結果偏多，但悲觀情境仍跑輸 benchmark</w:t>
            </w:r>
          </w:p>
        </w:tc>
        <w:tc>
          <w:tcPr>
            <w:tcW w:w="1490" w:type="dxa"/>
            <w:vAlign w:val="center"/>
          </w:tcPr>
          <w:p>
            <w:pPr>
              <w:pStyle w:val="TableText"/>
            </w:pPr>
            <w:r>
              <w:t>bullish</w:t>
            </w:r>
          </w:p>
        </w:tc>
      </w:tr>
      <w:tr>
        <w:trPr>
          <w:cantSplit/>
        </w:trPr>
        <w:tc>
          <w:tcPr>
            <w:tcW w:w="2020" w:type="dxa"/>
            <w:vAlign w:val="center"/>
          </w:tcPr>
          <w:p>
            <w:pPr>
              <w:pStyle w:val="TableText"/>
            </w:pPr>
            <w:r>
              <w:t>沒有明確中間方向</w:t>
            </w:r>
          </w:p>
        </w:tc>
        <w:tc>
          <w:tcPr>
            <w:tcW w:w="720" w:type="dxa"/>
            <w:vAlign w:val="center"/>
          </w:tcPr>
          <w:p>
            <w:pPr>
              <w:pStyle w:val="TableText"/>
            </w:pPr>
            <w:r>
              <w:t>−0.02</w:t>
            </w:r>
          </w:p>
        </w:tc>
        <w:tc>
          <w:tcPr>
            <w:tcW w:w="720" w:type="dxa"/>
            <w:vAlign w:val="center"/>
          </w:tcPr>
          <w:p>
            <w:pPr>
              <w:pStyle w:val="TableText"/>
            </w:pPr>
            <w:r>
              <w:t>0.00</w:t>
            </w:r>
          </w:p>
        </w:tc>
        <w:tc>
          <w:tcPr>
            <w:tcW w:w="720" w:type="dxa"/>
            <w:vAlign w:val="center"/>
          </w:tcPr>
          <w:p>
            <w:pPr>
              <w:pStyle w:val="TableText"/>
            </w:pPr>
            <w:r>
              <w:t>+0.04</w:t>
            </w:r>
          </w:p>
        </w:tc>
        <w:tc>
          <w:tcPr>
            <w:tcW w:w="3690" w:type="dxa"/>
            <w:vAlign w:val="center"/>
          </w:tcPr>
          <w:p>
            <w:pPr>
              <w:pStyle w:val="TableText"/>
            </w:pPr>
            <w:r>
              <w:t>區間跨 0，q50 剛好為 0</w:t>
            </w:r>
          </w:p>
        </w:tc>
        <w:tc>
          <w:tcPr>
            <w:tcW w:w="1490" w:type="dxa"/>
            <w:vAlign w:val="center"/>
          </w:tcPr>
          <w:p>
            <w:pPr>
              <w:pStyle w:val="TableText"/>
            </w:pPr>
            <w:r>
              <w:t>neutral</w:t>
            </w:r>
          </w:p>
        </w:tc>
      </w:tr>
    </w:tbl>
    <w:p>
      <w:pPr>
        <w:pStyle w:val="31"/>
      </w:pPr>
      <w:r>
        <w:t>1.4 q10／q50／q90 的精確意思</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q10 是模型放出的偏下行情境，q50 是中間情境，q90 是偏上行情境。它們共同描述同一股票、同一 horizon 的 alpha 分布。</w:t>
            </w:r>
          </w:p>
        </w:tc>
      </w:tr>
      <w:tr>
        <w:trPr>
          <w:cantSplit/>
        </w:trPr>
        <w:tc>
          <w:tcPr>
            <w:tcW w:w="1900" w:type="dxa"/>
            <w:vAlign w:val="center"/>
          </w:tcPr>
          <w:p>
            <w:pPr>
              <w:pStyle w:val="TableText"/>
            </w:pPr>
            <w:r>
              <w:t>股票情境</w:t>
            </w:r>
          </w:p>
        </w:tc>
        <w:tc>
          <w:tcPr>
            <w:tcW w:w="7460" w:type="dxa"/>
            <w:vAlign w:val="center"/>
          </w:tcPr>
          <w:p>
            <w:pPr>
              <w:pStyle w:val="TableText"/>
            </w:pPr>
            <w:r>
              <w:t>妖股例 q10=−0.08、q50=−0.01、q90=+0.25：模型的中間看法略輸大盤，但上尾可能非常高。不能把 q90=+0.25 說成『有 90% 機率上漲 25%』。</w:t>
            </w:r>
          </w:p>
        </w:tc>
      </w:tr>
      <w:tr>
        <w:trPr>
          <w:cantSplit/>
        </w:trPr>
        <w:tc>
          <w:tcPr>
            <w:tcW w:w="1900" w:type="dxa"/>
            <w:vAlign w:val="center"/>
          </w:tcPr>
          <w:p>
            <w:pPr>
              <w:pStyle w:val="TableText"/>
            </w:pPr>
            <w:r>
              <w:t>實際計算</w:t>
            </w:r>
          </w:p>
        </w:tc>
        <w:tc>
          <w:tcPr>
            <w:tcW w:w="7460" w:type="dxa"/>
            <w:vAlign w:val="center"/>
          </w:tcPr>
          <w:p>
            <w:pPr>
              <w:pStyle w:val="TableText"/>
            </w:pPr>
            <w:r>
              <w:t>q̂ᵢ,ₕ(0.1)、q̂ᵢ,ₕ(0.5)、q̂ᵢ,ₕ(0.9)。模型先產生 q50，再以 softplus 正距離形成 q10=q50−positive、q90=q50+positive，因此結構上 q10≤q50≤q90。</w:t>
            </w:r>
          </w:p>
        </w:tc>
      </w:tr>
      <w:tr>
        <w:trPr>
          <w:cantSplit/>
        </w:trPr>
        <w:tc>
          <w:tcPr>
            <w:tcW w:w="1900" w:type="dxa"/>
            <w:vAlign w:val="center"/>
          </w:tcPr>
          <w:p>
            <w:pPr>
              <w:pStyle w:val="TableText"/>
            </w:pPr>
            <w:r>
              <w:t>怎麼判讀</w:t>
            </w:r>
          </w:p>
        </w:tc>
        <w:tc>
          <w:tcPr>
            <w:tcW w:w="7460" w:type="dxa"/>
            <w:vAlign w:val="center"/>
          </w:tcPr>
          <w:p>
            <w:pPr>
              <w:pStyle w:val="TableText"/>
            </w:pPr>
            <w:r>
              <w:t>所有 q&gt;0：整段分布偏向跑贏 benchmark；所有 q&lt;0：整段分布偏向跑輸；區間跨 0：結果有方向不確定性；q90 遠高於 q50：上尾很長。</w:t>
            </w:r>
          </w:p>
        </w:tc>
      </w:tr>
      <w:tr>
        <w:trPr>
          <w:cantSplit/>
        </w:trPr>
        <w:tc>
          <w:tcPr>
            <w:tcW w:w="1900" w:type="dxa"/>
            <w:vAlign w:val="center"/>
          </w:tcPr>
          <w:p>
            <w:pPr>
              <w:pStyle w:val="TableText"/>
            </w:pPr>
            <w:r>
              <w:t>本次 run</w:t>
            </w:r>
          </w:p>
        </w:tc>
        <w:tc>
          <w:tcPr>
            <w:tcW w:w="7460" w:type="dxa"/>
            <w:vAlign w:val="center"/>
          </w:tcPr>
          <w:p>
            <w:pPr>
              <w:pStyle w:val="TableText"/>
            </w:pPr>
            <w:r>
              <w:t>本次每個 horizon 都有 q10/q50/q90。第 12 日 97.27% 樣本被 θ=0 規則標成 bearish，但 strong_bearish 為 0，表示多數 q50&lt;0，同時 q90 仍未低於 0。</w:t>
            </w:r>
          </w:p>
        </w:tc>
      </w:tr>
      <w:tr>
        <w:trPr>
          <w:cantSplit/>
        </w:trPr>
        <w:tc>
          <w:tcPr>
            <w:tcW w:w="1900" w:type="dxa"/>
            <w:vAlign w:val="center"/>
          </w:tcPr>
          <w:p>
            <w:pPr>
              <w:pStyle w:val="TableText"/>
            </w:pPr>
            <w:r>
              <w:t>不能這樣解讀</w:t>
            </w:r>
          </w:p>
        </w:tc>
        <w:tc>
          <w:tcPr>
            <w:tcW w:w="7460" w:type="dxa"/>
            <w:vAlign w:val="center"/>
          </w:tcPr>
          <w:p>
            <w:pPr>
              <w:pStyle w:val="TableText"/>
            </w:pPr>
            <w:r>
              <w:t>q10 與 q90 不是保證下限／上限；q10 也不是 10% 下跌機率，q90 也不是 90% 上漲機率。它們是 alpha 數值分布的位置。</w:t>
            </w:r>
          </w:p>
        </w:tc>
      </w:tr>
      <w:tr>
        <w:trPr>
          <w:cantSplit/>
        </w:trPr>
        <w:tc>
          <w:tcPr>
            <w:tcW w:w="1900" w:type="dxa"/>
            <w:vAlign w:val="center"/>
          </w:tcPr>
          <w:p>
            <w:pPr>
              <w:pStyle w:val="TableText"/>
            </w:pPr>
            <w:r>
              <w:t>應搭配閱讀</w:t>
            </w:r>
          </w:p>
        </w:tc>
        <w:tc>
          <w:tcPr>
            <w:tcW w:w="7460" w:type="dxa"/>
            <w:vAlign w:val="center"/>
          </w:tcPr>
          <w:p>
            <w:pPr>
              <w:pStyle w:val="TableText"/>
            </w:pPr>
            <w:r>
              <w:t>要知道三個位置放得準不準，看 pinball；要知道 q10–q90 是否包得合理，看 coverage 與 width。</w:t>
            </w:r>
          </w:p>
        </w:tc>
      </w:tr>
    </w:tbl>
    <w:p>
      <w:pPr>
        <w:pStyle w:val="11"/>
      </w:pPr>
      <w:r>
        <w:t>2. 分布誤差：三個 q 整體預測得好不好</w:t>
      </w:r>
    </w:p>
    <w:p>
      <w:pPr>
        <w:pStyle w:val="31"/>
      </w:pPr>
      <w:r>
        <w:t>2.1 Robust scale sₕ／每個 horizon 的比較尺</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先估計每個持有期的 alpha 平常散得多開。1 日通常波動範圍小，14 日通常較大；若不用不同尺，長 horizon 的大數字會自然產生較大 raw error，總分會不公平。</w:t>
            </w:r>
          </w:p>
        </w:tc>
      </w:tr>
      <w:tr>
        <w:trPr>
          <w:cantSplit/>
        </w:trPr>
        <w:tc>
          <w:tcPr>
            <w:tcW w:w="1900" w:type="dxa"/>
            <w:vAlign w:val="center"/>
          </w:tcPr>
          <w:p>
            <w:pPr>
              <w:pStyle w:val="TableText"/>
            </w:pPr>
            <w:r>
              <w:t>股票情境</w:t>
            </w:r>
          </w:p>
        </w:tc>
        <w:tc>
          <w:tcPr>
            <w:tcW w:w="7460" w:type="dxa"/>
            <w:vAlign w:val="center"/>
          </w:tcPr>
          <w:p>
            <w:pPr>
              <w:pStyle w:val="TableText"/>
            </w:pPr>
            <w:r>
              <w:t>就像拿 1 日波動 2% 的股票與 14 日波動 9% 的股票比較猜錯幅度。兩者都猜錯『半個典型波動』才算程度相近，不能只比 1 個百分點與 3 個百分點。</w:t>
            </w:r>
          </w:p>
        </w:tc>
      </w:tr>
      <w:tr>
        <w:trPr>
          <w:cantSplit/>
        </w:trPr>
        <w:tc>
          <w:tcPr>
            <w:tcW w:w="1900" w:type="dxa"/>
            <w:vAlign w:val="center"/>
          </w:tcPr>
          <w:p>
            <w:pPr>
              <w:pStyle w:val="TableText"/>
            </w:pPr>
            <w:r>
              <w:t>實際計算</w:t>
            </w:r>
          </w:p>
        </w:tc>
        <w:tc>
          <w:tcPr>
            <w:tcW w:w="7460" w:type="dxa"/>
            <w:vAlign w:val="center"/>
          </w:tcPr>
          <w:p>
            <w:pPr>
              <w:pStyle w:val="TableText"/>
            </w:pPr>
            <w:r>
              <w:t>只用 train calibration labels：IQRₕ=Q75−Q25；MADₕ=1.4826×median(|y−median(y)|)；sₕ=max(IQRₕ,MADₕ,0.0001)。本次抽取 50,000 筆 train labels，seed=42。</w:t>
            </w:r>
          </w:p>
        </w:tc>
      </w:tr>
      <w:tr>
        <w:trPr>
          <w:cantSplit/>
        </w:trPr>
        <w:tc>
          <w:tcPr>
            <w:tcW w:w="1900" w:type="dxa"/>
            <w:vAlign w:val="center"/>
          </w:tcPr>
          <w:p>
            <w:pPr>
              <w:pStyle w:val="TableText"/>
            </w:pPr>
            <w:r>
              <w:t>怎麼判讀</w:t>
            </w:r>
          </w:p>
        </w:tc>
        <w:tc>
          <w:tcPr>
            <w:tcW w:w="7460" w:type="dxa"/>
            <w:vAlign w:val="center"/>
          </w:tcPr>
          <w:p>
            <w:pPr>
              <w:pStyle w:val="TableText"/>
            </w:pPr>
            <w:r>
              <w:t>sₕ 越大，只表示該 horizon 的 train alpha 分布越分散；它是分母／尺，不是模型分數。</w:t>
            </w:r>
          </w:p>
        </w:tc>
      </w:tr>
      <w:tr>
        <w:trPr>
          <w:cantSplit/>
        </w:trPr>
        <w:tc>
          <w:tcPr>
            <w:tcW w:w="1900" w:type="dxa"/>
            <w:vAlign w:val="center"/>
          </w:tcPr>
          <w:p>
            <w:pPr>
              <w:pStyle w:val="TableText"/>
            </w:pPr>
            <w:r>
              <w:t>本次 run</w:t>
            </w:r>
          </w:p>
        </w:tc>
        <w:tc>
          <w:tcPr>
            <w:tcW w:w="7460" w:type="dxa"/>
            <w:vAlign w:val="center"/>
          </w:tcPr>
          <w:p>
            <w:pPr>
              <w:pStyle w:val="TableText"/>
            </w:pPr>
            <w:r>
              <w:t>sₕ 從 1 日 0.01868 增至 14 日 0.09131；跨 14 日範圍為 0.01868–0.09131。</w:t>
            </w:r>
          </w:p>
        </w:tc>
      </w:tr>
      <w:tr>
        <w:trPr>
          <w:cantSplit/>
        </w:trPr>
        <w:tc>
          <w:tcPr>
            <w:tcW w:w="1900" w:type="dxa"/>
            <w:vAlign w:val="center"/>
          </w:tcPr>
          <w:p>
            <w:pPr>
              <w:pStyle w:val="TableText"/>
            </w:pPr>
            <w:r>
              <w:t>不能這樣解讀</w:t>
            </w:r>
          </w:p>
        </w:tc>
        <w:tc>
          <w:tcPr>
            <w:tcW w:w="7460" w:type="dxa"/>
            <w:vAlign w:val="center"/>
          </w:tcPr>
          <w:p>
            <w:pPr>
              <w:pStyle w:val="TableText"/>
            </w:pPr>
            <w:r>
              <w:t>不能說 scale 大代表模型差，也不能在看過 validation 或 test 後重估 scale；那會改變評估尺並造成資料洩漏。</w:t>
            </w:r>
          </w:p>
        </w:tc>
      </w:tr>
      <w:tr>
        <w:trPr>
          <w:cantSplit/>
        </w:trPr>
        <w:tc>
          <w:tcPr>
            <w:tcW w:w="1900" w:type="dxa"/>
            <w:vAlign w:val="center"/>
          </w:tcPr>
          <w:p>
            <w:pPr>
              <w:pStyle w:val="TableText"/>
            </w:pPr>
            <w:r>
              <w:t>應搭配閱讀</w:t>
            </w:r>
          </w:p>
        </w:tc>
        <w:tc>
          <w:tcPr>
            <w:tcW w:w="7460" w:type="dxa"/>
            <w:vAlign w:val="center"/>
          </w:tcPr>
          <w:p>
            <w:pPr>
              <w:pStyle w:val="TableText"/>
            </w:pPr>
            <w:r>
              <w:t>raw pinball／raw MAE 告訴你原始尺度，normalized 指標才用這把尺做跨 horizon 比較。</w:t>
            </w:r>
          </w:p>
        </w:tc>
      </w:tr>
    </w:tbl>
    <w:p>
      <w:pPr>
        <w:pStyle w:val="31"/>
      </w:pPr>
      <w:r>
        <w:t>2.2 Raw pinball loss／三個 q 放錯位置的代價</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同時檢查悲觀、中間、樂觀三個預測位置有沒有擺對。預測 q90 卻讓實際值常跑到 q90 上面，會重罰；預測 q10 卻讓實際值常落到 q10 下面，也會重罰。</w:t>
            </w:r>
          </w:p>
        </w:tc>
      </w:tr>
      <w:tr>
        <w:trPr>
          <w:cantSplit/>
        </w:trPr>
        <w:tc>
          <w:tcPr>
            <w:tcW w:w="1900" w:type="dxa"/>
            <w:vAlign w:val="center"/>
          </w:tcPr>
          <w:p>
            <w:pPr>
              <w:pStyle w:val="TableText"/>
            </w:pPr>
            <w:r>
              <w:t>股票情境</w:t>
            </w:r>
          </w:p>
        </w:tc>
        <w:tc>
          <w:tcPr>
            <w:tcW w:w="7460" w:type="dxa"/>
            <w:vAlign w:val="center"/>
          </w:tcPr>
          <w:p>
            <w:pPr>
              <w:pStyle w:val="TableText"/>
            </w:pPr>
            <w:r>
              <w:t>實際 alpha y=0.04，預測(q10,q50,q90)=(−0.02,0.01,0.08)。q10 離真值 0.06 但它本來就是下尾，所以 loss=0.1×0.06=0.006；q50 loss=0.5×0.03=0.015；q90 在真值上方 0.04，loss=0.1×0.04=0.004；平均為 0.00833。</w:t>
            </w:r>
          </w:p>
        </w:tc>
      </w:tr>
      <w:tr>
        <w:trPr>
          <w:cantSplit/>
        </w:trPr>
        <w:tc>
          <w:tcPr>
            <w:tcW w:w="1900" w:type="dxa"/>
            <w:vAlign w:val="center"/>
          </w:tcPr>
          <w:p>
            <w:pPr>
              <w:pStyle w:val="TableText"/>
            </w:pPr>
            <w:r>
              <w:t>實際計算</w:t>
            </w:r>
          </w:p>
        </w:tc>
        <w:tc>
          <w:tcPr>
            <w:tcW w:w="7460" w:type="dxa"/>
            <w:vAlign w:val="center"/>
          </w:tcPr>
          <w:p>
            <w:pPr>
              <w:pStyle w:val="TableText"/>
            </w:pPr>
            <w:r>
              <w:t>先算 e=y−q̂(τ)，再算 Lτ=max(τe,(τ−1)e)；對所有有效樣本與 τ∈{0.1,0.5,0.9} 平均。本指標未除以 scale，單位仍是 benchmark-relative log return。</w:t>
            </w:r>
          </w:p>
        </w:tc>
      </w:tr>
      <w:tr>
        <w:trPr>
          <w:cantSplit/>
        </w:trPr>
        <w:tc>
          <w:tcPr>
            <w:tcW w:w="1900" w:type="dxa"/>
            <w:vAlign w:val="center"/>
          </w:tcPr>
          <w:p>
            <w:pPr>
              <w:pStyle w:val="TableText"/>
            </w:pPr>
            <w:r>
              <w:t>怎麼判讀</w:t>
            </w:r>
          </w:p>
        </w:tc>
        <w:tc>
          <w:tcPr>
            <w:tcW w:w="7460" w:type="dxa"/>
            <w:vAlign w:val="center"/>
          </w:tcPr>
          <w:p>
            <w:pPr>
              <w:pStyle w:val="TableText"/>
            </w:pPr>
            <w:r>
              <w:t>越低越好，0 是完美。因不同 horizon 的 alpha 尺度不同，raw pinball 適合看原始誤差量級，不適合直接判斷 1 日一定比 14 日好。</w:t>
            </w:r>
          </w:p>
        </w:tc>
      </w:tr>
      <w:tr>
        <w:trPr>
          <w:cantSplit/>
        </w:trPr>
        <w:tc>
          <w:tcPr>
            <w:tcW w:w="1900" w:type="dxa"/>
            <w:vAlign w:val="center"/>
          </w:tcPr>
          <w:p>
            <w:pPr>
              <w:pStyle w:val="TableText"/>
            </w:pPr>
            <w:r>
              <w:t>本次 run</w:t>
            </w:r>
          </w:p>
        </w:tc>
        <w:tc>
          <w:tcPr>
            <w:tcW w:w="7460" w:type="dxa"/>
            <w:vAlign w:val="center"/>
          </w:tcPr>
          <w:p>
            <w:pPr>
              <w:pStyle w:val="TableText"/>
            </w:pPr>
            <w:r>
              <w:t>raw pinball 從 1 日 0.00700 增到 14 日 0.02667；增加主要反映長期 alpha 尺度變大，不能單看這一列下結論。</w:t>
            </w:r>
          </w:p>
        </w:tc>
      </w:tr>
      <w:tr>
        <w:trPr>
          <w:cantSplit/>
        </w:trPr>
        <w:tc>
          <w:tcPr>
            <w:tcW w:w="1900" w:type="dxa"/>
            <w:vAlign w:val="center"/>
          </w:tcPr>
          <w:p>
            <w:pPr>
              <w:pStyle w:val="TableText"/>
            </w:pPr>
            <w:r>
              <w:t>不能這樣解讀</w:t>
            </w:r>
          </w:p>
        </w:tc>
        <w:tc>
          <w:tcPr>
            <w:tcW w:w="7460" w:type="dxa"/>
            <w:vAlign w:val="center"/>
          </w:tcPr>
          <w:p>
            <w:pPr>
              <w:pStyle w:val="TableText"/>
            </w:pPr>
            <w:r>
              <w:t>它不是錯誤率、勝率或報酬率；0.02 不等於『2% 預測錯誤率』。</w:t>
            </w:r>
          </w:p>
        </w:tc>
      </w:tr>
      <w:tr>
        <w:trPr>
          <w:cantSplit/>
        </w:trPr>
        <w:tc>
          <w:tcPr>
            <w:tcW w:w="1900" w:type="dxa"/>
            <w:vAlign w:val="center"/>
          </w:tcPr>
          <w:p>
            <w:pPr>
              <w:pStyle w:val="TableText"/>
            </w:pPr>
            <w:r>
              <w:t>應搭配閱讀</w:t>
            </w:r>
          </w:p>
        </w:tc>
        <w:tc>
          <w:tcPr>
            <w:tcW w:w="7460" w:type="dxa"/>
            <w:vAlign w:val="center"/>
          </w:tcPr>
          <w:p>
            <w:pPr>
              <w:pStyle w:val="TableText"/>
            </w:pPr>
            <w:r>
              <w:t>normalized pinball、coverage、width。</w:t>
            </w:r>
          </w:p>
        </w:tc>
      </w:tr>
    </w:tbl>
    <w:p>
      <w:pPr>
        <w:pStyle w:val="31"/>
      </w:pPr>
      <w:r>
        <w:t>2.3 Normalized pinball／用同一標準比較 1 至 14 日</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把每個 horizon 的 raw pinball 除以它自己的典型 alpha 尺度，回答『相對於這個持有期平常會動多大，模型的分位數錯得多嚴重？』</w:t>
            </w:r>
          </w:p>
        </w:tc>
      </w:tr>
      <w:tr>
        <w:trPr>
          <w:cantSplit/>
        </w:trPr>
        <w:tc>
          <w:tcPr>
            <w:tcW w:w="1900" w:type="dxa"/>
            <w:vAlign w:val="center"/>
          </w:tcPr>
          <w:p>
            <w:pPr>
              <w:pStyle w:val="TableText"/>
            </w:pPr>
            <w:r>
              <w:t>股票情境</w:t>
            </w:r>
          </w:p>
        </w:tc>
        <w:tc>
          <w:tcPr>
            <w:tcW w:w="7460" w:type="dxa"/>
            <w:vAlign w:val="center"/>
          </w:tcPr>
          <w:p>
            <w:pPr>
              <w:pStyle w:val="TableText"/>
            </w:pPr>
            <w:r>
              <w:t>甲 horizon raw pinball=0.01、典型尺度=0.02；乙 raw=0.02、尺度=0.08。甲 normalized=0.50，乙=0.25。雖然乙原始誤差較大，但相對它平常的波動範圍反而較準。</w:t>
            </w:r>
          </w:p>
        </w:tc>
      </w:tr>
      <w:tr>
        <w:trPr>
          <w:cantSplit/>
        </w:trPr>
        <w:tc>
          <w:tcPr>
            <w:tcW w:w="1900" w:type="dxa"/>
            <w:vAlign w:val="center"/>
          </w:tcPr>
          <w:p>
            <w:pPr>
              <w:pStyle w:val="TableText"/>
            </w:pPr>
            <w:r>
              <w:t>實際計算</w:t>
            </w:r>
          </w:p>
        </w:tc>
        <w:tc>
          <w:tcPr>
            <w:tcW w:w="7460" w:type="dxa"/>
            <w:vAlign w:val="center"/>
          </w:tcPr>
          <w:p>
            <w:pPr>
              <w:pStyle w:val="TableText"/>
            </w:pPr>
            <w:r>
              <w:t>normalized pinballₕ=raw pinballₕ/sₕ。訓練時也是先把每個 horizon 的 prediction error 除以 sₕ，再對有效 target 與三個 quantile 平均。</w:t>
            </w:r>
          </w:p>
        </w:tc>
      </w:tr>
      <w:tr>
        <w:trPr>
          <w:cantSplit/>
        </w:trPr>
        <w:tc>
          <w:tcPr>
            <w:tcW w:w="1900" w:type="dxa"/>
            <w:vAlign w:val="center"/>
          </w:tcPr>
          <w:p>
            <w:pPr>
              <w:pStyle w:val="TableText"/>
            </w:pPr>
            <w:r>
              <w:t>怎麼判讀</w:t>
            </w:r>
          </w:p>
        </w:tc>
        <w:tc>
          <w:tcPr>
            <w:tcW w:w="7460" w:type="dxa"/>
            <w:vAlign w:val="center"/>
          </w:tcPr>
          <w:p>
            <w:pPr>
              <w:pStyle w:val="TableText"/>
            </w:pPr>
            <w:r>
              <w:t>越低越好；可近似比較 1–14 日與模型。它表示加權分位誤差占典型尺度多少，不是『準確率』。</w:t>
            </w:r>
          </w:p>
        </w:tc>
      </w:tr>
      <w:tr>
        <w:trPr>
          <w:cantSplit/>
        </w:trPr>
        <w:tc>
          <w:tcPr>
            <w:tcW w:w="1900" w:type="dxa"/>
            <w:vAlign w:val="center"/>
          </w:tcPr>
          <w:p>
            <w:pPr>
              <w:pStyle w:val="TableText"/>
            </w:pPr>
            <w:r>
              <w:t>本次 run</w:t>
            </w:r>
          </w:p>
        </w:tc>
        <w:tc>
          <w:tcPr>
            <w:tcW w:w="7460" w:type="dxa"/>
            <w:vAlign w:val="center"/>
          </w:tcPr>
          <w:p>
            <w:pPr>
              <w:pStyle w:val="TableText"/>
            </w:pPr>
            <w:r>
              <w:t>第 1 日 0.3748（13 模型第 2），第 7 日 0.3117（第 1），第 14 日 0.2921（第 1）；14 日全部介於 0.2921–0.3748。</w:t>
            </w:r>
          </w:p>
        </w:tc>
      </w:tr>
      <w:tr>
        <w:trPr>
          <w:cantSplit/>
        </w:trPr>
        <w:tc>
          <w:tcPr>
            <w:tcW w:w="1900" w:type="dxa"/>
            <w:vAlign w:val="center"/>
          </w:tcPr>
          <w:p>
            <w:pPr>
              <w:pStyle w:val="TableText"/>
            </w:pPr>
            <w:r>
              <w:t>不能這樣解讀</w:t>
            </w:r>
          </w:p>
        </w:tc>
        <w:tc>
          <w:tcPr>
            <w:tcW w:w="7460" w:type="dxa"/>
            <w:vAlign w:val="center"/>
          </w:tcPr>
          <w:p>
            <w:pPr>
              <w:pStyle w:val="TableText"/>
            </w:pPr>
            <w:r>
              <w:t>0.3148 不能寫成 68.52% 準確率，也不能寫成預期賺 31.48%。</w:t>
            </w:r>
          </w:p>
        </w:tc>
      </w:tr>
      <w:tr>
        <w:trPr>
          <w:cantSplit/>
        </w:trPr>
        <w:tc>
          <w:tcPr>
            <w:tcW w:w="1900" w:type="dxa"/>
            <w:vAlign w:val="center"/>
          </w:tcPr>
          <w:p>
            <w:pPr>
              <w:pStyle w:val="TableText"/>
            </w:pPr>
            <w:r>
              <w:t>應搭配閱讀</w:t>
            </w:r>
          </w:p>
        </w:tc>
        <w:tc>
          <w:tcPr>
            <w:tcW w:w="7460" w:type="dxa"/>
            <w:vAlign w:val="center"/>
          </w:tcPr>
          <w:p>
            <w:pPr>
              <w:pStyle w:val="TableText"/>
            </w:pPr>
            <w:r>
              <w:t>raw pinball 保留經濟量級；selection score 彙總 14 日。</w:t>
            </w:r>
          </w:p>
        </w:tc>
      </w:tr>
    </w:tbl>
    <w:p>
      <w:pPr>
        <w:pStyle w:val="31"/>
      </w:pPr>
      <w:r>
        <w:t>2.4 Selection score／選 checkpoint 與模型的 14 日總分</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把 1 至 14 日各自的 normalized pinball 視為 14 張考卷，每張等權平均。總分越低，代表整體分布預測誤差越小。</w:t>
            </w:r>
          </w:p>
        </w:tc>
      </w:tr>
      <w:tr>
        <w:trPr>
          <w:cantSplit/>
        </w:trPr>
        <w:tc>
          <w:tcPr>
            <w:tcW w:w="1900" w:type="dxa"/>
            <w:vAlign w:val="center"/>
          </w:tcPr>
          <w:p>
            <w:pPr>
              <w:pStyle w:val="TableText"/>
            </w:pPr>
            <w:r>
              <w:t>股票情境</w:t>
            </w:r>
          </w:p>
        </w:tc>
        <w:tc>
          <w:tcPr>
            <w:tcW w:w="7460" w:type="dxa"/>
            <w:vAlign w:val="center"/>
          </w:tcPr>
          <w:p>
            <w:pPr>
              <w:pStyle w:val="TableText"/>
            </w:pPr>
            <w:r>
              <w:t>若 3 個 horizon 分數為 0.20、0.30、0.40，總分=(0.20+0.30+0.40)/3=0.30。本專案實際平均 14 個 horizon，不因某一天比較重要就偷偷加權。</w:t>
            </w:r>
          </w:p>
        </w:tc>
      </w:tr>
      <w:tr>
        <w:trPr>
          <w:cantSplit/>
        </w:trPr>
        <w:tc>
          <w:tcPr>
            <w:tcW w:w="1900" w:type="dxa"/>
            <w:vAlign w:val="center"/>
          </w:tcPr>
          <w:p>
            <w:pPr>
              <w:pStyle w:val="TableText"/>
            </w:pPr>
            <w:r>
              <w:t>實際計算</w:t>
            </w:r>
          </w:p>
        </w:tc>
        <w:tc>
          <w:tcPr>
            <w:tcW w:w="7460" w:type="dxa"/>
            <w:vAlign w:val="center"/>
          </w:tcPr>
          <w:p>
            <w:pPr>
              <w:pStyle w:val="TableText"/>
            </w:pPr>
            <w:r>
              <w:t>selection score=(1/14)×Σₕ₌₁¹⁴ normalized pinballₕ。checkpoint 與模型 leaderboard 由此分數升冪排列；RankIC、Sharpe、coverage 不加入公式。</w:t>
            </w:r>
          </w:p>
        </w:tc>
      </w:tr>
      <w:tr>
        <w:trPr>
          <w:cantSplit/>
        </w:trPr>
        <w:tc>
          <w:tcPr>
            <w:tcW w:w="1900" w:type="dxa"/>
            <w:vAlign w:val="center"/>
          </w:tcPr>
          <w:p>
            <w:pPr>
              <w:pStyle w:val="TableText"/>
            </w:pPr>
            <w:r>
              <w:t>怎麼判讀</w:t>
            </w:r>
          </w:p>
        </w:tc>
        <w:tc>
          <w:tcPr>
            <w:tcW w:w="7460" w:type="dxa"/>
            <w:vAlign w:val="center"/>
          </w:tcPr>
          <w:p>
            <w:pPr>
              <w:pStyle w:val="TableText"/>
            </w:pPr>
            <w:r>
              <w:t>越低越好；用於固定 validation 選模。仍要逐 horizon 檢查，避免總平均掩蓋某些天期失敗。</w:t>
            </w:r>
          </w:p>
        </w:tc>
      </w:tr>
      <w:tr>
        <w:trPr>
          <w:cantSplit/>
        </w:trPr>
        <w:tc>
          <w:tcPr>
            <w:tcW w:w="1900" w:type="dxa"/>
            <w:vAlign w:val="center"/>
          </w:tcPr>
          <w:p>
            <w:pPr>
              <w:pStyle w:val="TableText"/>
            </w:pPr>
            <w:r>
              <w:t>本次 run</w:t>
            </w:r>
          </w:p>
        </w:tc>
        <w:tc>
          <w:tcPr>
            <w:tcW w:w="7460" w:type="dxa"/>
            <w:vAlign w:val="center"/>
          </w:tcPr>
          <w:p>
            <w:pPr>
              <w:pStyle w:val="TableText"/>
            </w:pPr>
            <w:r>
              <w:t>Kronos score=0.314759，13 模型第 1；比 GRU 的 0.336588 低 6.49%。</w:t>
            </w:r>
          </w:p>
        </w:tc>
      </w:tr>
      <w:tr>
        <w:trPr>
          <w:cantSplit/>
        </w:trPr>
        <w:tc>
          <w:tcPr>
            <w:tcW w:w="1900" w:type="dxa"/>
            <w:vAlign w:val="center"/>
          </w:tcPr>
          <w:p>
            <w:pPr>
              <w:pStyle w:val="TableText"/>
            </w:pPr>
            <w:r>
              <w:t>不能這樣解讀</w:t>
            </w:r>
          </w:p>
        </w:tc>
        <w:tc>
          <w:tcPr>
            <w:tcW w:w="7460" w:type="dxa"/>
            <w:vAlign w:val="center"/>
          </w:tcPr>
          <w:p>
            <w:pPr>
              <w:pStyle w:val="TableText"/>
            </w:pPr>
            <w:r>
              <w:t>『比 GRU 低 6.49%』只表示此誤差分數改善，不表示報酬多 6.49%、勝率多 6.49 個百分點或風險少 6.49%。</w:t>
            </w:r>
          </w:p>
        </w:tc>
      </w:tr>
      <w:tr>
        <w:trPr>
          <w:cantSplit/>
        </w:trPr>
        <w:tc>
          <w:tcPr>
            <w:tcW w:w="1900" w:type="dxa"/>
            <w:vAlign w:val="center"/>
          </w:tcPr>
          <w:p>
            <w:pPr>
              <w:pStyle w:val="TableText"/>
            </w:pPr>
            <w:r>
              <w:t>應搭配閱讀</w:t>
            </w:r>
          </w:p>
        </w:tc>
        <w:tc>
          <w:tcPr>
            <w:tcW w:w="7460" w:type="dxa"/>
            <w:vAlign w:val="center"/>
          </w:tcPr>
          <w:p>
            <w:pPr>
              <w:pStyle w:val="TableText"/>
            </w:pPr>
            <w:r>
              <w:t>逐 horizon normalized pinball，以及另外獨立的排序與投組風險指標。</w:t>
            </w:r>
          </w:p>
        </w:tc>
      </w:tr>
    </w:tbl>
    <w:p>
      <w:pPr>
        <w:pStyle w:val="11"/>
      </w:pPr>
      <w:r>
        <w:t>3. q50 點預測：中間答案準不準</w:t>
      </w:r>
    </w:p>
    <w:p>
      <w:pPr>
        <w:pStyle w:val="31"/>
      </w:pPr>
      <w:r>
        <w:t>3.1 q50 MAE／中間預測平均差多遠</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只看 q50：模型給的中間 alpha 與最後實際 alpha，平均相差多少。</w:t>
            </w:r>
          </w:p>
        </w:tc>
      </w:tr>
      <w:tr>
        <w:trPr>
          <w:cantSplit/>
        </w:trPr>
        <w:tc>
          <w:tcPr>
            <w:tcW w:w="1900" w:type="dxa"/>
            <w:vAlign w:val="center"/>
          </w:tcPr>
          <w:p>
            <w:pPr>
              <w:pStyle w:val="TableText"/>
            </w:pPr>
            <w:r>
              <w:t>股票情境</w:t>
            </w:r>
          </w:p>
        </w:tc>
        <w:tc>
          <w:tcPr>
            <w:tcW w:w="7460" w:type="dxa"/>
            <w:vAlign w:val="center"/>
          </w:tcPr>
          <w:p>
            <w:pPr>
              <w:pStyle w:val="TableText"/>
            </w:pPr>
            <w:r>
              <w:t>兩檔股票的實際 y=[0.04,−0.02]，q50=[0.01,−0.03]。絕對誤差為 0.03 與 0.01，所以 MAE=(0.03+0.01)/2=0.02。</w:t>
            </w:r>
          </w:p>
        </w:tc>
      </w:tr>
      <w:tr>
        <w:trPr>
          <w:cantSplit/>
        </w:trPr>
        <w:tc>
          <w:tcPr>
            <w:tcW w:w="1900" w:type="dxa"/>
            <w:vAlign w:val="center"/>
          </w:tcPr>
          <w:p>
            <w:pPr>
              <w:pStyle w:val="TableText"/>
            </w:pPr>
            <w:r>
              <w:t>實際計算</w:t>
            </w:r>
          </w:p>
        </w:tc>
        <w:tc>
          <w:tcPr>
            <w:tcW w:w="7460" w:type="dxa"/>
            <w:vAlign w:val="center"/>
          </w:tcPr>
          <w:p>
            <w:pPr>
              <w:pStyle w:val="TableText"/>
            </w:pPr>
            <w:r>
              <w:t>median MAEₕ=meanᵢ|yᵢ,ₕ−q̂ᵢ,ₕ(0.5)|。單位是 benchmark-relative log return；若想取得直觀 gross-ratio 幅度，可參考 exp(MAE)−1，但 MAE 本身仍在 log 尺度。</w:t>
            </w:r>
          </w:p>
        </w:tc>
      </w:tr>
      <w:tr>
        <w:trPr>
          <w:cantSplit/>
        </w:trPr>
        <w:tc>
          <w:tcPr>
            <w:tcW w:w="1900" w:type="dxa"/>
            <w:vAlign w:val="center"/>
          </w:tcPr>
          <w:p>
            <w:pPr>
              <w:pStyle w:val="TableText"/>
            </w:pPr>
            <w:r>
              <w:t>怎麼判讀</w:t>
            </w:r>
          </w:p>
        </w:tc>
        <w:tc>
          <w:tcPr>
            <w:tcW w:w="7460" w:type="dxa"/>
            <w:vAlign w:val="center"/>
          </w:tcPr>
          <w:p>
            <w:pPr>
              <w:pStyle w:val="TableText"/>
            </w:pPr>
            <w:r>
              <w:t>越低越好。它容易理解且保留原始量級，但只評 q50，不知道 q10／q90 有沒有放對。</w:t>
            </w:r>
          </w:p>
        </w:tc>
      </w:tr>
      <w:tr>
        <w:trPr>
          <w:cantSplit/>
        </w:trPr>
        <w:tc>
          <w:tcPr>
            <w:tcW w:w="1900" w:type="dxa"/>
            <w:vAlign w:val="center"/>
          </w:tcPr>
          <w:p>
            <w:pPr>
              <w:pStyle w:val="TableText"/>
            </w:pPr>
            <w:r>
              <w:t>本次 run</w:t>
            </w:r>
          </w:p>
        </w:tc>
        <w:tc>
          <w:tcPr>
            <w:tcW w:w="7460" w:type="dxa"/>
            <w:vAlign w:val="center"/>
          </w:tcPr>
          <w:p>
            <w:pPr>
              <w:pStyle w:val="TableText"/>
            </w:pPr>
            <w:r>
              <w:t>第 1 日 MAE=0.01962，約對應 1.98% gross-ratio 幅度；第 14 日 0.07854，約 8.17%。</w:t>
            </w:r>
          </w:p>
        </w:tc>
      </w:tr>
      <w:tr>
        <w:trPr>
          <w:cantSplit/>
        </w:trPr>
        <w:tc>
          <w:tcPr>
            <w:tcW w:w="1900" w:type="dxa"/>
            <w:vAlign w:val="center"/>
          </w:tcPr>
          <w:p>
            <w:pPr>
              <w:pStyle w:val="TableText"/>
            </w:pPr>
            <w:r>
              <w:t>不能這樣解讀</w:t>
            </w:r>
          </w:p>
        </w:tc>
        <w:tc>
          <w:tcPr>
            <w:tcW w:w="7460" w:type="dxa"/>
            <w:vAlign w:val="center"/>
          </w:tcPr>
          <w:p>
            <w:pPr>
              <w:pStyle w:val="TableText"/>
            </w:pPr>
            <w:r>
              <w:t>MAE 不是方向勝率；就算每次方向都對，只要幅度猜得很離譜，MAE 仍可能很高。</w:t>
            </w:r>
          </w:p>
        </w:tc>
      </w:tr>
      <w:tr>
        <w:trPr>
          <w:cantSplit/>
        </w:trPr>
        <w:tc>
          <w:tcPr>
            <w:tcW w:w="1900" w:type="dxa"/>
            <w:vAlign w:val="center"/>
          </w:tcPr>
          <w:p>
            <w:pPr>
              <w:pStyle w:val="TableText"/>
            </w:pPr>
            <w:r>
              <w:t>應搭配閱讀</w:t>
            </w:r>
          </w:p>
        </w:tc>
        <w:tc>
          <w:tcPr>
            <w:tcW w:w="7460" w:type="dxa"/>
            <w:vAlign w:val="center"/>
          </w:tcPr>
          <w:p>
            <w:pPr>
              <w:pStyle w:val="TableText"/>
            </w:pPr>
            <w:r>
              <w:t>N-MAE 做跨 horizon 比較；correlation 與 direction 分別看共變與正負號。</w:t>
            </w:r>
          </w:p>
        </w:tc>
      </w:tr>
    </w:tbl>
    <w:p>
      <w:pPr>
        <w:pStyle w:val="31"/>
      </w:pPr>
      <w:r>
        <w:t>3.2 Normalized q50 MAE／以典型波動為單位的中間誤差</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回答『q50 平均猜錯的距離，相當於這個 horizon 幾個典型 alpha 尺度？』</w:t>
            </w:r>
          </w:p>
        </w:tc>
      </w:tr>
      <w:tr>
        <w:trPr>
          <w:cantSplit/>
        </w:trPr>
        <w:tc>
          <w:tcPr>
            <w:tcW w:w="1900" w:type="dxa"/>
            <w:vAlign w:val="center"/>
          </w:tcPr>
          <w:p>
            <w:pPr>
              <w:pStyle w:val="TableText"/>
            </w:pPr>
            <w:r>
              <w:t>股票情境</w:t>
            </w:r>
          </w:p>
        </w:tc>
        <w:tc>
          <w:tcPr>
            <w:tcW w:w="7460" w:type="dxa"/>
            <w:vAlign w:val="center"/>
          </w:tcPr>
          <w:p>
            <w:pPr>
              <w:pStyle w:val="TableText"/>
            </w:pPr>
            <w:r>
              <w:t>MAE=0.02、scale=0.04，N-MAE=0.50；可理解為平均 q50 絕對誤差約半個 scale。另一個 horizon 即使 MAE=0.04，只要 scale=0.10，N-MAE=0.40，按自身尺度反而較好。</w:t>
            </w:r>
          </w:p>
        </w:tc>
      </w:tr>
      <w:tr>
        <w:trPr>
          <w:cantSplit/>
        </w:trPr>
        <w:tc>
          <w:tcPr>
            <w:tcW w:w="1900" w:type="dxa"/>
            <w:vAlign w:val="center"/>
          </w:tcPr>
          <w:p>
            <w:pPr>
              <w:pStyle w:val="TableText"/>
            </w:pPr>
            <w:r>
              <w:t>實際計算</w:t>
            </w:r>
          </w:p>
        </w:tc>
        <w:tc>
          <w:tcPr>
            <w:tcW w:w="7460" w:type="dxa"/>
            <w:vAlign w:val="center"/>
          </w:tcPr>
          <w:p>
            <w:pPr>
              <w:pStyle w:val="TableText"/>
            </w:pPr>
            <w:r>
              <w:t>normalized median MAEₕ=median MAEₕ/sₕ。</w:t>
            </w:r>
          </w:p>
        </w:tc>
      </w:tr>
      <w:tr>
        <w:trPr>
          <w:cantSplit/>
        </w:trPr>
        <w:tc>
          <w:tcPr>
            <w:tcW w:w="1900" w:type="dxa"/>
            <w:vAlign w:val="center"/>
          </w:tcPr>
          <w:p>
            <w:pPr>
              <w:pStyle w:val="TableText"/>
            </w:pPr>
            <w:r>
              <w:t>怎麼判讀</w:t>
            </w:r>
          </w:p>
        </w:tc>
        <w:tc>
          <w:tcPr>
            <w:tcW w:w="7460" w:type="dxa"/>
            <w:vAlign w:val="center"/>
          </w:tcPr>
          <w:p>
            <w:pPr>
              <w:pStyle w:val="TableText"/>
            </w:pPr>
            <w:r>
              <w:t>越低越好，適合跨 1–14 日；1.0 左右表示平均 q50 誤差約一個 robust scale，但不是 100% 錯誤。</w:t>
            </w:r>
          </w:p>
        </w:tc>
      </w:tr>
      <w:tr>
        <w:trPr>
          <w:cantSplit/>
        </w:trPr>
        <w:tc>
          <w:tcPr>
            <w:tcW w:w="1900" w:type="dxa"/>
            <w:vAlign w:val="center"/>
          </w:tcPr>
          <w:p>
            <w:pPr>
              <w:pStyle w:val="TableText"/>
            </w:pPr>
            <w:r>
              <w:t>本次 run</w:t>
            </w:r>
          </w:p>
        </w:tc>
        <w:tc>
          <w:tcPr>
            <w:tcW w:w="7460" w:type="dxa"/>
            <w:vAlign w:val="center"/>
          </w:tcPr>
          <w:p>
            <w:pPr>
              <w:pStyle w:val="TableText"/>
            </w:pPr>
            <w:r>
              <w:t>第 1 日 1.0508，第 7 日 0.9085，第 14 日 0.8602。</w:t>
            </w:r>
          </w:p>
        </w:tc>
      </w:tr>
      <w:tr>
        <w:trPr>
          <w:cantSplit/>
        </w:trPr>
        <w:tc>
          <w:tcPr>
            <w:tcW w:w="1900" w:type="dxa"/>
            <w:vAlign w:val="center"/>
          </w:tcPr>
          <w:p>
            <w:pPr>
              <w:pStyle w:val="TableText"/>
            </w:pPr>
            <w:r>
              <w:t>不能這樣解讀</w:t>
            </w:r>
          </w:p>
        </w:tc>
        <w:tc>
          <w:tcPr>
            <w:tcW w:w="7460" w:type="dxa"/>
            <w:vAlign w:val="center"/>
          </w:tcPr>
          <w:p>
            <w:pPr>
              <w:pStyle w:val="TableText"/>
            </w:pPr>
            <w:r>
              <w:t>不能稱為 normalized accuracy；N-MAE 只看 q50，也不能評估區間校準。</w:t>
            </w:r>
          </w:p>
        </w:tc>
      </w:tr>
      <w:tr>
        <w:trPr>
          <w:cantSplit/>
        </w:trPr>
        <w:tc>
          <w:tcPr>
            <w:tcW w:w="1900" w:type="dxa"/>
            <w:vAlign w:val="center"/>
          </w:tcPr>
          <w:p>
            <w:pPr>
              <w:pStyle w:val="TableText"/>
            </w:pPr>
            <w:r>
              <w:t>應搭配閱讀</w:t>
            </w:r>
          </w:p>
        </w:tc>
        <w:tc>
          <w:tcPr>
            <w:tcW w:w="7460" w:type="dxa"/>
            <w:vAlign w:val="center"/>
          </w:tcPr>
          <w:p>
            <w:pPr>
              <w:pStyle w:val="TableText"/>
            </w:pPr>
            <w:r>
              <w:t>raw q50 MAE 與 q10/q50/q90 pinball。</w:t>
            </w:r>
          </w:p>
        </w:tc>
      </w:tr>
    </w:tbl>
    <w:p>
      <w:pPr>
        <w:pStyle w:val="31"/>
      </w:pPr>
      <w:r>
        <w:t>3.3 q50 Pearson correlation／高預測是否跟著高實際值</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當模型把某些樣本的 q50 預測得比較高時，這些樣本的實際 alpha 是否也傾向比較高。</w:t>
            </w:r>
          </w:p>
        </w:tc>
      </w:tr>
      <w:tr>
        <w:trPr>
          <w:cantSplit/>
        </w:trPr>
        <w:tc>
          <w:tcPr>
            <w:tcW w:w="1900" w:type="dxa"/>
            <w:vAlign w:val="center"/>
          </w:tcPr>
          <w:p>
            <w:pPr>
              <w:pStyle w:val="TableText"/>
            </w:pPr>
            <w:r>
              <w:t>股票情境</w:t>
            </w:r>
          </w:p>
        </w:tc>
        <w:tc>
          <w:tcPr>
            <w:tcW w:w="7460" w:type="dxa"/>
            <w:vAlign w:val="center"/>
          </w:tcPr>
          <w:p>
            <w:pPr>
              <w:pStyle w:val="TableText"/>
            </w:pPr>
            <w:r>
              <w:t>預測 [0.10,0.20,0.30]、實際 [−0.02,0.00,0.02] 的 correlation 可以是 1，因為兩組數字完全同向排列；但每筆幅度差很多，MAE 並不好。這說明 correlation 看共變，不看校準幅度。</w:t>
            </w:r>
          </w:p>
        </w:tc>
      </w:tr>
      <w:tr>
        <w:trPr>
          <w:cantSplit/>
        </w:trPr>
        <w:tc>
          <w:tcPr>
            <w:tcW w:w="1900" w:type="dxa"/>
            <w:vAlign w:val="center"/>
          </w:tcPr>
          <w:p>
            <w:pPr>
              <w:pStyle w:val="TableText"/>
            </w:pPr>
            <w:r>
              <w:t>實際計算</w:t>
            </w:r>
          </w:p>
        </w:tc>
        <w:tc>
          <w:tcPr>
            <w:tcW w:w="7460" w:type="dxa"/>
            <w:vAlign w:val="center"/>
          </w:tcPr>
          <w:p>
            <w:pPr>
              <w:pStyle w:val="TableText"/>
            </w:pPr>
            <w:r>
              <w:t>corr(y,q50)=Σ[(y−ȳ)(q50−q̄50)]/sqrt(Σ(y−ȳ)²Σ(q50−q̄50)²)。若 target 或 q50 樣本標準差為 0，或結果不是 finite，程式回傳 0。</w:t>
            </w:r>
          </w:p>
        </w:tc>
      </w:tr>
      <w:tr>
        <w:trPr>
          <w:cantSplit/>
        </w:trPr>
        <w:tc>
          <w:tcPr>
            <w:tcW w:w="1900" w:type="dxa"/>
            <w:vAlign w:val="center"/>
          </w:tcPr>
          <w:p>
            <w:pPr>
              <w:pStyle w:val="TableText"/>
            </w:pPr>
            <w:r>
              <w:t>怎麼判讀</w:t>
            </w:r>
          </w:p>
        </w:tc>
        <w:tc>
          <w:tcPr>
            <w:tcW w:w="7460" w:type="dxa"/>
            <w:vAlign w:val="center"/>
          </w:tcPr>
          <w:p>
            <w:pPr>
              <w:pStyle w:val="TableText"/>
            </w:pPr>
            <w:r>
              <w:t>接近 +1 是強同向線性關係，0 是沒有線性共變，負值是反向。越高通常越好，但金融 alpha 的可用弱訊號常遠小於 1。</w:t>
            </w:r>
          </w:p>
        </w:tc>
      </w:tr>
      <w:tr>
        <w:trPr>
          <w:cantSplit/>
        </w:trPr>
        <w:tc>
          <w:tcPr>
            <w:tcW w:w="1900" w:type="dxa"/>
            <w:vAlign w:val="center"/>
          </w:tcPr>
          <w:p>
            <w:pPr>
              <w:pStyle w:val="TableText"/>
            </w:pPr>
            <w:r>
              <w:t>本次 run</w:t>
            </w:r>
          </w:p>
        </w:tc>
        <w:tc>
          <w:tcPr>
            <w:tcW w:w="7460" w:type="dxa"/>
            <w:vAlign w:val="center"/>
          </w:tcPr>
          <w:p>
            <w:pPr>
              <w:pStyle w:val="TableText"/>
            </w:pPr>
            <w:r>
              <w:t>14 個 horizon 全為正，範圍 0.0507–0.1065；第 1 日 0.0507，第 14 日 0.1065。</w:t>
            </w:r>
          </w:p>
        </w:tc>
      </w:tr>
      <w:tr>
        <w:trPr>
          <w:cantSplit/>
        </w:trPr>
        <w:tc>
          <w:tcPr>
            <w:tcW w:w="1900" w:type="dxa"/>
            <w:vAlign w:val="center"/>
          </w:tcPr>
          <w:p>
            <w:pPr>
              <w:pStyle w:val="TableText"/>
            </w:pPr>
            <w:r>
              <w:t>不能這樣解讀</w:t>
            </w:r>
          </w:p>
        </w:tc>
        <w:tc>
          <w:tcPr>
            <w:tcW w:w="7460" w:type="dxa"/>
            <w:vAlign w:val="center"/>
          </w:tcPr>
          <w:p>
            <w:pPr>
              <w:pStyle w:val="TableText"/>
            </w:pPr>
            <w:r>
              <w:t>0.10 不是 10% 報酬、10% 準確率或因果效果；相關高也可能存在嚴重整體高估／低估。</w:t>
            </w:r>
          </w:p>
        </w:tc>
      </w:tr>
      <w:tr>
        <w:trPr>
          <w:cantSplit/>
        </w:trPr>
        <w:tc>
          <w:tcPr>
            <w:tcW w:w="1900" w:type="dxa"/>
            <w:vAlign w:val="center"/>
          </w:tcPr>
          <w:p>
            <w:pPr>
              <w:pStyle w:val="TableText"/>
            </w:pPr>
            <w:r>
              <w:t>應搭配閱讀</w:t>
            </w:r>
          </w:p>
        </w:tc>
        <w:tc>
          <w:tcPr>
            <w:tcW w:w="7460" w:type="dxa"/>
            <w:vAlign w:val="center"/>
          </w:tcPr>
          <w:p>
            <w:pPr>
              <w:pStyle w:val="TableText"/>
            </w:pPr>
            <w:r>
              <w:t>MAE 看幅度、direction 看正負號、RankIC 看同日股票排序。</w:t>
            </w:r>
          </w:p>
        </w:tc>
      </w:tr>
    </w:tbl>
    <w:p>
      <w:pPr>
        <w:pStyle w:val="31"/>
      </w:pPr>
      <w:r>
        <w:t>3.4 Direction agreement／跑贏或跑輸 benchmark 的符號命中率</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不管幅度，只問 q50 與實際 y 是否同為正、同為負，或同為 0。</w:t>
            </w:r>
          </w:p>
        </w:tc>
      </w:tr>
      <w:tr>
        <w:trPr>
          <w:cantSplit/>
        </w:trPr>
        <w:tc>
          <w:tcPr>
            <w:tcW w:w="1900" w:type="dxa"/>
            <w:vAlign w:val="center"/>
          </w:tcPr>
          <w:p>
            <w:pPr>
              <w:pStyle w:val="TableText"/>
            </w:pPr>
            <w:r>
              <w:t>股票情境</w:t>
            </w:r>
          </w:p>
        </w:tc>
        <w:tc>
          <w:tcPr>
            <w:tcW w:w="7460" w:type="dxa"/>
            <w:vAlign w:val="center"/>
          </w:tcPr>
          <w:p>
            <w:pPr>
              <w:pStyle w:val="TableText"/>
            </w:pPr>
            <w:r>
              <w:t>實際符號=[+、−、0]，預測=[+、+、0]，三筆中兩筆相同，direction agreement=66.7%。第一筆只多賺 0.1% 與多賺 10% 都只算一次方向正確。</w:t>
            </w:r>
          </w:p>
        </w:tc>
      </w:tr>
      <w:tr>
        <w:trPr>
          <w:cantSplit/>
        </w:trPr>
        <w:tc>
          <w:tcPr>
            <w:tcW w:w="1900" w:type="dxa"/>
            <w:vAlign w:val="center"/>
          </w:tcPr>
          <w:p>
            <w:pPr>
              <w:pStyle w:val="TableText"/>
            </w:pPr>
            <w:r>
              <w:t>實際計算</w:t>
            </w:r>
          </w:p>
        </w:tc>
        <w:tc>
          <w:tcPr>
            <w:tcW w:w="7460" w:type="dxa"/>
            <w:vAlign w:val="center"/>
          </w:tcPr>
          <w:p>
            <w:pPr>
              <w:pStyle w:val="TableText"/>
            </w:pPr>
            <w:r>
              <w:t>meanᵢ[sign(yᵢ,ₕ)=sign(q50ᵢ,ₕ)]，使用 numpy.sign；只有兩者都恰好為 0 才算零與零一致。</w:t>
            </w:r>
          </w:p>
        </w:tc>
      </w:tr>
      <w:tr>
        <w:trPr>
          <w:cantSplit/>
        </w:trPr>
        <w:tc>
          <w:tcPr>
            <w:tcW w:w="1900" w:type="dxa"/>
            <w:vAlign w:val="center"/>
          </w:tcPr>
          <w:p>
            <w:pPr>
              <w:pStyle w:val="TableText"/>
            </w:pPr>
            <w:r>
              <w:t>怎麼判讀</w:t>
            </w:r>
          </w:p>
        </w:tc>
        <w:tc>
          <w:tcPr>
            <w:tcW w:w="7460" w:type="dxa"/>
            <w:vAlign w:val="center"/>
          </w:tcPr>
          <w:p>
            <w:pPr>
              <w:pStyle w:val="TableText"/>
            </w:pPr>
            <w:r>
              <w:t>通常越高越好；約 50% 可作二元正負的直觀參考，但實際正負基準率與零值也會影響解讀。</w:t>
            </w:r>
          </w:p>
        </w:tc>
      </w:tr>
      <w:tr>
        <w:trPr>
          <w:cantSplit/>
        </w:trPr>
        <w:tc>
          <w:tcPr>
            <w:tcW w:w="1900" w:type="dxa"/>
            <w:vAlign w:val="center"/>
          </w:tcPr>
          <w:p>
            <w:pPr>
              <w:pStyle w:val="TableText"/>
            </w:pPr>
            <w:r>
              <w:t>本次 run</w:t>
            </w:r>
          </w:p>
        </w:tc>
        <w:tc>
          <w:tcPr>
            <w:tcW w:w="7460" w:type="dxa"/>
            <w:vAlign w:val="center"/>
          </w:tcPr>
          <w:p>
            <w:pPr>
              <w:pStyle w:val="TableText"/>
            </w:pPr>
            <w:r>
              <w:t>範圍 49.40%–56.29%；14 個 horizon 中 13 個高於 50%，第 1 日 49.40%，第 12 日最高 56.29%。</w:t>
            </w:r>
          </w:p>
        </w:tc>
      </w:tr>
      <w:tr>
        <w:trPr>
          <w:cantSplit/>
        </w:trPr>
        <w:tc>
          <w:tcPr>
            <w:tcW w:w="1900" w:type="dxa"/>
            <w:vAlign w:val="center"/>
          </w:tcPr>
          <w:p>
            <w:pPr>
              <w:pStyle w:val="TableText"/>
            </w:pPr>
            <w:r>
              <w:t>不能這樣解讀</w:t>
            </w:r>
          </w:p>
        </w:tc>
        <w:tc>
          <w:tcPr>
            <w:tcW w:w="7460" w:type="dxa"/>
            <w:vAlign w:val="center"/>
          </w:tcPr>
          <w:p>
            <w:pPr>
              <w:pStyle w:val="TableText"/>
            </w:pPr>
            <w:r>
              <w:t>它不是獨立分類器的 accuracy，因為模型沒有方向分類 head、類別概率或訓練分類 loss；也不代表選股排序或賺錢。</w:t>
            </w:r>
          </w:p>
        </w:tc>
      </w:tr>
      <w:tr>
        <w:trPr>
          <w:cantSplit/>
        </w:trPr>
        <w:tc>
          <w:tcPr>
            <w:tcW w:w="1900" w:type="dxa"/>
            <w:vAlign w:val="center"/>
          </w:tcPr>
          <w:p>
            <w:pPr>
              <w:pStyle w:val="TableText"/>
            </w:pPr>
            <w:r>
              <w:t>應搭配閱讀</w:t>
            </w:r>
          </w:p>
        </w:tc>
        <w:tc>
          <w:tcPr>
            <w:tcW w:w="7460" w:type="dxa"/>
            <w:vAlign w:val="center"/>
          </w:tcPr>
          <w:p>
            <w:pPr>
              <w:pStyle w:val="TableText"/>
            </w:pPr>
            <w:r>
              <w:t>correlation、RankIC，以及正負樣本的基準比例。</w:t>
            </w:r>
          </w:p>
        </w:tc>
      </w:tr>
    </w:tbl>
    <w:p>
      <w:pPr>
        <w:pStyle w:val="11"/>
      </w:pPr>
      <w:r>
        <w:t>4. q10–q90 區間：不確定性有沒有說實話</w:t>
      </w:r>
    </w:p>
    <w:p>
      <w:pPr>
        <w:pStyle w:val="31"/>
      </w:pPr>
      <w:r>
        <w:t>4.1 Interval coverage／實際 alpha 有多少落在悲觀與樂觀之間</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把 q10 到 q90 當模型畫出的『中央 80% 預測區間』，檢查真實 alpha 長期有多少真的落在裡面。</w:t>
            </w:r>
          </w:p>
        </w:tc>
      </w:tr>
      <w:tr>
        <w:trPr>
          <w:cantSplit/>
        </w:trPr>
        <w:tc>
          <w:tcPr>
            <w:tcW w:w="1900" w:type="dxa"/>
            <w:vAlign w:val="center"/>
          </w:tcPr>
          <w:p>
            <w:pPr>
              <w:pStyle w:val="TableText"/>
            </w:pPr>
            <w:r>
              <w:t>股票情境</w:t>
            </w:r>
          </w:p>
        </w:tc>
        <w:tc>
          <w:tcPr>
            <w:tcW w:w="7460" w:type="dxa"/>
            <w:vAlign w:val="center"/>
          </w:tcPr>
          <w:p>
            <w:pPr>
              <w:pStyle w:val="TableText"/>
            </w:pPr>
            <w:r>
              <w:t>100 筆股票預測中，若 76 筆實際 alpha 落在各自 q10–q90 內，coverage=76%。對名目 80% 而言少 4 個百分點，表示區間可能偏窄或尾部位置不準。</w:t>
            </w:r>
          </w:p>
        </w:tc>
      </w:tr>
      <w:tr>
        <w:trPr>
          <w:cantSplit/>
        </w:trPr>
        <w:tc>
          <w:tcPr>
            <w:tcW w:w="1900" w:type="dxa"/>
            <w:vAlign w:val="center"/>
          </w:tcPr>
          <w:p>
            <w:pPr>
              <w:pStyle w:val="TableText"/>
            </w:pPr>
            <w:r>
              <w:t>實際計算</w:t>
            </w:r>
          </w:p>
        </w:tc>
        <w:tc>
          <w:tcPr>
            <w:tcW w:w="7460" w:type="dxa"/>
            <w:vAlign w:val="center"/>
          </w:tcPr>
          <w:p>
            <w:pPr>
              <w:pStyle w:val="TableText"/>
            </w:pPr>
            <w:r>
              <w:t>coverageₕ=meanᵢ[q10ᵢ,ₕ≤yᵢ,ₕ≤q90ᵢ,ₕ]，包含等號。名目值=0.9−0.1=0.8。</w:t>
            </w:r>
          </w:p>
        </w:tc>
      </w:tr>
      <w:tr>
        <w:trPr>
          <w:cantSplit/>
        </w:trPr>
        <w:tc>
          <w:tcPr>
            <w:tcW w:w="1900" w:type="dxa"/>
            <w:vAlign w:val="center"/>
          </w:tcPr>
          <w:p>
            <w:pPr>
              <w:pStyle w:val="TableText"/>
            </w:pPr>
            <w:r>
              <w:t>怎麼判讀</w:t>
            </w:r>
          </w:p>
        </w:tc>
        <w:tc>
          <w:tcPr>
            <w:tcW w:w="7460" w:type="dxa"/>
            <w:vAlign w:val="center"/>
          </w:tcPr>
          <w:p>
            <w:pPr>
              <w:pStyle w:val="TableText"/>
            </w:pPr>
            <w:r>
              <w:t>接近 80% 較理想；太低常表示包不住，太高則可能是區間太寬。不是單純越高越好。</w:t>
            </w:r>
          </w:p>
        </w:tc>
      </w:tr>
      <w:tr>
        <w:trPr>
          <w:cantSplit/>
        </w:trPr>
        <w:tc>
          <w:tcPr>
            <w:tcW w:w="1900" w:type="dxa"/>
            <w:vAlign w:val="center"/>
          </w:tcPr>
          <w:p>
            <w:pPr>
              <w:pStyle w:val="TableText"/>
            </w:pPr>
            <w:r>
              <w:t>本次 run</w:t>
            </w:r>
          </w:p>
        </w:tc>
        <w:tc>
          <w:tcPr>
            <w:tcW w:w="7460" w:type="dxa"/>
            <w:vAlign w:val="center"/>
          </w:tcPr>
          <w:p>
            <w:pPr>
              <w:pStyle w:val="TableText"/>
            </w:pPr>
            <w:r>
              <w:t>1–14 日範圍 76.05%–83.59%；第 1 日 83.59%，第 14 日 76.81%。第 13 日最低 76.05%。</w:t>
            </w:r>
          </w:p>
        </w:tc>
      </w:tr>
      <w:tr>
        <w:trPr>
          <w:cantSplit/>
        </w:trPr>
        <w:tc>
          <w:tcPr>
            <w:tcW w:w="1900" w:type="dxa"/>
            <w:vAlign w:val="center"/>
          </w:tcPr>
          <w:p>
            <w:pPr>
              <w:pStyle w:val="TableText"/>
            </w:pPr>
            <w:r>
              <w:t>不能這樣解讀</w:t>
            </w:r>
          </w:p>
        </w:tc>
        <w:tc>
          <w:tcPr>
            <w:tcW w:w="7460" w:type="dxa"/>
            <w:vAlign w:val="center"/>
          </w:tcPr>
          <w:p>
            <w:pPr>
              <w:pStyle w:val="TableText"/>
            </w:pPr>
            <w:r>
              <w:t>coverage=100% 不代表神準；若每次都預測 −100 到 +100，也可能全包住卻毫無決策價值。</w:t>
            </w:r>
          </w:p>
        </w:tc>
      </w:tr>
      <w:tr>
        <w:trPr>
          <w:cantSplit/>
        </w:trPr>
        <w:tc>
          <w:tcPr>
            <w:tcW w:w="1900" w:type="dxa"/>
            <w:vAlign w:val="center"/>
          </w:tcPr>
          <w:p>
            <w:pPr>
              <w:pStyle w:val="TableText"/>
            </w:pPr>
            <w:r>
              <w:t>應搭配閱讀</w:t>
            </w:r>
          </w:p>
        </w:tc>
        <w:tc>
          <w:tcPr>
            <w:tcW w:w="7460" w:type="dxa"/>
            <w:vAlign w:val="center"/>
          </w:tcPr>
          <w:p>
            <w:pPr>
              <w:pStyle w:val="TableText"/>
            </w:pPr>
            <w:r>
              <w:t>interval width 與 coverage error。</w:t>
            </w:r>
          </w:p>
        </w:tc>
      </w:tr>
    </w:tbl>
    <w:p>
      <w:pPr>
        <w:pStyle w:val="31"/>
      </w:pPr>
      <w:r>
        <w:t>4.2 Interval width／悲觀到樂觀相隔多遠</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q90−q10 告訴你模型給出的可能結果帶有多寬。越寬表示模型容許的下行到上行範圍越大。</w:t>
            </w:r>
          </w:p>
        </w:tc>
      </w:tr>
      <w:tr>
        <w:trPr>
          <w:cantSplit/>
        </w:trPr>
        <w:tc>
          <w:tcPr>
            <w:tcW w:w="1900" w:type="dxa"/>
            <w:vAlign w:val="center"/>
          </w:tcPr>
          <w:p>
            <w:pPr>
              <w:pStyle w:val="TableText"/>
            </w:pPr>
            <w:r>
              <w:t>股票情境</w:t>
            </w:r>
          </w:p>
        </w:tc>
        <w:tc>
          <w:tcPr>
            <w:tcW w:w="7460" w:type="dxa"/>
            <w:vAlign w:val="center"/>
          </w:tcPr>
          <w:p>
            <w:pPr>
              <w:pStyle w:val="TableText"/>
            </w:pPr>
            <w:r>
              <w:t>q10=−0.05、q90=+0.15，width=0.20。這表示 log-alpha 區間跨 0.20；端點換成 gross-ratio 約為 −4.88% 到 +16.18%，不是直接說『波動率 20%』。</w:t>
            </w:r>
          </w:p>
        </w:tc>
      </w:tr>
      <w:tr>
        <w:trPr>
          <w:cantSplit/>
        </w:trPr>
        <w:tc>
          <w:tcPr>
            <w:tcW w:w="1900" w:type="dxa"/>
            <w:vAlign w:val="center"/>
          </w:tcPr>
          <w:p>
            <w:pPr>
              <w:pStyle w:val="TableText"/>
            </w:pPr>
            <w:r>
              <w:t>實際計算</w:t>
            </w:r>
          </w:p>
        </w:tc>
        <w:tc>
          <w:tcPr>
            <w:tcW w:w="7460" w:type="dxa"/>
            <w:vAlign w:val="center"/>
          </w:tcPr>
          <w:p>
            <w:pPr>
              <w:pStyle w:val="TableText"/>
            </w:pPr>
            <w:r>
              <w:t>widthₕ=meanᵢ(q90ᵢ,ₕ−q10ᵢ,ₕ)。因模型結構保證 q90≥q10，理論上不會出現負 width。</w:t>
            </w:r>
          </w:p>
        </w:tc>
      </w:tr>
      <w:tr>
        <w:trPr>
          <w:cantSplit/>
        </w:trPr>
        <w:tc>
          <w:tcPr>
            <w:tcW w:w="1900" w:type="dxa"/>
            <w:vAlign w:val="center"/>
          </w:tcPr>
          <w:p>
            <w:pPr>
              <w:pStyle w:val="TableText"/>
            </w:pPr>
            <w:r>
              <w:t>怎麼判讀</w:t>
            </w:r>
          </w:p>
        </w:tc>
        <w:tc>
          <w:tcPr>
            <w:tcW w:w="7460" w:type="dxa"/>
            <w:vAlign w:val="center"/>
          </w:tcPr>
          <w:p>
            <w:pPr>
              <w:pStyle w:val="TableText"/>
            </w:pPr>
            <w:r>
              <w:t>在 coverage 相近時，較窄通常代表資訊更集中；若為了變窄而漏掉大量真值，就不是改善。長 horizon 原始 width 自然可能更大。</w:t>
            </w:r>
          </w:p>
        </w:tc>
      </w:tr>
      <w:tr>
        <w:trPr>
          <w:cantSplit/>
        </w:trPr>
        <w:tc>
          <w:tcPr>
            <w:tcW w:w="1900" w:type="dxa"/>
            <w:vAlign w:val="center"/>
          </w:tcPr>
          <w:p>
            <w:pPr>
              <w:pStyle w:val="TableText"/>
            </w:pPr>
            <w:r>
              <w:t>本次 run</w:t>
            </w:r>
          </w:p>
        </w:tc>
        <w:tc>
          <w:tcPr>
            <w:tcW w:w="7460" w:type="dxa"/>
            <w:vAlign w:val="center"/>
          </w:tcPr>
          <w:p>
            <w:pPr>
              <w:pStyle w:val="TableText"/>
            </w:pPr>
            <w:r>
              <w:t>平均 width 由第 1 日 0.0604 增至第 14 日 0.2224；需同時注意 scale 也由 0.0187 增至 0.0913。</w:t>
            </w:r>
          </w:p>
        </w:tc>
      </w:tr>
      <w:tr>
        <w:trPr>
          <w:cantSplit/>
        </w:trPr>
        <w:tc>
          <w:tcPr>
            <w:tcW w:w="1900" w:type="dxa"/>
            <w:vAlign w:val="center"/>
          </w:tcPr>
          <w:p>
            <w:pPr>
              <w:pStyle w:val="TableText"/>
            </w:pPr>
            <w:r>
              <w:t>不能這樣解讀</w:t>
            </w:r>
          </w:p>
        </w:tc>
        <w:tc>
          <w:tcPr>
            <w:tcW w:w="7460" w:type="dxa"/>
            <w:vAlign w:val="center"/>
          </w:tcPr>
          <w:p>
            <w:pPr>
              <w:pStyle w:val="TableText"/>
            </w:pPr>
            <w:r>
              <w:t>不能只看 width 越小越好，也不能只因 14 日 width 較大就斷言模型更差；先比 coverage，再比相對尺度。</w:t>
            </w:r>
          </w:p>
        </w:tc>
      </w:tr>
      <w:tr>
        <w:trPr>
          <w:cantSplit/>
        </w:trPr>
        <w:tc>
          <w:tcPr>
            <w:tcW w:w="1900" w:type="dxa"/>
            <w:vAlign w:val="center"/>
          </w:tcPr>
          <w:p>
            <w:pPr>
              <w:pStyle w:val="TableText"/>
            </w:pPr>
            <w:r>
              <w:t>應搭配閱讀</w:t>
            </w:r>
          </w:p>
        </w:tc>
        <w:tc>
          <w:tcPr>
            <w:tcW w:w="7460" w:type="dxa"/>
            <w:vAlign w:val="center"/>
          </w:tcPr>
          <w:p>
            <w:pPr>
              <w:pStyle w:val="TableText"/>
            </w:pPr>
            <w:r>
              <w:t>coverage、robust scale、q10/q90 各自的 pinball。</w:t>
            </w:r>
          </w:p>
        </w:tc>
      </w:tr>
    </w:tbl>
    <w:p>
      <w:pPr>
        <w:pStyle w:val="31"/>
      </w:pPr>
      <w:r>
        <w:t>4.3 Coverage error／離名目 80% 差幾個百分點</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把 coverage 與應有的 80% 直接比較，回答『這個區間包太少或包太多，偏離多少？』</w:t>
            </w:r>
          </w:p>
        </w:tc>
      </w:tr>
      <w:tr>
        <w:trPr>
          <w:cantSplit/>
        </w:trPr>
        <w:tc>
          <w:tcPr>
            <w:tcW w:w="1900" w:type="dxa"/>
            <w:vAlign w:val="center"/>
          </w:tcPr>
          <w:p>
            <w:pPr>
              <w:pStyle w:val="TableText"/>
            </w:pPr>
            <w:r>
              <w:t>股票情境</w:t>
            </w:r>
          </w:p>
        </w:tc>
        <w:tc>
          <w:tcPr>
            <w:tcW w:w="7460" w:type="dxa"/>
            <w:vAlign w:val="center"/>
          </w:tcPr>
          <w:p>
            <w:pPr>
              <w:pStyle w:val="TableText"/>
            </w:pPr>
            <w:r>
              <w:t>coverage=76%，error=|76%−80%|=4 個百分點；coverage=84%，error 同樣是 4 個百分點。兩者分數一樣，但一個偏窄／尾部不足，另一個可能偏寬，所以仍要保留方向。</w:t>
            </w:r>
          </w:p>
        </w:tc>
      </w:tr>
      <w:tr>
        <w:trPr>
          <w:cantSplit/>
        </w:trPr>
        <w:tc>
          <w:tcPr>
            <w:tcW w:w="1900" w:type="dxa"/>
            <w:vAlign w:val="center"/>
          </w:tcPr>
          <w:p>
            <w:pPr>
              <w:pStyle w:val="TableText"/>
            </w:pPr>
            <w:r>
              <w:t>實際計算</w:t>
            </w:r>
          </w:p>
        </w:tc>
        <w:tc>
          <w:tcPr>
            <w:tcW w:w="7460" w:type="dxa"/>
            <w:vAlign w:val="center"/>
          </w:tcPr>
          <w:p>
            <w:pPr>
              <w:pStyle w:val="TableText"/>
            </w:pPr>
            <w:r>
              <w:t>coverage errorₕ=|coverageₕ−0.80|。aggregate coverage error 是先算 14 個 horizon 各自的絕對誤差再平均，不是 |平均 coverage−0.80|。</w:t>
            </w:r>
          </w:p>
        </w:tc>
      </w:tr>
      <w:tr>
        <w:trPr>
          <w:cantSplit/>
        </w:trPr>
        <w:tc>
          <w:tcPr>
            <w:tcW w:w="1900" w:type="dxa"/>
            <w:vAlign w:val="center"/>
          </w:tcPr>
          <w:p>
            <w:pPr>
              <w:pStyle w:val="TableText"/>
            </w:pPr>
            <w:r>
              <w:t>怎麼判讀</w:t>
            </w:r>
          </w:p>
        </w:tc>
        <w:tc>
          <w:tcPr>
            <w:tcW w:w="7460" w:type="dxa"/>
            <w:vAlign w:val="center"/>
          </w:tcPr>
          <w:p>
            <w:pPr>
              <w:pStyle w:val="TableText"/>
            </w:pPr>
            <w:r>
              <w:t>越接近 0 越好；必須搭配原始 coverage 才知道是低包覆還是高包覆。</w:t>
            </w:r>
          </w:p>
        </w:tc>
      </w:tr>
      <w:tr>
        <w:trPr>
          <w:cantSplit/>
        </w:trPr>
        <w:tc>
          <w:tcPr>
            <w:tcW w:w="1900" w:type="dxa"/>
            <w:vAlign w:val="center"/>
          </w:tcPr>
          <w:p>
            <w:pPr>
              <w:pStyle w:val="TableText"/>
            </w:pPr>
            <w:r>
              <w:t>本次 run</w:t>
            </w:r>
          </w:p>
        </w:tc>
        <w:tc>
          <w:tcPr>
            <w:tcW w:w="7460" w:type="dxa"/>
            <w:vAlign w:val="center"/>
          </w:tcPr>
          <w:p>
            <w:pPr>
              <w:pStyle w:val="TableText"/>
            </w:pPr>
            <w:r>
              <w:t>第 1 日誤差 3.59 個百分點，第 7 日 1.57，第 14 日 3.19；14 日平均 error=2.15 個百分點。</w:t>
            </w:r>
          </w:p>
        </w:tc>
      </w:tr>
      <w:tr>
        <w:trPr>
          <w:cantSplit/>
        </w:trPr>
        <w:tc>
          <w:tcPr>
            <w:tcW w:w="1900" w:type="dxa"/>
            <w:vAlign w:val="center"/>
          </w:tcPr>
          <w:p>
            <w:pPr>
              <w:pStyle w:val="TableText"/>
            </w:pPr>
            <w:r>
              <w:t>不能這樣解讀</w:t>
            </w:r>
          </w:p>
        </w:tc>
        <w:tc>
          <w:tcPr>
            <w:tcW w:w="7460" w:type="dxa"/>
            <w:vAlign w:val="center"/>
          </w:tcPr>
          <w:p>
            <w:pPr>
              <w:pStyle w:val="TableText"/>
            </w:pPr>
            <w:r>
              <w:t>coverage error 小只代表頻率接近 80%，不代表區間窄、不代表每檔股票的尾部可信，也不代表報酬。</w:t>
            </w:r>
          </w:p>
        </w:tc>
      </w:tr>
      <w:tr>
        <w:trPr>
          <w:cantSplit/>
        </w:trPr>
        <w:tc>
          <w:tcPr>
            <w:tcW w:w="1900" w:type="dxa"/>
            <w:vAlign w:val="center"/>
          </w:tcPr>
          <w:p>
            <w:pPr>
              <w:pStyle w:val="TableText"/>
            </w:pPr>
            <w:r>
              <w:t>應搭配閱讀</w:t>
            </w:r>
          </w:p>
        </w:tc>
        <w:tc>
          <w:tcPr>
            <w:tcW w:w="7460" w:type="dxa"/>
            <w:vAlign w:val="center"/>
          </w:tcPr>
          <w:p>
            <w:pPr>
              <w:pStyle w:val="TableText"/>
            </w:pPr>
            <w:r>
              <w:t>coverage 的高低方向與 interval width。</w:t>
            </w:r>
          </w:p>
        </w:tc>
      </w:tr>
    </w:tbl>
    <w:p>
      <w:pPr>
        <w:pStyle w:val="11"/>
      </w:pPr>
      <w:r>
        <w:t>5. 同一天的選股排序與簡化投組</w:t>
      </w:r>
    </w:p>
    <w:p>
      <w:pPr>
        <w:pStyle w:val="31"/>
      </w:pPr>
      <w:r>
        <w:t>5.1 evaluated_dates／有多少交易日能計算橫斷面</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不是每個日期都能評估選股。當天至少要有三檔有效股票，而且 q50 不能全部一樣，才有辦法比較誰強誰弱。evaluated_dates 是符合條件的日期數。</w:t>
            </w:r>
          </w:p>
        </w:tc>
      </w:tr>
      <w:tr>
        <w:trPr>
          <w:cantSplit/>
        </w:trPr>
        <w:tc>
          <w:tcPr>
            <w:tcW w:w="1900" w:type="dxa"/>
            <w:vAlign w:val="center"/>
          </w:tcPr>
          <w:p>
            <w:pPr>
              <w:pStyle w:val="TableText"/>
            </w:pPr>
            <w:r>
              <w:t>股票情境</w:t>
            </w:r>
          </w:p>
        </w:tc>
        <w:tc>
          <w:tcPr>
            <w:tcW w:w="7460" w:type="dxa"/>
            <w:vAlign w:val="center"/>
          </w:tcPr>
          <w:p>
            <w:pPr>
              <w:pStyle w:val="TableText"/>
            </w:pPr>
            <w:r>
              <w:t>某天只有兩檔股票，或十檔股票的 q50 全是 0，無法形成可靠排序，該日跳過。另一日有 100 檔且 q50 有差異，就算一個 evaluated date。</w:t>
            </w:r>
          </w:p>
        </w:tc>
      </w:tr>
      <w:tr>
        <w:trPr>
          <w:cantSplit/>
        </w:trPr>
        <w:tc>
          <w:tcPr>
            <w:tcW w:w="1900" w:type="dxa"/>
            <w:vAlign w:val="center"/>
          </w:tcPr>
          <w:p>
            <w:pPr>
              <w:pStyle w:val="TableText"/>
            </w:pPr>
            <w:r>
              <w:t>實際計算</w:t>
            </w:r>
          </w:p>
        </w:tc>
        <w:tc>
          <w:tcPr>
            <w:tcW w:w="7460" w:type="dxa"/>
            <w:vAlign w:val="center"/>
          </w:tcPr>
          <w:p>
            <w:pPr>
              <w:pStyle w:val="TableText"/>
            </w:pPr>
            <w:r>
              <w:t>依 cutoff date 分組；先要求至少 3 筆，再濾除非 finite target/signal，仍需至少 3 筆且 ptp(signal)&gt;0。通過才計算 long/short；RankIC 若非 finite 則另行略過。</w:t>
            </w:r>
          </w:p>
        </w:tc>
      </w:tr>
      <w:tr>
        <w:trPr>
          <w:cantSplit/>
        </w:trPr>
        <w:tc>
          <w:tcPr>
            <w:tcW w:w="1900" w:type="dxa"/>
            <w:vAlign w:val="center"/>
          </w:tcPr>
          <w:p>
            <w:pPr>
              <w:pStyle w:val="TableText"/>
            </w:pPr>
            <w:r>
              <w:t>怎麼判讀</w:t>
            </w:r>
          </w:p>
        </w:tc>
        <w:tc>
          <w:tcPr>
            <w:tcW w:w="7460" w:type="dxa"/>
            <w:vAlign w:val="center"/>
          </w:tcPr>
          <w:p>
            <w:pPr>
              <w:pStyle w:val="TableText"/>
            </w:pPr>
            <w:r>
              <w:t>越多代表涵蓋更多日期，但不是越多就代表模型較準。它是樣本充分度與計算邊界。</w:t>
            </w:r>
          </w:p>
        </w:tc>
      </w:tr>
      <w:tr>
        <w:trPr>
          <w:cantSplit/>
        </w:trPr>
        <w:tc>
          <w:tcPr>
            <w:tcW w:w="1900" w:type="dxa"/>
            <w:vAlign w:val="center"/>
          </w:tcPr>
          <w:p>
            <w:pPr>
              <w:pStyle w:val="TableText"/>
            </w:pPr>
            <w:r>
              <w:t>本次 run</w:t>
            </w:r>
          </w:p>
        </w:tc>
        <w:tc>
          <w:tcPr>
            <w:tcW w:w="7460" w:type="dxa"/>
            <w:vAlign w:val="center"/>
          </w:tcPr>
          <w:p>
            <w:pPr>
              <w:pStyle w:val="TableText"/>
            </w:pPr>
            <w:r>
              <w:t>本次各 horizon 的 evaluated_dates 為 155–155 日；5 日為 155 日。</w:t>
            </w:r>
          </w:p>
        </w:tc>
      </w:tr>
      <w:tr>
        <w:trPr>
          <w:cantSplit/>
        </w:trPr>
        <w:tc>
          <w:tcPr>
            <w:tcW w:w="1900" w:type="dxa"/>
            <w:vAlign w:val="center"/>
          </w:tcPr>
          <w:p>
            <w:pPr>
              <w:pStyle w:val="TableText"/>
            </w:pPr>
            <w:r>
              <w:t>不能這樣解讀</w:t>
            </w:r>
          </w:p>
        </w:tc>
        <w:tc>
          <w:tcPr>
            <w:tcW w:w="7460" w:type="dxa"/>
            <w:vAlign w:val="center"/>
          </w:tcPr>
          <w:p>
            <w:pPr>
              <w:pStyle w:val="TableText"/>
            </w:pPr>
            <w:r>
              <w:t>155 dates 不是 155 檔股票，也不是 155 筆 validation 樣本；validation 總樣本是 20,000。</w:t>
            </w:r>
          </w:p>
        </w:tc>
      </w:tr>
      <w:tr>
        <w:trPr>
          <w:cantSplit/>
        </w:trPr>
        <w:tc>
          <w:tcPr>
            <w:tcW w:w="1900" w:type="dxa"/>
            <w:vAlign w:val="center"/>
          </w:tcPr>
          <w:p>
            <w:pPr>
              <w:pStyle w:val="TableText"/>
            </w:pPr>
            <w:r>
              <w:t>應搭配閱讀</w:t>
            </w:r>
          </w:p>
        </w:tc>
        <w:tc>
          <w:tcPr>
            <w:tcW w:w="7460" w:type="dxa"/>
            <w:vAlign w:val="center"/>
          </w:tcPr>
          <w:p>
            <w:pPr>
              <w:pStyle w:val="TableText"/>
            </w:pPr>
            <w:r>
              <w:t>RankIC/ICIR 的日期統計與每日期標的數。</w:t>
            </w:r>
          </w:p>
        </w:tc>
      </w:tr>
    </w:tbl>
    <w:p>
      <w:pPr>
        <w:pStyle w:val="31"/>
      </w:pPr>
      <w:r>
        <w:t>5.2 RankIC／能否把同日相對強股排在前面</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不在乎 q50 是 0.03 還是 0.05，只問同一天模型認為比較強的股票，實際是否也比較強。這是最接近『選股排序有沒有用』的指標。</w:t>
            </w:r>
          </w:p>
        </w:tc>
      </w:tr>
      <w:tr>
        <w:trPr>
          <w:cantSplit/>
        </w:trPr>
        <w:tc>
          <w:tcPr>
            <w:tcW w:w="1900" w:type="dxa"/>
            <w:vAlign w:val="center"/>
          </w:tcPr>
          <w:p>
            <w:pPr>
              <w:pStyle w:val="TableText"/>
            </w:pPr>
            <w:r>
              <w:t>股票情境</w:t>
            </w:r>
          </w:p>
        </w:tc>
        <w:tc>
          <w:tcPr>
            <w:tcW w:w="7460" w:type="dxa"/>
            <w:vAlign w:val="center"/>
          </w:tcPr>
          <w:p>
            <w:pPr>
              <w:pStyle w:val="TableText"/>
            </w:pPr>
            <w:r>
              <w:t>五檔股票預測由弱到強為 E、D、C、B、A；實際由弱到強為 D、E、B、C、A。A 仍最強，少數中間互換，兩組 ordinal ranks 的 correlation=0.80。</w:t>
            </w:r>
          </w:p>
        </w:tc>
      </w:tr>
      <w:tr>
        <w:trPr>
          <w:cantSplit/>
        </w:trPr>
        <w:tc>
          <w:tcPr>
            <w:tcW w:w="1900" w:type="dxa"/>
            <w:vAlign w:val="center"/>
          </w:tcPr>
          <w:p>
            <w:pPr>
              <w:pStyle w:val="TableText"/>
            </w:pPr>
            <w:r>
              <w:t>實際計算</w:t>
            </w:r>
          </w:p>
        </w:tc>
        <w:tc>
          <w:tcPr>
            <w:tcW w:w="7460" w:type="dxa"/>
            <w:vAlign w:val="center"/>
          </w:tcPr>
          <w:p>
            <w:pPr>
              <w:pStyle w:val="TableText"/>
            </w:pPr>
            <w:r>
              <w:t>每個日期先用 stable argsort 兩次把 y 與 q50 各轉成 ordinal ranks，再算兩組 ranks 的 Pearson correlation；最後對有效日期取 mean，得到 rank_ic_mean。ties 依原輸入順序得到不同 ordinal rank，不使用平均名次。</w:t>
            </w:r>
          </w:p>
        </w:tc>
      </w:tr>
      <w:tr>
        <w:trPr>
          <w:cantSplit/>
        </w:trPr>
        <w:tc>
          <w:tcPr>
            <w:tcW w:w="1900" w:type="dxa"/>
            <w:vAlign w:val="center"/>
          </w:tcPr>
          <w:p>
            <w:pPr>
              <w:pStyle w:val="TableText"/>
            </w:pPr>
            <w:r>
              <w:t>怎麼判讀</w:t>
            </w:r>
          </w:p>
        </w:tc>
        <w:tc>
          <w:tcPr>
            <w:tcW w:w="7460" w:type="dxa"/>
            <w:vAlign w:val="center"/>
          </w:tcPr>
          <w:p>
            <w:pPr>
              <w:pStyle w:val="TableText"/>
            </w:pPr>
            <w:r>
              <w:t>+1 是排序完全一致，0 是沒有排序關係，−1 是完全相反；越高越好。小幅正值可有選股資訊，但要看日期穩定性與成本。</w:t>
            </w:r>
          </w:p>
        </w:tc>
      </w:tr>
      <w:tr>
        <w:trPr>
          <w:cantSplit/>
        </w:trPr>
        <w:tc>
          <w:tcPr>
            <w:tcW w:w="1900" w:type="dxa"/>
            <w:vAlign w:val="center"/>
          </w:tcPr>
          <w:p>
            <w:pPr>
              <w:pStyle w:val="TableText"/>
            </w:pPr>
            <w:r>
              <w:t>本次 run</w:t>
            </w:r>
          </w:p>
        </w:tc>
        <w:tc>
          <w:tcPr>
            <w:tcW w:w="7460" w:type="dxa"/>
            <w:vAlign w:val="center"/>
          </w:tcPr>
          <w:p>
            <w:pPr>
              <w:pStyle w:val="TableText"/>
            </w:pPr>
            <w:r>
              <w:t>14 個 horizon 全為正，範圍 0.0464–0.0759；第 1–9 日跨模型排名第 1，第 10–11 日第 2，第 12–14 日第 3。</w:t>
            </w:r>
          </w:p>
        </w:tc>
      </w:tr>
      <w:tr>
        <w:trPr>
          <w:cantSplit/>
        </w:trPr>
        <w:tc>
          <w:tcPr>
            <w:tcW w:w="1900" w:type="dxa"/>
            <w:vAlign w:val="center"/>
          </w:tcPr>
          <w:p>
            <w:pPr>
              <w:pStyle w:val="TableText"/>
            </w:pPr>
            <w:r>
              <w:t>不能這樣解讀</w:t>
            </w:r>
          </w:p>
        </w:tc>
        <w:tc>
          <w:tcPr>
            <w:tcW w:w="7460" w:type="dxa"/>
            <w:vAlign w:val="center"/>
          </w:tcPr>
          <w:p>
            <w:pPr>
              <w:pStyle w:val="TableText"/>
            </w:pPr>
            <w:r>
              <w:t>RankIC=0.0759 不是 7.59% 報酬，也不表示 q50 幅度準；排序好仍可能被 turnover、成本或回撤吃掉。</w:t>
            </w:r>
          </w:p>
        </w:tc>
      </w:tr>
      <w:tr>
        <w:trPr>
          <w:cantSplit/>
        </w:trPr>
        <w:tc>
          <w:tcPr>
            <w:tcW w:w="1900" w:type="dxa"/>
            <w:vAlign w:val="center"/>
          </w:tcPr>
          <w:p>
            <w:pPr>
              <w:pStyle w:val="TableText"/>
            </w:pPr>
            <w:r>
              <w:t>應搭配閱讀</w:t>
            </w:r>
          </w:p>
        </w:tc>
        <w:tc>
          <w:tcPr>
            <w:tcW w:w="7460" w:type="dxa"/>
            <w:vAlign w:val="center"/>
          </w:tcPr>
          <w:p>
            <w:pPr>
              <w:pStyle w:val="TableText"/>
            </w:pPr>
            <w:r>
              <w:t>ICIR、net long/short return、turnover、MDD。</w:t>
            </w:r>
          </w:p>
        </w:tc>
      </w:tr>
    </w:tbl>
    <w:p>
      <w:pPr>
        <w:pStyle w:val="31"/>
      </w:pPr>
      <w:r>
        <w:t>5.3 ICIR／RankIC 每天是否穩定</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兩個模型平均 RankIC 一樣時，偏好每天較一致、較少忽好忽壞的那一個。ICIR 就是平均排序訊號除以它跨日期的波動。</w:t>
            </w:r>
          </w:p>
        </w:tc>
      </w:tr>
      <w:tr>
        <w:trPr>
          <w:cantSplit/>
        </w:trPr>
        <w:tc>
          <w:tcPr>
            <w:tcW w:w="1900" w:type="dxa"/>
            <w:vAlign w:val="center"/>
          </w:tcPr>
          <w:p>
            <w:pPr>
              <w:pStyle w:val="TableText"/>
            </w:pPr>
            <w:r>
              <w:t>股票情境</w:t>
            </w:r>
          </w:p>
        </w:tc>
        <w:tc>
          <w:tcPr>
            <w:tcW w:w="7460" w:type="dxa"/>
            <w:vAlign w:val="center"/>
          </w:tcPr>
          <w:p>
            <w:pPr>
              <w:pStyle w:val="TableText"/>
            </w:pPr>
            <w:r>
              <w:t>模型甲三日 IC=[0.10,0.10,0.10] 很穩；模型乙可能是 [−0.30,0.10,0.50]，平均也約 0.10 但波動大，ICIR 較低。舊手算例 [0.10,0.00,0.20] 的 mean=0.10、sample std=0.10，ICIR=1.0。</w:t>
            </w:r>
          </w:p>
        </w:tc>
      </w:tr>
      <w:tr>
        <w:trPr>
          <w:cantSplit/>
        </w:trPr>
        <w:tc>
          <w:tcPr>
            <w:tcW w:w="1900" w:type="dxa"/>
            <w:vAlign w:val="center"/>
          </w:tcPr>
          <w:p>
            <w:pPr>
              <w:pStyle w:val="TableText"/>
            </w:pPr>
            <w:r>
              <w:t>實際計算</w:t>
            </w:r>
          </w:p>
        </w:tc>
        <w:tc>
          <w:tcPr>
            <w:tcW w:w="7460" w:type="dxa"/>
            <w:vAlign w:val="center"/>
          </w:tcPr>
          <w:p>
            <w:pPr>
              <w:pStyle w:val="TableText"/>
            </w:pPr>
            <w:r>
              <w:t>ICIR=mean(IC_d)/sample_std(IC_d)，sample std 使用 ddof=1；少於 2 個 IC 或 std=0 時回傳 0。本專案沒有再乘年化因子。</w:t>
            </w:r>
          </w:p>
        </w:tc>
      </w:tr>
      <w:tr>
        <w:trPr>
          <w:cantSplit/>
        </w:trPr>
        <w:tc>
          <w:tcPr>
            <w:tcW w:w="1900" w:type="dxa"/>
            <w:vAlign w:val="center"/>
          </w:tcPr>
          <w:p>
            <w:pPr>
              <w:pStyle w:val="TableText"/>
            </w:pPr>
            <w:r>
              <w:t>怎麼判讀</w:t>
            </w:r>
          </w:p>
        </w:tc>
        <w:tc>
          <w:tcPr>
            <w:tcW w:w="7460" w:type="dxa"/>
            <w:vAlign w:val="center"/>
          </w:tcPr>
          <w:p>
            <w:pPr>
              <w:pStyle w:val="TableText"/>
            </w:pPr>
            <w:r>
              <w:t>在 mean IC 為正時通常越高越好，代表訊號相對穩定；仍需看日期數與 regime。</w:t>
            </w:r>
          </w:p>
        </w:tc>
      </w:tr>
      <w:tr>
        <w:trPr>
          <w:cantSplit/>
        </w:trPr>
        <w:tc>
          <w:tcPr>
            <w:tcW w:w="1900" w:type="dxa"/>
            <w:vAlign w:val="center"/>
          </w:tcPr>
          <w:p>
            <w:pPr>
              <w:pStyle w:val="TableText"/>
            </w:pPr>
            <w:r>
              <w:t>本次 run</w:t>
            </w:r>
          </w:p>
        </w:tc>
        <w:tc>
          <w:tcPr>
            <w:tcW w:w="7460" w:type="dxa"/>
            <w:vAlign w:val="center"/>
          </w:tcPr>
          <w:p>
            <w:pPr>
              <w:pStyle w:val="TableText"/>
            </w:pPr>
            <w:r>
              <w:t>第 1 日 0.397，第 5 日 0.457，第 14 日 0.260；長 horizon 後段較低。</w:t>
            </w:r>
          </w:p>
        </w:tc>
      </w:tr>
      <w:tr>
        <w:trPr>
          <w:cantSplit/>
        </w:trPr>
        <w:tc>
          <w:tcPr>
            <w:tcW w:w="1900" w:type="dxa"/>
            <w:vAlign w:val="center"/>
          </w:tcPr>
          <w:p>
            <w:pPr>
              <w:pStyle w:val="TableText"/>
            </w:pPr>
            <w:r>
              <w:t>不能這樣解讀</w:t>
            </w:r>
          </w:p>
        </w:tc>
        <w:tc>
          <w:tcPr>
            <w:tcW w:w="7460" w:type="dxa"/>
            <w:vAlign w:val="center"/>
          </w:tcPr>
          <w:p>
            <w:pPr>
              <w:pStyle w:val="TableText"/>
            </w:pPr>
            <w:r>
              <w:t>ICIR 不是 Sharpe：分子是每日股票排序 correlation，不是投組報酬。</w:t>
            </w:r>
          </w:p>
        </w:tc>
      </w:tr>
      <w:tr>
        <w:trPr>
          <w:cantSplit/>
        </w:trPr>
        <w:tc>
          <w:tcPr>
            <w:tcW w:w="1900" w:type="dxa"/>
            <w:vAlign w:val="center"/>
          </w:tcPr>
          <w:p>
            <w:pPr>
              <w:pStyle w:val="TableText"/>
            </w:pPr>
            <w:r>
              <w:t>應搭配閱讀</w:t>
            </w:r>
          </w:p>
        </w:tc>
        <w:tc>
          <w:tcPr>
            <w:tcW w:w="7460" w:type="dxa"/>
            <w:vAlign w:val="center"/>
          </w:tcPr>
          <w:p>
            <w:pPr>
              <w:pStyle w:val="TableText"/>
            </w:pPr>
            <w:r>
              <w:t>mean RankIC、evaluated_dates、年度／regime 穩定性。</w:t>
            </w:r>
          </w:p>
        </w:tc>
      </w:tr>
    </w:tbl>
    <w:p>
      <w:pPr>
        <w:pStyle w:val="21"/>
      </w:pPr>
      <w:r>
        <w:t>5.4 Long／short 分桶實例</w:t>
      </w:r>
    </w:p>
    <w:p>
      <w:pPr>
        <w:pStyle w:val="a"/>
      </w:pPr>
      <w:r>
        <w:t>同一天先按 q50 由低到高排序。bucket=max(1,floor(n/5))；最低一桶做空、最高一桶做多，中間不持有。五檔股票時 bucket=1，以下例子做多 A、做空 E。</w:t>
      </w:r>
    </w:p>
    <w:tbl>
      <w:tblPr>
        <w:tblStyle w:val="BenchmarkTable"/>
        <w:tblW w:w="9360" w:type="dxa"/>
        <w:tblLayout w:type="fixed"/>
      </w:tblPr>
      <w:tblGrid>
        <w:gridCol w:w="1500"/>
        <w:gridCol w:w="1800"/>
        <w:gridCol w:w="1800"/>
        <w:gridCol w:w="1900"/>
        <w:gridCol w:w="2360"/>
      </w:tblGrid>
      <w:tr>
        <w:trPr>
          <w:tblHeader/>
        </w:trPr>
        <w:tc>
          <w:tcPr>
            <w:tcW w:w="1500" w:type="dxa"/>
            <w:shd w:val="clear" w:fill="DCE6F1"/>
            <w:vAlign w:val="center"/>
          </w:tcPr>
          <w:p>
            <w:pPr>
              <w:pStyle w:val="TableHeader"/>
            </w:pPr>
            <w:r>
              <w:t>股票</w:t>
            </w:r>
          </w:p>
        </w:tc>
        <w:tc>
          <w:tcPr>
            <w:tcW w:w="1800" w:type="dxa"/>
            <w:shd w:val="clear" w:fill="DCE6F1"/>
            <w:vAlign w:val="center"/>
          </w:tcPr>
          <w:p>
            <w:pPr>
              <w:pStyle w:val="TableHeader"/>
            </w:pPr>
            <w:r>
              <w:t>預測 q50</w:t>
            </w:r>
          </w:p>
        </w:tc>
        <w:tc>
          <w:tcPr>
            <w:tcW w:w="1800" w:type="dxa"/>
            <w:shd w:val="clear" w:fill="DCE6F1"/>
            <w:vAlign w:val="center"/>
          </w:tcPr>
          <w:p>
            <w:pPr>
              <w:pStyle w:val="TableHeader"/>
            </w:pPr>
            <w:r>
              <w:t>實際 y</w:t>
            </w:r>
          </w:p>
        </w:tc>
        <w:tc>
          <w:tcPr>
            <w:tcW w:w="1900" w:type="dxa"/>
            <w:shd w:val="clear" w:fill="DCE6F1"/>
            <w:vAlign w:val="center"/>
          </w:tcPr>
          <w:p>
            <w:pPr>
              <w:pStyle w:val="TableHeader"/>
            </w:pPr>
            <w:r>
              <w:t>模型排序</w:t>
            </w:r>
          </w:p>
        </w:tc>
        <w:tc>
          <w:tcPr>
            <w:tcW w:w="2360" w:type="dxa"/>
            <w:shd w:val="clear" w:fill="DCE6F1"/>
            <w:vAlign w:val="center"/>
          </w:tcPr>
          <w:p>
            <w:pPr>
              <w:pStyle w:val="TableHeader"/>
            </w:pPr>
            <w:r>
              <w:t>投組角色</w:t>
            </w:r>
          </w:p>
        </w:tc>
      </w:tr>
      <w:tr>
        <w:trPr>
          <w:cantSplit/>
        </w:trPr>
        <w:tc>
          <w:tcPr>
            <w:tcW w:w="1500" w:type="dxa"/>
            <w:vAlign w:val="center"/>
          </w:tcPr>
          <w:p>
            <w:pPr>
              <w:pStyle w:val="TableText"/>
            </w:pPr>
            <w:r>
              <w:t>A</w:t>
            </w:r>
          </w:p>
        </w:tc>
        <w:tc>
          <w:tcPr>
            <w:tcW w:w="1800" w:type="dxa"/>
            <w:vAlign w:val="center"/>
          </w:tcPr>
          <w:p>
            <w:pPr>
              <w:pStyle w:val="TableNumber"/>
            </w:pPr>
            <w:r>
              <w:t>+0.08</w:t>
            </w:r>
          </w:p>
        </w:tc>
        <w:tc>
          <w:tcPr>
            <w:tcW w:w="1800" w:type="dxa"/>
            <w:vAlign w:val="center"/>
          </w:tcPr>
          <w:p>
            <w:pPr>
              <w:pStyle w:val="TableNumber"/>
            </w:pPr>
            <w:r>
              <w:t>+0.06</w:t>
            </w:r>
          </w:p>
        </w:tc>
        <w:tc>
          <w:tcPr>
            <w:tcW w:w="1900" w:type="dxa"/>
            <w:vAlign w:val="center"/>
          </w:tcPr>
          <w:p>
            <w:pPr>
              <w:pStyle w:val="TableText"/>
            </w:pPr>
            <w:r>
              <w:t>最強</w:t>
            </w:r>
          </w:p>
        </w:tc>
        <w:tc>
          <w:tcPr>
            <w:tcW w:w="2360" w:type="dxa"/>
            <w:vAlign w:val="center"/>
          </w:tcPr>
          <w:p>
            <w:pPr>
              <w:pStyle w:val="TableText"/>
            </w:pPr>
            <w:r>
              <w:t>Long</w:t>
            </w:r>
          </w:p>
        </w:tc>
      </w:tr>
      <w:tr>
        <w:trPr>
          <w:cantSplit/>
        </w:trPr>
        <w:tc>
          <w:tcPr>
            <w:tcW w:w="1500" w:type="dxa"/>
            <w:vAlign w:val="center"/>
          </w:tcPr>
          <w:p>
            <w:pPr>
              <w:pStyle w:val="TableText"/>
            </w:pPr>
            <w:r>
              <w:t>B</w:t>
            </w:r>
          </w:p>
        </w:tc>
        <w:tc>
          <w:tcPr>
            <w:tcW w:w="1800" w:type="dxa"/>
            <w:vAlign w:val="center"/>
          </w:tcPr>
          <w:p>
            <w:pPr>
              <w:pStyle w:val="TableNumber"/>
            </w:pPr>
            <w:r>
              <w:t>+0.04</w:t>
            </w:r>
          </w:p>
        </w:tc>
        <w:tc>
          <w:tcPr>
            <w:tcW w:w="1800" w:type="dxa"/>
            <w:vAlign w:val="center"/>
          </w:tcPr>
          <w:p>
            <w:pPr>
              <w:pStyle w:val="TableNumber"/>
            </w:pPr>
            <w:r>
              <w:t>+0.02</w:t>
            </w:r>
          </w:p>
        </w:tc>
        <w:tc>
          <w:tcPr>
            <w:tcW w:w="1900" w:type="dxa"/>
            <w:vAlign w:val="center"/>
          </w:tcPr>
          <w:p>
            <w:pPr>
              <w:pStyle w:val="TableText"/>
            </w:pPr>
            <w:r>
              <w:t>第 2</w:t>
            </w:r>
          </w:p>
        </w:tc>
        <w:tc>
          <w:tcPr>
            <w:tcW w:w="2360" w:type="dxa"/>
            <w:vAlign w:val="center"/>
          </w:tcPr>
          <w:p>
            <w:pPr>
              <w:pStyle w:val="TableText"/>
            </w:pPr>
            <w:r>
              <w:t>不持有</w:t>
            </w:r>
          </w:p>
        </w:tc>
      </w:tr>
      <w:tr>
        <w:trPr>
          <w:cantSplit/>
        </w:trPr>
        <w:tc>
          <w:tcPr>
            <w:tcW w:w="1500" w:type="dxa"/>
            <w:vAlign w:val="center"/>
          </w:tcPr>
          <w:p>
            <w:pPr>
              <w:pStyle w:val="TableText"/>
            </w:pPr>
            <w:r>
              <w:t>C</w:t>
            </w:r>
          </w:p>
        </w:tc>
        <w:tc>
          <w:tcPr>
            <w:tcW w:w="1800" w:type="dxa"/>
            <w:vAlign w:val="center"/>
          </w:tcPr>
          <w:p>
            <w:pPr>
              <w:pStyle w:val="TableNumber"/>
            </w:pPr>
            <w:r>
              <w:t>+0.03</w:t>
            </w:r>
          </w:p>
        </w:tc>
        <w:tc>
          <w:tcPr>
            <w:tcW w:w="1800" w:type="dxa"/>
            <w:vAlign w:val="center"/>
          </w:tcPr>
          <w:p>
            <w:pPr>
              <w:pStyle w:val="TableNumber"/>
            </w:pPr>
            <w:r>
              <w:t>+0.03</w:t>
            </w:r>
          </w:p>
        </w:tc>
        <w:tc>
          <w:tcPr>
            <w:tcW w:w="1900" w:type="dxa"/>
            <w:vAlign w:val="center"/>
          </w:tcPr>
          <w:p>
            <w:pPr>
              <w:pStyle w:val="TableText"/>
            </w:pPr>
            <w:r>
              <w:t>第 3</w:t>
            </w:r>
          </w:p>
        </w:tc>
        <w:tc>
          <w:tcPr>
            <w:tcW w:w="2360" w:type="dxa"/>
            <w:vAlign w:val="center"/>
          </w:tcPr>
          <w:p>
            <w:pPr>
              <w:pStyle w:val="TableText"/>
            </w:pPr>
            <w:r>
              <w:t>不持有</w:t>
            </w:r>
          </w:p>
        </w:tc>
      </w:tr>
      <w:tr>
        <w:trPr>
          <w:cantSplit/>
        </w:trPr>
        <w:tc>
          <w:tcPr>
            <w:tcW w:w="1500" w:type="dxa"/>
            <w:vAlign w:val="center"/>
          </w:tcPr>
          <w:p>
            <w:pPr>
              <w:pStyle w:val="TableText"/>
            </w:pPr>
            <w:r>
              <w:t>D</w:t>
            </w:r>
          </w:p>
        </w:tc>
        <w:tc>
          <w:tcPr>
            <w:tcW w:w="1800" w:type="dxa"/>
            <w:vAlign w:val="center"/>
          </w:tcPr>
          <w:p>
            <w:pPr>
              <w:pStyle w:val="TableNumber"/>
            </w:pPr>
            <w:r>
              <w:t>−0.02</w:t>
            </w:r>
          </w:p>
        </w:tc>
        <w:tc>
          <w:tcPr>
            <w:tcW w:w="1800" w:type="dxa"/>
            <w:vAlign w:val="center"/>
          </w:tcPr>
          <w:p>
            <w:pPr>
              <w:pStyle w:val="TableNumber"/>
            </w:pPr>
            <w:r>
              <w:t>−0.03</w:t>
            </w:r>
          </w:p>
        </w:tc>
        <w:tc>
          <w:tcPr>
            <w:tcW w:w="1900" w:type="dxa"/>
            <w:vAlign w:val="center"/>
          </w:tcPr>
          <w:p>
            <w:pPr>
              <w:pStyle w:val="TableText"/>
            </w:pPr>
            <w:r>
              <w:t>第 4</w:t>
            </w:r>
          </w:p>
        </w:tc>
        <w:tc>
          <w:tcPr>
            <w:tcW w:w="2360" w:type="dxa"/>
            <w:vAlign w:val="center"/>
          </w:tcPr>
          <w:p>
            <w:pPr>
              <w:pStyle w:val="TableText"/>
            </w:pPr>
            <w:r>
              <w:t>不持有</w:t>
            </w:r>
          </w:p>
        </w:tc>
      </w:tr>
      <w:tr>
        <w:trPr>
          <w:cantSplit/>
        </w:trPr>
        <w:tc>
          <w:tcPr>
            <w:tcW w:w="1500" w:type="dxa"/>
            <w:vAlign w:val="center"/>
          </w:tcPr>
          <w:p>
            <w:pPr>
              <w:pStyle w:val="TableText"/>
            </w:pPr>
            <w:r>
              <w:t>E</w:t>
            </w:r>
          </w:p>
        </w:tc>
        <w:tc>
          <w:tcPr>
            <w:tcW w:w="1800" w:type="dxa"/>
            <w:vAlign w:val="center"/>
          </w:tcPr>
          <w:p>
            <w:pPr>
              <w:pStyle w:val="TableNumber"/>
            </w:pPr>
            <w:r>
              <w:t>−0.04</w:t>
            </w:r>
          </w:p>
        </w:tc>
        <w:tc>
          <w:tcPr>
            <w:tcW w:w="1800" w:type="dxa"/>
            <w:vAlign w:val="center"/>
          </w:tcPr>
          <w:p>
            <w:pPr>
              <w:pStyle w:val="TableNumber"/>
            </w:pPr>
            <w:r>
              <w:t>−0.01</w:t>
            </w:r>
          </w:p>
        </w:tc>
        <w:tc>
          <w:tcPr>
            <w:tcW w:w="1900" w:type="dxa"/>
            <w:vAlign w:val="center"/>
          </w:tcPr>
          <w:p>
            <w:pPr>
              <w:pStyle w:val="TableText"/>
            </w:pPr>
            <w:r>
              <w:t>最弱</w:t>
            </w:r>
          </w:p>
        </w:tc>
        <w:tc>
          <w:tcPr>
            <w:tcW w:w="2360" w:type="dxa"/>
            <w:vAlign w:val="center"/>
          </w:tcPr>
          <w:p>
            <w:pPr>
              <w:pStyle w:val="TableText"/>
            </w:pPr>
            <w:r>
              <w:t>Short</w:t>
            </w:r>
          </w:p>
        </w:tc>
      </w:tr>
    </w:tbl>
    <w:p>
      <w:pPr>
        <w:pStyle w:val="31"/>
      </w:pPr>
      <w:r>
        <w:t>5.5 Gross long/short spread／強股減弱股</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把模型最看好的那一桶實際 alpha 平均，減去最不看好的那一桶實際 alpha 平均。正數表示模型排序在這一天成功拉開強弱。</w:t>
            </w:r>
          </w:p>
        </w:tc>
      </w:tr>
      <w:tr>
        <w:trPr>
          <w:cantSplit/>
        </w:trPr>
        <w:tc>
          <w:tcPr>
            <w:tcW w:w="1900" w:type="dxa"/>
            <w:vAlign w:val="center"/>
          </w:tcPr>
          <w:p>
            <w:pPr>
              <w:pStyle w:val="TableText"/>
            </w:pPr>
            <w:r>
              <w:t>股票情境</w:t>
            </w:r>
          </w:p>
        </w:tc>
        <w:tc>
          <w:tcPr>
            <w:tcW w:w="7460" w:type="dxa"/>
            <w:vAlign w:val="center"/>
          </w:tcPr>
          <w:p>
            <w:pPr>
              <w:pStyle w:val="TableText"/>
            </w:pPr>
            <w:r>
              <w:t>上表 top A 實際 y=+0.06，bottom E=−0.01，所以 gross spread=0.06−(−0.01)=0.07。</w:t>
            </w:r>
          </w:p>
        </w:tc>
      </w:tr>
      <w:tr>
        <w:trPr>
          <w:cantSplit/>
        </w:trPr>
        <w:tc>
          <w:tcPr>
            <w:tcW w:w="1900" w:type="dxa"/>
            <w:vAlign w:val="center"/>
          </w:tcPr>
          <w:p>
            <w:pPr>
              <w:pStyle w:val="TableText"/>
            </w:pPr>
            <w:r>
              <w:t>實際計算</w:t>
            </w:r>
          </w:p>
        </w:tc>
        <w:tc>
          <w:tcPr>
            <w:tcW w:w="7460" w:type="dxa"/>
            <w:vAlign w:val="center"/>
          </w:tcPr>
          <w:p>
            <w:pPr>
              <w:pStyle w:val="TableText"/>
            </w:pPr>
            <w:r>
              <w:t>gross_d=mean(y of long bucket)−mean(y of short bucket)。程式的 gross 使用完整 top-minus-bottom spread；雖然 turnover 權重的 long 與 short 各為 0.5，gross 並不是半幅 spread。</w:t>
            </w:r>
          </w:p>
        </w:tc>
      </w:tr>
      <w:tr>
        <w:trPr>
          <w:cantSplit/>
        </w:trPr>
        <w:tc>
          <w:tcPr>
            <w:tcW w:w="1900" w:type="dxa"/>
            <w:vAlign w:val="center"/>
          </w:tcPr>
          <w:p>
            <w:pPr>
              <w:pStyle w:val="TableText"/>
            </w:pPr>
            <w:r>
              <w:t>怎麼判讀</w:t>
            </w:r>
          </w:p>
        </w:tc>
        <w:tc>
          <w:tcPr>
            <w:tcW w:w="7460" w:type="dxa"/>
            <w:vAlign w:val="center"/>
          </w:tcPr>
          <w:p>
            <w:pPr>
              <w:pStyle w:val="TableText"/>
            </w:pPr>
            <w:r>
              <w:t>正數較好；它是日期級相對 alpha spread，在扣成本前。</w:t>
            </w:r>
          </w:p>
        </w:tc>
      </w:tr>
      <w:tr>
        <w:trPr>
          <w:cantSplit/>
        </w:trPr>
        <w:tc>
          <w:tcPr>
            <w:tcW w:w="1900" w:type="dxa"/>
            <w:vAlign w:val="center"/>
          </w:tcPr>
          <w:p>
            <w:pPr>
              <w:pStyle w:val="TableText"/>
            </w:pPr>
            <w:r>
              <w:t>本次 run</w:t>
            </w:r>
          </w:p>
        </w:tc>
        <w:tc>
          <w:tcPr>
            <w:tcW w:w="7460" w:type="dxa"/>
            <w:vAlign w:val="center"/>
          </w:tcPr>
          <w:p>
            <w:pPr>
              <w:pStyle w:val="TableText"/>
            </w:pPr>
            <w:r>
              <w:t>本報告不單獨輸出 gross mean；輸出的 net mean 已扣除 turnover×10 bps，可由逐日資料才精確還原 gross。</w:t>
            </w:r>
          </w:p>
        </w:tc>
      </w:tr>
      <w:tr>
        <w:trPr>
          <w:cantSplit/>
        </w:trPr>
        <w:tc>
          <w:tcPr>
            <w:tcW w:w="1900" w:type="dxa"/>
            <w:vAlign w:val="center"/>
          </w:tcPr>
          <w:p>
            <w:pPr>
              <w:pStyle w:val="TableText"/>
            </w:pPr>
            <w:r>
              <w:t>不能這樣解讀</w:t>
            </w:r>
          </w:p>
        </w:tc>
        <w:tc>
          <w:tcPr>
            <w:tcW w:w="7460" w:type="dxa"/>
            <w:vAlign w:val="center"/>
          </w:tcPr>
          <w:p>
            <w:pPr>
              <w:pStyle w:val="TableText"/>
            </w:pPr>
            <w:r>
              <w:t>這是簡化診斷，不是可以直接下單的真實投組損益；完整與半幅權重慣例不可混用，否則數字近似差一倍。</w:t>
            </w:r>
          </w:p>
        </w:tc>
      </w:tr>
      <w:tr>
        <w:trPr>
          <w:cantSplit/>
        </w:trPr>
        <w:tc>
          <w:tcPr>
            <w:tcW w:w="1900" w:type="dxa"/>
            <w:vAlign w:val="center"/>
          </w:tcPr>
          <w:p>
            <w:pPr>
              <w:pStyle w:val="TableText"/>
            </w:pPr>
            <w:r>
              <w:t>應搭配閱讀</w:t>
            </w:r>
          </w:p>
        </w:tc>
        <w:tc>
          <w:tcPr>
            <w:tcW w:w="7460" w:type="dxa"/>
            <w:vAlign w:val="center"/>
          </w:tcPr>
          <w:p>
            <w:pPr>
              <w:pStyle w:val="TableText"/>
            </w:pPr>
            <w:r>
              <w:t>turnover、cost 與 net log return。</w:t>
            </w:r>
          </w:p>
        </w:tc>
      </w:tr>
    </w:tbl>
    <w:p>
      <w:pPr>
        <w:pStyle w:val="31"/>
      </w:pPr>
      <w:r>
        <w:t>5.6 Turnover／每天換了多少部位</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比較今天與上一個評估日的 long/short 權重，所有股票權重變動的絕對值加總。它反映策略為了追隨新排序，要換手多少。</w:t>
            </w:r>
          </w:p>
        </w:tc>
      </w:tr>
      <w:tr>
        <w:trPr>
          <w:cantSplit/>
        </w:trPr>
        <w:tc>
          <w:tcPr>
            <w:tcW w:w="1900" w:type="dxa"/>
            <w:vAlign w:val="center"/>
          </w:tcPr>
          <w:p>
            <w:pPr>
              <w:pStyle w:val="TableText"/>
            </w:pPr>
            <w:r>
              <w:t>股票情境</w:t>
            </w:r>
          </w:p>
        </w:tc>
        <w:tc>
          <w:tcPr>
            <w:tcW w:w="7460" w:type="dxa"/>
            <w:vAlign w:val="center"/>
          </w:tcPr>
          <w:p>
            <w:pPr>
              <w:pStyle w:val="TableText"/>
            </w:pPr>
            <w:r>
              <w:t>若 long+short 絕對曝險合計視為 1，本次 turnover=0.42 代表平均一個評估日的權重絕對變動總和為 0.42。專案按每單位 10 bps 扣成本，所以 0.42 對應 4.2 bps 扣減。完全換成不重疊標的時可到 2.0。</w:t>
            </w:r>
          </w:p>
        </w:tc>
      </w:tr>
      <w:tr>
        <w:trPr>
          <w:cantSplit/>
        </w:trPr>
        <w:tc>
          <w:tcPr>
            <w:tcW w:w="1900" w:type="dxa"/>
            <w:vAlign w:val="center"/>
          </w:tcPr>
          <w:p>
            <w:pPr>
              <w:pStyle w:val="TableText"/>
            </w:pPr>
            <w:r>
              <w:t>實際計算</w:t>
            </w:r>
          </w:p>
        </w:tc>
        <w:tc>
          <w:tcPr>
            <w:tcW w:w="7460" w:type="dxa"/>
            <w:vAlign w:val="center"/>
          </w:tcPr>
          <w:p>
            <w:pPr>
              <w:pStyle w:val="TableText"/>
            </w:pPr>
            <w:r>
              <w:t>turnover_d=Σ_symbol|w_d(symbol)−w_{d−1}(symbol)|，取新舊持倉聯集；第一個日期以前所有權重視為 0。每檔 short=−0.5/bucket，每檔 long=+0.5/bucket。turnover_mean 對日期平均。</w:t>
            </w:r>
          </w:p>
        </w:tc>
      </w:tr>
      <w:tr>
        <w:trPr>
          <w:cantSplit/>
        </w:trPr>
        <w:tc>
          <w:tcPr>
            <w:tcW w:w="1900" w:type="dxa"/>
            <w:vAlign w:val="center"/>
          </w:tcPr>
          <w:p>
            <w:pPr>
              <w:pStyle w:val="TableText"/>
            </w:pPr>
            <w:r>
              <w:t>怎麼判讀</w:t>
            </w:r>
          </w:p>
        </w:tc>
        <w:tc>
          <w:tcPr>
            <w:tcW w:w="7460" w:type="dxa"/>
            <w:vAlign w:val="center"/>
          </w:tcPr>
          <w:p>
            <w:pPr>
              <w:pStyle w:val="TableText"/>
            </w:pPr>
            <w:r>
              <w:t>成本相同時越低通常越好，但不能為了低 turnover 放棄有效訊號；要看扣成本後結果。</w:t>
            </w:r>
          </w:p>
        </w:tc>
      </w:tr>
      <w:tr>
        <w:trPr>
          <w:cantSplit/>
        </w:trPr>
        <w:tc>
          <w:tcPr>
            <w:tcW w:w="1900" w:type="dxa"/>
            <w:vAlign w:val="center"/>
          </w:tcPr>
          <w:p>
            <w:pPr>
              <w:pStyle w:val="TableText"/>
            </w:pPr>
            <w:r>
              <w:t>本次 run</w:t>
            </w:r>
          </w:p>
        </w:tc>
        <w:tc>
          <w:tcPr>
            <w:tcW w:w="7460" w:type="dxa"/>
            <w:vAlign w:val="center"/>
          </w:tcPr>
          <w:p>
            <w:pPr>
              <w:pStyle w:val="TableText"/>
            </w:pPr>
            <w:r>
              <w:t>1–14 日 turnover mean 範圍 0.402–0.466；第 1 日 0.466，第 14 日 0.403。</w:t>
            </w:r>
          </w:p>
        </w:tc>
      </w:tr>
      <w:tr>
        <w:trPr>
          <w:cantSplit/>
        </w:trPr>
        <w:tc>
          <w:tcPr>
            <w:tcW w:w="1900" w:type="dxa"/>
            <w:vAlign w:val="center"/>
          </w:tcPr>
          <w:p>
            <w:pPr>
              <w:pStyle w:val="TableText"/>
            </w:pPr>
            <w:r>
              <w:t>不能這樣解讀</w:t>
            </w:r>
          </w:p>
        </w:tc>
        <w:tc>
          <w:tcPr>
            <w:tcW w:w="7460" w:type="dxa"/>
            <w:vAlign w:val="center"/>
          </w:tcPr>
          <w:p>
            <w:pPr>
              <w:pStyle w:val="TableText"/>
            </w:pPr>
            <w:r>
              <w:t>turnover=0.42 不是報酬 42%，也不一定等於券商口徑的『成交金額／資產淨值』；這裡以程式權重差定義。</w:t>
            </w:r>
          </w:p>
        </w:tc>
      </w:tr>
      <w:tr>
        <w:trPr>
          <w:cantSplit/>
        </w:trPr>
        <w:tc>
          <w:tcPr>
            <w:tcW w:w="1900" w:type="dxa"/>
            <w:vAlign w:val="center"/>
          </w:tcPr>
          <w:p>
            <w:pPr>
              <w:pStyle w:val="TableText"/>
            </w:pPr>
            <w:r>
              <w:t>應搭配閱讀</w:t>
            </w:r>
          </w:p>
        </w:tc>
        <w:tc>
          <w:tcPr>
            <w:tcW w:w="7460" w:type="dxa"/>
            <w:vAlign w:val="center"/>
          </w:tcPr>
          <w:p>
            <w:pPr>
              <w:pStyle w:val="TableText"/>
            </w:pPr>
            <w:r>
              <w:t>transaction cost 與 net mean log return。</w:t>
            </w:r>
          </w:p>
        </w:tc>
      </w:tr>
    </w:tbl>
    <w:p>
      <w:pPr>
        <w:pStyle w:val="31"/>
      </w:pPr>
      <w:r>
        <w:t>5.7 Net long/short mean log return／扣簡化成本後的平均 spread</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模型每天挑出的強股相對弱股，扣掉因換倉產生的固定成本後，平均還剩多少相對 log return。</w:t>
            </w:r>
          </w:p>
        </w:tc>
      </w:tr>
      <w:tr>
        <w:trPr>
          <w:cantSplit/>
        </w:trPr>
        <w:tc>
          <w:tcPr>
            <w:tcW w:w="1900" w:type="dxa"/>
            <w:vAlign w:val="center"/>
          </w:tcPr>
          <w:p>
            <w:pPr>
              <w:pStyle w:val="TableText"/>
            </w:pPr>
            <w:r>
              <w:t>股票情境</w:t>
            </w:r>
          </w:p>
        </w:tc>
        <w:tc>
          <w:tcPr>
            <w:tcW w:w="7460" w:type="dxa"/>
            <w:vAlign w:val="center"/>
          </w:tcPr>
          <w:p>
            <w:pPr>
              <w:pStyle w:val="TableText"/>
            </w:pPr>
            <w:r>
              <w:t>gross spread=0.020、turnover=1.2、成本率=10 bps，成本=1.2×0.001=0.0012；net=0.020−0.0012=0.0188。換成 gross-ratio 約 exp(0.0188)−1=1.90%。</w:t>
            </w:r>
          </w:p>
        </w:tc>
      </w:tr>
      <w:tr>
        <w:trPr>
          <w:cantSplit/>
        </w:trPr>
        <w:tc>
          <w:tcPr>
            <w:tcW w:w="1900" w:type="dxa"/>
            <w:vAlign w:val="center"/>
          </w:tcPr>
          <w:p>
            <w:pPr>
              <w:pStyle w:val="TableText"/>
            </w:pPr>
            <w:r>
              <w:t>實際計算</w:t>
            </w:r>
          </w:p>
        </w:tc>
        <w:tc>
          <w:tcPr>
            <w:tcW w:w="7460" w:type="dxa"/>
            <w:vAlign w:val="center"/>
          </w:tcPr>
          <w:p>
            <w:pPr>
              <w:pStyle w:val="TableText"/>
            </w:pPr>
            <w:r>
              <w:t>cost_d=turnover_d×10/10000；net_d=mean(long y)−mean(short y)−cost_d；輸出 net_long_short_mean_log_return=mean_d(net_d)。</w:t>
            </w:r>
          </w:p>
        </w:tc>
      </w:tr>
      <w:tr>
        <w:trPr>
          <w:cantSplit/>
        </w:trPr>
        <w:tc>
          <w:tcPr>
            <w:tcW w:w="1900" w:type="dxa"/>
            <w:vAlign w:val="center"/>
          </w:tcPr>
          <w:p>
            <w:pPr>
              <w:pStyle w:val="TableText"/>
            </w:pPr>
            <w:r>
              <w:t>怎麼判讀</w:t>
            </w:r>
          </w:p>
        </w:tc>
        <w:tc>
          <w:tcPr>
            <w:tcW w:w="7460" w:type="dxa"/>
            <w:vAlign w:val="center"/>
          </w:tcPr>
          <w:p>
            <w:pPr>
              <w:pStyle w:val="TableText"/>
            </w:pPr>
            <w:r>
              <w:t>正數較好，代表在這個簡化成本假設下 top-minus-bottom spread 平均仍為正；仍須檢查波動、回撤與重疊。</w:t>
            </w:r>
          </w:p>
        </w:tc>
      </w:tr>
      <w:tr>
        <w:trPr>
          <w:cantSplit/>
        </w:trPr>
        <w:tc>
          <w:tcPr>
            <w:tcW w:w="1900" w:type="dxa"/>
            <w:vAlign w:val="center"/>
          </w:tcPr>
          <w:p>
            <w:pPr>
              <w:pStyle w:val="TableText"/>
            </w:pPr>
            <w:r>
              <w:t>本次 run</w:t>
            </w:r>
          </w:p>
        </w:tc>
        <w:tc>
          <w:tcPr>
            <w:tcW w:w="7460" w:type="dxa"/>
            <w:vAlign w:val="center"/>
          </w:tcPr>
          <w:p>
            <w:pPr>
              <w:pStyle w:val="TableText"/>
            </w:pPr>
            <w:r>
              <w:t>14 個 horizon 全為正；第 1 日 +0.33%，第 7 日 +1.72%，第 14 日 +2.74%。</w:t>
            </w:r>
          </w:p>
        </w:tc>
      </w:tr>
      <w:tr>
        <w:trPr>
          <w:cantSplit/>
        </w:trPr>
        <w:tc>
          <w:tcPr>
            <w:tcW w:w="1900" w:type="dxa"/>
            <w:vAlign w:val="center"/>
          </w:tcPr>
          <w:p>
            <w:pPr>
              <w:pStyle w:val="TableText"/>
            </w:pPr>
            <w:r>
              <w:t>不能這樣解讀</w:t>
            </w:r>
          </w:p>
        </w:tc>
        <w:tc>
          <w:tcPr>
            <w:tcW w:w="7460" w:type="dxa"/>
            <w:vAlign w:val="center"/>
          </w:tcPr>
          <w:p>
            <w:pPr>
              <w:pStyle w:val="TableText"/>
            </w:pPr>
            <w:r>
              <w:t>它不是單純做多股票的報酬，也不是未來保證；10 bps 尚未包含市場衝擊、滑價、借券、稅、容量與漲跌停。相鄰 h 日結果還可能重疊。</w:t>
            </w:r>
          </w:p>
        </w:tc>
      </w:tr>
      <w:tr>
        <w:trPr>
          <w:cantSplit/>
        </w:trPr>
        <w:tc>
          <w:tcPr>
            <w:tcW w:w="1900" w:type="dxa"/>
            <w:vAlign w:val="center"/>
          </w:tcPr>
          <w:p>
            <w:pPr>
              <w:pStyle w:val="TableText"/>
            </w:pPr>
            <w:r>
              <w:t>應搭配閱讀</w:t>
            </w:r>
          </w:p>
        </w:tc>
        <w:tc>
          <w:tcPr>
            <w:tcW w:w="7460" w:type="dxa"/>
            <w:vAlign w:val="center"/>
          </w:tcPr>
          <w:p>
            <w:pPr>
              <w:pStyle w:val="TableText"/>
            </w:pPr>
            <w:r>
              <w:t>Sharpe、MDD、turnover 與完整執行成本。</w:t>
            </w:r>
          </w:p>
        </w:tc>
      </w:tr>
    </w:tbl>
    <w:p>
      <w:pPr>
        <w:pStyle w:val="31"/>
      </w:pPr>
      <w:r>
        <w:t>5.8 Wealth／把每期 net log return 串成資金指數</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從 1 開始，把每個評估日的 net log return 累加後取指數，形成一條診斷用資金曲線。</w:t>
            </w:r>
          </w:p>
        </w:tc>
      </w:tr>
      <w:tr>
        <w:trPr>
          <w:cantSplit/>
        </w:trPr>
        <w:tc>
          <w:tcPr>
            <w:tcW w:w="1900" w:type="dxa"/>
            <w:vAlign w:val="center"/>
          </w:tcPr>
          <w:p>
            <w:pPr>
              <w:pStyle w:val="TableText"/>
            </w:pPr>
            <w:r>
              <w:t>股票情境</w:t>
            </w:r>
          </w:p>
        </w:tc>
        <w:tc>
          <w:tcPr>
            <w:tcW w:w="7460" w:type="dxa"/>
            <w:vAlign w:val="center"/>
          </w:tcPr>
          <w:p>
            <w:pPr>
              <w:pStyle w:val="TableText"/>
            </w:pPr>
            <w:r>
              <w:t>三期 net log returns=[+0.02,−0.01,+0.03]，累積為 0.04，期末 wealth=exp(0.04)=1.0408。中間 wealth 依序約 1.0202、1.0101、1.0408。</w:t>
            </w:r>
          </w:p>
        </w:tc>
      </w:tr>
      <w:tr>
        <w:trPr>
          <w:cantSplit/>
        </w:trPr>
        <w:tc>
          <w:tcPr>
            <w:tcW w:w="1900" w:type="dxa"/>
            <w:vAlign w:val="center"/>
          </w:tcPr>
          <w:p>
            <w:pPr>
              <w:pStyle w:val="TableText"/>
            </w:pPr>
            <w:r>
              <w:t>實際計算</w:t>
            </w:r>
          </w:p>
        </w:tc>
        <w:tc>
          <w:tcPr>
            <w:tcW w:w="7460" w:type="dxa"/>
            <w:vAlign w:val="center"/>
          </w:tcPr>
          <w:p>
            <w:pPr>
              <w:pStyle w:val="TableText"/>
            </w:pPr>
            <w:r>
              <w:t>wealth_d=exp(Σ_{k≤d} net_k)。因 net 是 log return，不能用 cumprod(1+net) 當完全相同的算法。</w:t>
            </w:r>
          </w:p>
        </w:tc>
      </w:tr>
      <w:tr>
        <w:trPr>
          <w:cantSplit/>
        </w:trPr>
        <w:tc>
          <w:tcPr>
            <w:tcW w:w="1900" w:type="dxa"/>
            <w:vAlign w:val="center"/>
          </w:tcPr>
          <w:p>
            <w:pPr>
              <w:pStyle w:val="TableText"/>
            </w:pPr>
            <w:r>
              <w:t>怎麼判讀</w:t>
            </w:r>
          </w:p>
        </w:tc>
        <w:tc>
          <w:tcPr>
            <w:tcW w:w="7460" w:type="dxa"/>
            <w:vAlign w:val="center"/>
          </w:tcPr>
          <w:p>
            <w:pPr>
              <w:pStyle w:val="TableText"/>
            </w:pPr>
            <w:r>
              <w:t>越往上表示累積 spread 較好；曲線形狀用來計算回撤。</w:t>
            </w:r>
          </w:p>
        </w:tc>
      </w:tr>
      <w:tr>
        <w:trPr>
          <w:cantSplit/>
        </w:trPr>
        <w:tc>
          <w:tcPr>
            <w:tcW w:w="1900" w:type="dxa"/>
            <w:vAlign w:val="center"/>
          </w:tcPr>
          <w:p>
            <w:pPr>
              <w:pStyle w:val="TableText"/>
            </w:pPr>
            <w:r>
              <w:t>本次 run</w:t>
            </w:r>
          </w:p>
        </w:tc>
        <w:tc>
          <w:tcPr>
            <w:tcW w:w="7460" w:type="dxa"/>
            <w:vAlign w:val="center"/>
          </w:tcPr>
          <w:p>
            <w:pPr>
              <w:pStyle w:val="TableText"/>
            </w:pPr>
            <w:r>
              <w:t>artifact 不直接列出期末 wealth；程式以逐日 net array 建立 wealth，再計算最大回撤。</w:t>
            </w:r>
          </w:p>
        </w:tc>
      </w:tr>
      <w:tr>
        <w:trPr>
          <w:cantSplit/>
        </w:trPr>
        <w:tc>
          <w:tcPr>
            <w:tcW w:w="1900" w:type="dxa"/>
            <w:vAlign w:val="center"/>
          </w:tcPr>
          <w:p>
            <w:pPr>
              <w:pStyle w:val="TableText"/>
            </w:pPr>
            <w:r>
              <w:t>不能這樣解讀</w:t>
            </w:r>
          </w:p>
        </w:tc>
        <w:tc>
          <w:tcPr>
            <w:tcW w:w="7460" w:type="dxa"/>
            <w:vAlign w:val="center"/>
          </w:tcPr>
          <w:p>
            <w:pPr>
              <w:pStyle w:val="TableText"/>
            </w:pPr>
            <w:r>
              <w:t>這是簡化 long/short 診斷資金指數，不等於實際帳戶淨值，也未處理所有執行限制。</w:t>
            </w:r>
          </w:p>
        </w:tc>
      </w:tr>
      <w:tr>
        <w:trPr>
          <w:cantSplit/>
        </w:trPr>
        <w:tc>
          <w:tcPr>
            <w:tcW w:w="1900" w:type="dxa"/>
            <w:vAlign w:val="center"/>
          </w:tcPr>
          <w:p>
            <w:pPr>
              <w:pStyle w:val="TableText"/>
            </w:pPr>
            <w:r>
              <w:t>應搭配閱讀</w:t>
            </w:r>
          </w:p>
        </w:tc>
        <w:tc>
          <w:tcPr>
            <w:tcW w:w="7460" w:type="dxa"/>
            <w:vAlign w:val="center"/>
          </w:tcPr>
          <w:p>
            <w:pPr>
              <w:pStyle w:val="TableText"/>
            </w:pPr>
            <w:r>
              <w:t>net log return 與 MDD。</w:t>
            </w:r>
          </w:p>
        </w:tc>
      </w:tr>
    </w:tbl>
    <w:p>
      <w:pPr>
        <w:pStyle w:val="31"/>
      </w:pPr>
      <w:r>
        <w:t>5.9 Maximum drawdown（MDD）／從高點最慘跌多少</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沿著 wealth 曲線，找出任何歷史高點之後跌到谷底的最深幅度。這回答『如果剛好在此前高點投入，最痛會看到多少回撤？』</w:t>
            </w:r>
          </w:p>
        </w:tc>
      </w:tr>
      <w:tr>
        <w:trPr>
          <w:cantSplit/>
        </w:trPr>
        <w:tc>
          <w:tcPr>
            <w:tcW w:w="1900" w:type="dxa"/>
            <w:vAlign w:val="center"/>
          </w:tcPr>
          <w:p>
            <w:pPr>
              <w:pStyle w:val="TableText"/>
            </w:pPr>
            <w:r>
              <w:t>股票情境</w:t>
            </w:r>
          </w:p>
        </w:tc>
        <w:tc>
          <w:tcPr>
            <w:tcW w:w="7460" w:type="dxa"/>
            <w:vAlign w:val="center"/>
          </w:tcPr>
          <w:p>
            <w:pPr>
              <w:pStyle w:val="TableText"/>
            </w:pPr>
            <w:r>
              <w:t>若資金曲線某高點標準化為 100，後來最低到 60，MDD=60/100−1=−40%。本次 14 日 MDD 約 −66.7%，用同樣直覺相當於 100 的高點曾跌到約 33.3。</w:t>
            </w:r>
          </w:p>
        </w:tc>
      </w:tr>
      <w:tr>
        <w:trPr>
          <w:cantSplit/>
        </w:trPr>
        <w:tc>
          <w:tcPr>
            <w:tcW w:w="1900" w:type="dxa"/>
            <w:vAlign w:val="center"/>
          </w:tcPr>
          <w:p>
            <w:pPr>
              <w:pStyle w:val="TableText"/>
            </w:pPr>
            <w:r>
              <w:t>實際計算</w:t>
            </w:r>
          </w:p>
        </w:tc>
        <w:tc>
          <w:tcPr>
            <w:tcW w:w="7460" w:type="dxa"/>
            <w:vAlign w:val="center"/>
          </w:tcPr>
          <w:p>
            <w:pPr>
              <w:pStyle w:val="TableText"/>
            </w:pPr>
            <w:r>
              <w:t>peak_d=max_{k≤d}(wealth_k)；drawdown_d=wealth_d/peak_d−1；MDD=min_d(drawdown_d)。</w:t>
            </w:r>
          </w:p>
        </w:tc>
      </w:tr>
      <w:tr>
        <w:trPr>
          <w:cantSplit/>
        </w:trPr>
        <w:tc>
          <w:tcPr>
            <w:tcW w:w="1900" w:type="dxa"/>
            <w:vAlign w:val="center"/>
          </w:tcPr>
          <w:p>
            <w:pPr>
              <w:pStyle w:val="TableText"/>
            </w:pPr>
            <w:r>
              <w:t>怎麼判讀</w:t>
            </w:r>
          </w:p>
        </w:tc>
        <w:tc>
          <w:tcPr>
            <w:tcW w:w="7460" w:type="dxa"/>
            <w:vAlign w:val="center"/>
          </w:tcPr>
          <w:p>
            <w:pPr>
              <w:pStyle w:val="TableText"/>
            </w:pPr>
            <w:r>
              <w:t>通常是 0 或負數，越接近 0 越好。−15% 比 −67% 易承受；必須與報酬與 Sharpe 一起看。</w:t>
            </w:r>
          </w:p>
        </w:tc>
      </w:tr>
      <w:tr>
        <w:trPr>
          <w:cantSplit/>
        </w:trPr>
        <w:tc>
          <w:tcPr>
            <w:tcW w:w="1900" w:type="dxa"/>
            <w:vAlign w:val="center"/>
          </w:tcPr>
          <w:p>
            <w:pPr>
              <w:pStyle w:val="TableText"/>
            </w:pPr>
            <w:r>
              <w:t>本次 run</w:t>
            </w:r>
          </w:p>
        </w:tc>
        <w:tc>
          <w:tcPr>
            <w:tcW w:w="7460" w:type="dxa"/>
            <w:vAlign w:val="center"/>
          </w:tcPr>
          <w:p>
            <w:pPr>
              <w:pStyle w:val="TableText"/>
            </w:pPr>
            <w:r>
              <w:t>第 1 日 -15.44%，第 7 日 -40.57%，第 14 日 -66.71%；模型的 MDD 跨模型僅第 4–7 名。</w:t>
            </w:r>
          </w:p>
        </w:tc>
      </w:tr>
      <w:tr>
        <w:trPr>
          <w:cantSplit/>
        </w:trPr>
        <w:tc>
          <w:tcPr>
            <w:tcW w:w="1900" w:type="dxa"/>
            <w:vAlign w:val="center"/>
          </w:tcPr>
          <w:p>
            <w:pPr>
              <w:pStyle w:val="TableText"/>
            </w:pPr>
            <w:r>
              <w:t>不能這樣解讀</w:t>
            </w:r>
          </w:p>
        </w:tc>
        <w:tc>
          <w:tcPr>
            <w:tcW w:w="7460" w:type="dxa"/>
            <w:vAlign w:val="center"/>
          </w:tcPr>
          <w:p>
            <w:pPr>
              <w:pStyle w:val="TableText"/>
            </w:pPr>
            <w:r>
              <w:t>JSON 已存負號，不要再額外加負號。Sharpe 為正也不能消除巨大回撤；MDD 也不說明回撤持續多久。</w:t>
            </w:r>
          </w:p>
        </w:tc>
      </w:tr>
      <w:tr>
        <w:trPr>
          <w:cantSplit/>
        </w:trPr>
        <w:tc>
          <w:tcPr>
            <w:tcW w:w="1900" w:type="dxa"/>
            <w:vAlign w:val="center"/>
          </w:tcPr>
          <w:p>
            <w:pPr>
              <w:pStyle w:val="TableText"/>
            </w:pPr>
            <w:r>
              <w:t>應搭配閱讀</w:t>
            </w:r>
          </w:p>
        </w:tc>
        <w:tc>
          <w:tcPr>
            <w:tcW w:w="7460" w:type="dxa"/>
            <w:vAlign w:val="center"/>
          </w:tcPr>
          <w:p>
            <w:pPr>
              <w:pStyle w:val="TableText"/>
            </w:pPr>
            <w:r>
              <w:t>wealth 曲線、Sharpe、回撤期間與風險限制。</w:t>
            </w:r>
          </w:p>
        </w:tc>
      </w:tr>
    </w:tbl>
    <w:p>
      <w:pPr>
        <w:pStyle w:val="31"/>
      </w:pPr>
      <w:r>
        <w:t>5.10 Sharpe／平均 net return 相對波動有多高</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把平均成本後 spread 除以它每期忽高忽低的程度，再按 horizon 年化。高代表每單位波動換到較多平均 return。</w:t>
            </w:r>
          </w:p>
        </w:tc>
      </w:tr>
      <w:tr>
        <w:trPr>
          <w:cantSplit/>
        </w:trPr>
        <w:tc>
          <w:tcPr>
            <w:tcW w:w="1900" w:type="dxa"/>
            <w:vAlign w:val="center"/>
          </w:tcPr>
          <w:p>
            <w:pPr>
              <w:pStyle w:val="TableText"/>
            </w:pPr>
            <w:r>
              <w:t>股票情境</w:t>
            </w:r>
          </w:p>
        </w:tc>
        <w:tc>
          <w:tcPr>
            <w:tcW w:w="7460" w:type="dxa"/>
            <w:vAlign w:val="center"/>
          </w:tcPr>
          <w:p>
            <w:pPr>
              <w:pStyle w:val="TableText"/>
            </w:pPr>
            <w:r>
              <w:t>若平均 net=0.01、sample std=0.02、h=5，Sharpe=0.01/0.02×sqrt(252/5)=3.55。這只是公式示範；若 return 重疊或成本低估，數字會過度樂觀。</w:t>
            </w:r>
          </w:p>
        </w:tc>
      </w:tr>
      <w:tr>
        <w:trPr>
          <w:cantSplit/>
        </w:trPr>
        <w:tc>
          <w:tcPr>
            <w:tcW w:w="1900" w:type="dxa"/>
            <w:vAlign w:val="center"/>
          </w:tcPr>
          <w:p>
            <w:pPr>
              <w:pStyle w:val="TableText"/>
            </w:pPr>
            <w:r>
              <w:t>實際計算</w:t>
            </w:r>
          </w:p>
        </w:tc>
        <w:tc>
          <w:tcPr>
            <w:tcW w:w="7460" w:type="dxa"/>
            <w:vAlign w:val="center"/>
          </w:tcPr>
          <w:p>
            <w:pPr>
              <w:pStyle w:val="TableText"/>
            </w:pPr>
            <w:r>
              <w:t>Sharpeₕ=mean(net_d)/sample_std(net_d)×sqrt(252/h)，std 使用 ddof=1；std=0 時回傳 0。此版本未扣無風險利率。</w:t>
            </w:r>
          </w:p>
        </w:tc>
      </w:tr>
      <w:tr>
        <w:trPr>
          <w:cantSplit/>
        </w:trPr>
        <w:tc>
          <w:tcPr>
            <w:tcW w:w="1900" w:type="dxa"/>
            <w:vAlign w:val="center"/>
          </w:tcPr>
          <w:p>
            <w:pPr>
              <w:pStyle w:val="TableText"/>
            </w:pPr>
            <w:r>
              <w:t>怎麼判讀</w:t>
            </w:r>
          </w:p>
        </w:tc>
        <w:tc>
          <w:tcPr>
            <w:tcW w:w="7460" w:type="dxa"/>
            <w:vAlign w:val="center"/>
          </w:tcPr>
          <w:p>
            <w:pPr>
              <w:pStyle w:val="TableText"/>
            </w:pPr>
            <w:r>
              <w:t>同一 protocol 下通常越高越好；但不能脫離 MDD、日期數、成本與序列相依比較。</w:t>
            </w:r>
          </w:p>
        </w:tc>
      </w:tr>
      <w:tr>
        <w:trPr>
          <w:cantSplit/>
        </w:trPr>
        <w:tc>
          <w:tcPr>
            <w:tcW w:w="1900" w:type="dxa"/>
            <w:vAlign w:val="center"/>
          </w:tcPr>
          <w:p>
            <w:pPr>
              <w:pStyle w:val="TableText"/>
            </w:pPr>
            <w:r>
              <w:t>本次 run</w:t>
            </w:r>
          </w:p>
        </w:tc>
        <w:tc>
          <w:tcPr>
            <w:tcW w:w="7460" w:type="dxa"/>
            <w:vAlign w:val="center"/>
          </w:tcPr>
          <w:p>
            <w:pPr>
              <w:pStyle w:val="TableText"/>
            </w:pPr>
            <w:r>
              <w:t>14 個 horizon 均為正，範圍 1.62–3.04；第 1 日 3.04，第 14 日 1.62。14 日中 10 個跨模型第 1。</w:t>
            </w:r>
          </w:p>
        </w:tc>
      </w:tr>
      <w:tr>
        <w:trPr>
          <w:cantSplit/>
        </w:trPr>
        <w:tc>
          <w:tcPr>
            <w:tcW w:w="1900" w:type="dxa"/>
            <w:vAlign w:val="center"/>
          </w:tcPr>
          <w:p>
            <w:pPr>
              <w:pStyle w:val="TableText"/>
            </w:pPr>
            <w:r>
              <w:t>不能這樣解讀</w:t>
            </w:r>
          </w:p>
        </w:tc>
        <w:tc>
          <w:tcPr>
            <w:tcW w:w="7460" w:type="dxa"/>
            <w:vAlign w:val="center"/>
          </w:tcPr>
          <w:p>
            <w:pPr>
              <w:pStyle w:val="TableText"/>
            </w:pPr>
            <w:r>
              <w:t>Sharpe 2 或 3 不等於可部署。相鄰 h 日 forward labels 可能重疊，sqrt(252/h) 未做 Newey–West／自相關修正，也未納入完整市場摩擦。</w:t>
            </w:r>
          </w:p>
        </w:tc>
      </w:tr>
      <w:tr>
        <w:trPr>
          <w:cantSplit/>
        </w:trPr>
        <w:tc>
          <w:tcPr>
            <w:tcW w:w="1900" w:type="dxa"/>
            <w:vAlign w:val="center"/>
          </w:tcPr>
          <w:p>
            <w:pPr>
              <w:pStyle w:val="TableText"/>
            </w:pPr>
            <w:r>
              <w:t>應搭配閱讀</w:t>
            </w:r>
          </w:p>
        </w:tc>
        <w:tc>
          <w:tcPr>
            <w:tcW w:w="7460" w:type="dxa"/>
            <w:vAlign w:val="center"/>
          </w:tcPr>
          <w:p>
            <w:pPr>
              <w:pStyle w:val="TableText"/>
            </w:pPr>
            <w:r>
              <w:t>MDD、net mean、turnover、evaluated_dates 與非重疊／自相關敏感度分析。</w:t>
            </w:r>
          </w:p>
        </w:tc>
      </w:tr>
    </w:tbl>
    <w:p>
      <w:pPr>
        <w:pStyle w:val="11"/>
      </w:pPr>
      <w:r>
        <w:t>6. 切片與穩定性：同一分數換市場、年份還成立嗎</w:t>
      </w:r>
    </w:p>
    <w:p>
      <w:pPr>
        <w:pStyle w:val="31"/>
      </w:pPr>
      <w:r>
        <w:t>6.1 Subgroup sample count 與切片指標</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把資料按 provider、市場、資產類型或年份拆開，重新問同一套預測問題。第一步先看每組有多少樣本，避免把小樣本偶然值當成穩定能力。</w:t>
            </w:r>
          </w:p>
        </w:tc>
      </w:tr>
      <w:tr>
        <w:trPr>
          <w:cantSplit/>
        </w:trPr>
        <w:tc>
          <w:tcPr>
            <w:tcW w:w="1900" w:type="dxa"/>
            <w:vAlign w:val="center"/>
          </w:tcPr>
          <w:p>
            <w:pPr>
              <w:pStyle w:val="TableText"/>
            </w:pPr>
            <w:r>
              <w:t>股票情境</w:t>
            </w:r>
          </w:p>
        </w:tc>
        <w:tc>
          <w:tcPr>
            <w:tcW w:w="7460" w:type="dxa"/>
            <w:vAlign w:val="center"/>
          </w:tcPr>
          <w:p>
            <w:pPr>
              <w:pStyle w:val="TableText"/>
            </w:pPr>
            <w:r>
              <w:t>若台股組只有約 1,500 筆、美股組約 17,000 筆，台股 score 較低可能來自市場、期間、樣本組成或隨機波動，不能只說台股比較好預測。</w:t>
            </w:r>
          </w:p>
        </w:tc>
      </w:tr>
      <w:tr>
        <w:trPr>
          <w:cantSplit/>
        </w:trPr>
        <w:tc>
          <w:tcPr>
            <w:tcW w:w="1900" w:type="dxa"/>
            <w:vAlign w:val="center"/>
          </w:tcPr>
          <w:p>
            <w:pPr>
              <w:pStyle w:val="TableText"/>
            </w:pPr>
            <w:r>
              <w:t>實際計算</w:t>
            </w:r>
          </w:p>
        </w:tc>
        <w:tc>
          <w:tcPr>
            <w:tcW w:w="7460" w:type="dxa"/>
            <w:vAlign w:val="center"/>
          </w:tcPr>
          <w:p>
            <w:pPr>
              <w:pStyle w:val="TableText"/>
            </w:pPr>
            <w:r>
              <w:t>每個唯一 subgroup value 建 mask，對該切片重新計算 aggregate、per_horizon 與 primary_5d，但沿用同一組 train-only robust scales。目前 subgroup payload 不重算 RankIC、Sharpe、MDD。</w:t>
            </w:r>
          </w:p>
        </w:tc>
      </w:tr>
      <w:tr>
        <w:trPr>
          <w:cantSplit/>
        </w:trPr>
        <w:tc>
          <w:tcPr>
            <w:tcW w:w="1900" w:type="dxa"/>
            <w:vAlign w:val="center"/>
          </w:tcPr>
          <w:p>
            <w:pPr>
              <w:pStyle w:val="TableText"/>
            </w:pPr>
            <w:r>
              <w:t>怎麼判讀</w:t>
            </w:r>
          </w:p>
        </w:tc>
        <w:tc>
          <w:tcPr>
            <w:tcW w:w="7460" w:type="dxa"/>
            <w:vAlign w:val="center"/>
          </w:tcPr>
          <w:p>
            <w:pPr>
              <w:pStyle w:val="TableText"/>
            </w:pPr>
            <w:r>
              <w:t>先看 n，再看 14H score、14 日 correlation 範圍、平均 direction 與 coverage；不同組差異應視為穩定性線索。</w:t>
            </w:r>
          </w:p>
        </w:tc>
      </w:tr>
      <w:tr>
        <w:trPr>
          <w:cantSplit/>
        </w:trPr>
        <w:tc>
          <w:tcPr>
            <w:tcW w:w="1900" w:type="dxa"/>
            <w:vAlign w:val="center"/>
          </w:tcPr>
          <w:p>
            <w:pPr>
              <w:pStyle w:val="TableText"/>
            </w:pPr>
            <w:r>
              <w:t>本次 run</w:t>
            </w:r>
          </w:p>
        </w:tc>
        <w:tc>
          <w:tcPr>
            <w:tcW w:w="7460" w:type="dxa"/>
            <w:vAlign w:val="center"/>
          </w:tcPr>
          <w:p>
            <w:pPr>
              <w:pStyle w:val="TableText"/>
            </w:pPr>
            <w:r>
              <w:t>EODHD/US n=17,056；TPEx n=1,377；TWSE n=1,567。2024 n=1,928，2025 n=18,072，樣本嚴重不平衡。</w:t>
            </w:r>
          </w:p>
        </w:tc>
      </w:tr>
      <w:tr>
        <w:trPr>
          <w:cantSplit/>
        </w:trPr>
        <w:tc>
          <w:tcPr>
            <w:tcW w:w="1900" w:type="dxa"/>
            <w:vAlign w:val="center"/>
          </w:tcPr>
          <w:p>
            <w:pPr>
              <w:pStyle w:val="TableText"/>
            </w:pPr>
            <w:r>
              <w:t>不能這樣解讀</w:t>
            </w:r>
          </w:p>
        </w:tc>
        <w:tc>
          <w:tcPr>
            <w:tcW w:w="7460" w:type="dxa"/>
            <w:vAlign w:val="center"/>
          </w:tcPr>
          <w:p>
            <w:pPr>
              <w:pStyle w:val="TableText"/>
            </w:pPr>
            <w:r>
              <w:t>不能從 subgroup forecast score 推論 subgroup 投組 Sharpe，也不能把 provider 差異直接歸因於國家或市場可預測性。</w:t>
            </w:r>
          </w:p>
        </w:tc>
      </w:tr>
      <w:tr>
        <w:trPr>
          <w:cantSplit/>
        </w:trPr>
        <w:tc>
          <w:tcPr>
            <w:tcW w:w="1900" w:type="dxa"/>
            <w:vAlign w:val="center"/>
          </w:tcPr>
          <w:p>
            <w:pPr>
              <w:pStyle w:val="TableText"/>
            </w:pPr>
            <w:r>
              <w:t>應搭配閱讀</w:t>
            </w:r>
          </w:p>
        </w:tc>
        <w:tc>
          <w:tcPr>
            <w:tcW w:w="7460" w:type="dxa"/>
            <w:vAlign w:val="center"/>
          </w:tcPr>
          <w:p>
            <w:pPr>
              <w:pStyle w:val="TableText"/>
            </w:pPr>
            <w:r>
              <w:t>日期範圍、標的 universe、market regime 與樣本數信賴區間。</w:t>
            </w:r>
          </w:p>
        </w:tc>
      </w:tr>
    </w:tbl>
    <w:p>
      <w:pPr>
        <w:pStyle w:val="Decision"/>
        <w:keepNext/>
        <w:spacing w:after="80"/>
      </w:pPr>
      <w:r>
        <w:t>表 2｜Provider 切片的 1–14 日摘要</w:t>
      </w:r>
    </w:p>
    <w:tbl>
      <w:tblPr>
        <w:tblStyle w:val="BenchmarkTable"/>
        <w:tblW w:w="9360" w:type="dxa"/>
        <w:tblLayout w:type="fixed"/>
      </w:tblPr>
      <w:tblGrid>
        <w:gridCol w:w="1450"/>
        <w:gridCol w:w="1000"/>
        <w:gridCol w:w="1250"/>
        <w:gridCol w:w="1250"/>
        <w:gridCol w:w="1900"/>
        <w:gridCol w:w="1300"/>
        <w:gridCol w:w="1210"/>
      </w:tblGrid>
      <w:tr>
        <w:trPr>
          <w:tblHeader/>
        </w:trPr>
        <w:tc>
          <w:tcPr>
            <w:tcW w:w="1450" w:type="dxa"/>
            <w:shd w:val="clear" w:fill="DCE6F1"/>
            <w:vAlign w:val="center"/>
          </w:tcPr>
          <w:p>
            <w:pPr>
              <w:pStyle w:val="TableHeader"/>
            </w:pPr>
            <w:r>
              <w:t>Provider</w:t>
            </w:r>
          </w:p>
        </w:tc>
        <w:tc>
          <w:tcPr>
            <w:tcW w:w="1000" w:type="dxa"/>
            <w:shd w:val="clear" w:fill="DCE6F1"/>
            <w:vAlign w:val="center"/>
          </w:tcPr>
          <w:p>
            <w:pPr>
              <w:pStyle w:val="TableHeader"/>
            </w:pPr>
            <w:r>
              <w:t>n</w:t>
            </w:r>
          </w:p>
        </w:tc>
        <w:tc>
          <w:tcPr>
            <w:tcW w:w="1250" w:type="dxa"/>
            <w:shd w:val="clear" w:fill="DCE6F1"/>
            <w:vAlign w:val="center"/>
          </w:tcPr>
          <w:p>
            <w:pPr>
              <w:pStyle w:val="TableHeader"/>
            </w:pPr>
            <w:r>
              <w:t>14H score</w:t>
            </w:r>
          </w:p>
        </w:tc>
        <w:tc>
          <w:tcPr>
            <w:tcW w:w="1250" w:type="dxa"/>
            <w:shd w:val="clear" w:fill="DCE6F1"/>
            <w:vAlign w:val="center"/>
          </w:tcPr>
          <w:p>
            <w:pPr>
              <w:pStyle w:val="TableHeader"/>
            </w:pPr>
            <w:r>
              <w:t>平均 corr.</w:t>
            </w:r>
          </w:p>
        </w:tc>
        <w:tc>
          <w:tcPr>
            <w:tcW w:w="1900" w:type="dxa"/>
            <w:shd w:val="clear" w:fill="DCE6F1"/>
            <w:vAlign w:val="center"/>
          </w:tcPr>
          <w:p>
            <w:pPr>
              <w:pStyle w:val="TableHeader"/>
            </w:pPr>
            <w:r>
              <w:t>corr. 範圍</w:t>
            </w:r>
          </w:p>
        </w:tc>
        <w:tc>
          <w:tcPr>
            <w:tcW w:w="1300" w:type="dxa"/>
            <w:shd w:val="clear" w:fill="DCE6F1"/>
            <w:vAlign w:val="center"/>
          </w:tcPr>
          <w:p>
            <w:pPr>
              <w:pStyle w:val="TableHeader"/>
            </w:pPr>
            <w:r>
              <w:t>平均 direction</w:t>
            </w:r>
          </w:p>
        </w:tc>
        <w:tc>
          <w:tcPr>
            <w:tcW w:w="1210" w:type="dxa"/>
            <w:shd w:val="clear" w:fill="DCE6F1"/>
            <w:vAlign w:val="center"/>
          </w:tcPr>
          <w:p>
            <w:pPr>
              <w:pStyle w:val="TableHeader"/>
            </w:pPr>
            <w:r>
              <w:t>平均 coverage</w:t>
            </w:r>
          </w:p>
        </w:tc>
      </w:tr>
      <w:tr>
        <w:trPr>
          <w:cantSplit/>
        </w:trPr>
        <w:tc>
          <w:tcPr>
            <w:tcW w:w="1450" w:type="dxa"/>
            <w:vAlign w:val="center"/>
          </w:tcPr>
          <w:p>
            <w:pPr>
              <w:pStyle w:val="TableText"/>
            </w:pPr>
            <w:r>
              <w:t>EODHD / US</w:t>
            </w:r>
          </w:p>
        </w:tc>
        <w:tc>
          <w:tcPr>
            <w:tcW w:w="1000" w:type="dxa"/>
            <w:vAlign w:val="center"/>
          </w:tcPr>
          <w:p>
            <w:pPr>
              <w:pStyle w:val="TableNumber"/>
            </w:pPr>
            <w:r>
              <w:t>17,056</w:t>
            </w:r>
          </w:p>
        </w:tc>
        <w:tc>
          <w:tcPr>
            <w:tcW w:w="1250" w:type="dxa"/>
            <w:vAlign w:val="center"/>
          </w:tcPr>
          <w:p>
            <w:pPr>
              <w:pStyle w:val="TableNumber"/>
            </w:pPr>
            <w:r>
              <w:t>0.3311</w:t>
            </w:r>
          </w:p>
        </w:tc>
        <w:tc>
          <w:tcPr>
            <w:tcW w:w="1250" w:type="dxa"/>
            <w:vAlign w:val="center"/>
          </w:tcPr>
          <w:p>
            <w:pPr>
              <w:pStyle w:val="TableNumber"/>
            </w:pPr>
            <w:r>
              <w:t>0.0908</w:t>
            </w:r>
          </w:p>
        </w:tc>
        <w:tc>
          <w:tcPr>
            <w:tcW w:w="1900" w:type="dxa"/>
            <w:vAlign w:val="center"/>
          </w:tcPr>
          <w:p>
            <w:pPr>
              <w:pStyle w:val="TableNumber"/>
            </w:pPr>
            <w:r>
              <w:t>0.0571–0.1205</w:t>
            </w:r>
          </w:p>
        </w:tc>
        <w:tc>
          <w:tcPr>
            <w:tcW w:w="1300" w:type="dxa"/>
            <w:vAlign w:val="center"/>
          </w:tcPr>
          <w:p>
            <w:pPr>
              <w:pStyle w:val="TableNumber"/>
            </w:pPr>
            <w:r>
              <w:t>53.32%</w:t>
            </w:r>
          </w:p>
        </w:tc>
        <w:tc>
          <w:tcPr>
            <w:tcW w:w="1210" w:type="dxa"/>
            <w:vAlign w:val="center"/>
          </w:tcPr>
          <w:p>
            <w:pPr>
              <w:pStyle w:val="TableNumber"/>
            </w:pPr>
            <w:r>
              <w:t>78.47%</w:t>
            </w:r>
          </w:p>
        </w:tc>
      </w:tr>
      <w:tr>
        <w:trPr>
          <w:cantSplit/>
        </w:trPr>
        <w:tc>
          <w:tcPr>
            <w:tcW w:w="1450" w:type="dxa"/>
            <w:vAlign w:val="center"/>
          </w:tcPr>
          <w:p>
            <w:pPr>
              <w:pStyle w:val="TableText"/>
            </w:pPr>
            <w:r>
              <w:t>TPEx</w:t>
            </w:r>
          </w:p>
        </w:tc>
        <w:tc>
          <w:tcPr>
            <w:tcW w:w="1000" w:type="dxa"/>
            <w:vAlign w:val="center"/>
          </w:tcPr>
          <w:p>
            <w:pPr>
              <w:pStyle w:val="TableNumber"/>
            </w:pPr>
            <w:r>
              <w:t>1,377</w:t>
            </w:r>
          </w:p>
        </w:tc>
        <w:tc>
          <w:tcPr>
            <w:tcW w:w="1250" w:type="dxa"/>
            <w:vAlign w:val="center"/>
          </w:tcPr>
          <w:p>
            <w:pPr>
              <w:pStyle w:val="TableNumber"/>
            </w:pPr>
            <w:r>
              <w:t>0.2245</w:t>
            </w:r>
          </w:p>
        </w:tc>
        <w:tc>
          <w:tcPr>
            <w:tcW w:w="1250" w:type="dxa"/>
            <w:vAlign w:val="center"/>
          </w:tcPr>
          <w:p>
            <w:pPr>
              <w:pStyle w:val="TableNumber"/>
            </w:pPr>
            <w:r>
              <w:t>0.0934</w:t>
            </w:r>
          </w:p>
        </w:tc>
        <w:tc>
          <w:tcPr>
            <w:tcW w:w="1900" w:type="dxa"/>
            <w:vAlign w:val="center"/>
          </w:tcPr>
          <w:p>
            <w:pPr>
              <w:pStyle w:val="TableNumber"/>
            </w:pPr>
            <w:r>
              <w:t>0.0013–0.1396</w:t>
            </w:r>
          </w:p>
        </w:tc>
        <w:tc>
          <w:tcPr>
            <w:tcW w:w="1300" w:type="dxa"/>
            <w:vAlign w:val="center"/>
          </w:tcPr>
          <w:p>
            <w:pPr>
              <w:pStyle w:val="TableNumber"/>
            </w:pPr>
            <w:r>
              <w:t>55.19%</w:t>
            </w:r>
          </w:p>
        </w:tc>
        <w:tc>
          <w:tcPr>
            <w:tcW w:w="1210" w:type="dxa"/>
            <w:vAlign w:val="center"/>
          </w:tcPr>
          <w:p>
            <w:pPr>
              <w:pStyle w:val="TableNumber"/>
            </w:pPr>
            <w:r>
              <w:t>80.59%</w:t>
            </w:r>
          </w:p>
        </w:tc>
      </w:tr>
      <w:tr>
        <w:trPr>
          <w:cantSplit/>
        </w:trPr>
        <w:tc>
          <w:tcPr>
            <w:tcW w:w="1450" w:type="dxa"/>
            <w:vAlign w:val="center"/>
          </w:tcPr>
          <w:p>
            <w:pPr>
              <w:pStyle w:val="TableText"/>
            </w:pPr>
            <w:r>
              <w:t>TWSE</w:t>
            </w:r>
          </w:p>
        </w:tc>
        <w:tc>
          <w:tcPr>
            <w:tcW w:w="1000" w:type="dxa"/>
            <w:vAlign w:val="center"/>
          </w:tcPr>
          <w:p>
            <w:pPr>
              <w:pStyle w:val="TableNumber"/>
            </w:pPr>
            <w:r>
              <w:t>1,567</w:t>
            </w:r>
          </w:p>
        </w:tc>
        <w:tc>
          <w:tcPr>
            <w:tcW w:w="1250" w:type="dxa"/>
            <w:vAlign w:val="center"/>
          </w:tcPr>
          <w:p>
            <w:pPr>
              <w:pStyle w:val="TableNumber"/>
            </w:pPr>
            <w:r>
              <w:t>0.2167</w:t>
            </w:r>
          </w:p>
        </w:tc>
        <w:tc>
          <w:tcPr>
            <w:tcW w:w="1250" w:type="dxa"/>
            <w:vAlign w:val="center"/>
          </w:tcPr>
          <w:p>
            <w:pPr>
              <w:pStyle w:val="TableNumber"/>
            </w:pPr>
            <w:r>
              <w:t>0.0345</w:t>
            </w:r>
          </w:p>
        </w:tc>
        <w:tc>
          <w:tcPr>
            <w:tcW w:w="1900" w:type="dxa"/>
            <w:vAlign w:val="center"/>
          </w:tcPr>
          <w:p>
            <w:pPr>
              <w:pStyle w:val="TableNumber"/>
            </w:pPr>
            <w:r>
              <w:t>-0.0019–0.0767</w:t>
            </w:r>
          </w:p>
        </w:tc>
        <w:tc>
          <w:tcPr>
            <w:tcW w:w="1300" w:type="dxa"/>
            <w:vAlign w:val="center"/>
          </w:tcPr>
          <w:p>
            <w:pPr>
              <w:pStyle w:val="TableNumber"/>
            </w:pPr>
            <w:r>
              <w:t>59.17%</w:t>
            </w:r>
          </w:p>
        </w:tc>
        <w:tc>
          <w:tcPr>
            <w:tcW w:w="1210" w:type="dxa"/>
            <w:vAlign w:val="center"/>
          </w:tcPr>
          <w:p>
            <w:pPr>
              <w:pStyle w:val="TableNumber"/>
            </w:pPr>
            <w:r>
              <w:t>80.38%</w:t>
            </w:r>
          </w:p>
        </w:tc>
      </w:tr>
    </w:tbl>
    <w:p>
      <w:pPr>
        <w:pStyle w:val="Decision"/>
        <w:keepNext/>
        <w:spacing w:after="80"/>
      </w:pPr>
      <w:r>
        <w:t>表 3｜年度切片的 1–14 日摘要</w:t>
      </w:r>
    </w:p>
    <w:tbl>
      <w:tblPr>
        <w:tblStyle w:val="BenchmarkTable"/>
        <w:tblW w:w="9360" w:type="dxa"/>
        <w:tblLayout w:type="fixed"/>
      </w:tblPr>
      <w:tblGrid>
        <w:gridCol w:w="1200"/>
        <w:gridCol w:w="1100"/>
        <w:gridCol w:w="1350"/>
        <w:gridCol w:w="1350"/>
        <w:gridCol w:w="1900"/>
        <w:gridCol w:w="1250"/>
        <w:gridCol w:w="1210"/>
      </w:tblGrid>
      <w:tr>
        <w:trPr>
          <w:tblHeader/>
        </w:trPr>
        <w:tc>
          <w:tcPr>
            <w:tcW w:w="1200" w:type="dxa"/>
            <w:shd w:val="clear" w:fill="DCE6F1"/>
            <w:vAlign w:val="center"/>
          </w:tcPr>
          <w:p>
            <w:pPr>
              <w:pStyle w:val="TableHeader"/>
            </w:pPr>
            <w:r>
              <w:t>年度</w:t>
            </w:r>
          </w:p>
        </w:tc>
        <w:tc>
          <w:tcPr>
            <w:tcW w:w="1100" w:type="dxa"/>
            <w:shd w:val="clear" w:fill="DCE6F1"/>
            <w:vAlign w:val="center"/>
          </w:tcPr>
          <w:p>
            <w:pPr>
              <w:pStyle w:val="TableHeader"/>
            </w:pPr>
            <w:r>
              <w:t>n</w:t>
            </w:r>
          </w:p>
        </w:tc>
        <w:tc>
          <w:tcPr>
            <w:tcW w:w="1350" w:type="dxa"/>
            <w:shd w:val="clear" w:fill="DCE6F1"/>
            <w:vAlign w:val="center"/>
          </w:tcPr>
          <w:p>
            <w:pPr>
              <w:pStyle w:val="TableHeader"/>
            </w:pPr>
            <w:r>
              <w:t>14H score</w:t>
            </w:r>
          </w:p>
        </w:tc>
        <w:tc>
          <w:tcPr>
            <w:tcW w:w="1350" w:type="dxa"/>
            <w:shd w:val="clear" w:fill="DCE6F1"/>
            <w:vAlign w:val="center"/>
          </w:tcPr>
          <w:p>
            <w:pPr>
              <w:pStyle w:val="TableHeader"/>
            </w:pPr>
            <w:r>
              <w:t>平均 corr.</w:t>
            </w:r>
          </w:p>
        </w:tc>
        <w:tc>
          <w:tcPr>
            <w:tcW w:w="1900" w:type="dxa"/>
            <w:shd w:val="clear" w:fill="DCE6F1"/>
            <w:vAlign w:val="center"/>
          </w:tcPr>
          <w:p>
            <w:pPr>
              <w:pStyle w:val="TableHeader"/>
            </w:pPr>
            <w:r>
              <w:t>corr. 範圍</w:t>
            </w:r>
          </w:p>
        </w:tc>
        <w:tc>
          <w:tcPr>
            <w:tcW w:w="1250" w:type="dxa"/>
            <w:shd w:val="clear" w:fill="DCE6F1"/>
            <w:vAlign w:val="center"/>
          </w:tcPr>
          <w:p>
            <w:pPr>
              <w:pStyle w:val="TableHeader"/>
            </w:pPr>
            <w:r>
              <w:t>平均 direction</w:t>
            </w:r>
          </w:p>
        </w:tc>
        <w:tc>
          <w:tcPr>
            <w:tcW w:w="1210" w:type="dxa"/>
            <w:shd w:val="clear" w:fill="DCE6F1"/>
            <w:vAlign w:val="center"/>
          </w:tcPr>
          <w:p>
            <w:pPr>
              <w:pStyle w:val="TableHeader"/>
            </w:pPr>
            <w:r>
              <w:t>平均 coverage</w:t>
            </w:r>
          </w:p>
        </w:tc>
      </w:tr>
      <w:tr>
        <w:trPr>
          <w:cantSplit/>
        </w:trPr>
        <w:tc>
          <w:tcPr>
            <w:tcW w:w="1200" w:type="dxa"/>
            <w:vAlign w:val="center"/>
          </w:tcPr>
          <w:p>
            <w:pPr>
              <w:pStyle w:val="TableText"/>
            </w:pPr>
            <w:r>
              <w:t>2024</w:t>
            </w:r>
          </w:p>
        </w:tc>
        <w:tc>
          <w:tcPr>
            <w:tcW w:w="1100" w:type="dxa"/>
            <w:vAlign w:val="center"/>
          </w:tcPr>
          <w:p>
            <w:pPr>
              <w:pStyle w:val="TableNumber"/>
            </w:pPr>
            <w:r>
              <w:t>1,928</w:t>
            </w:r>
          </w:p>
        </w:tc>
        <w:tc>
          <w:tcPr>
            <w:tcW w:w="1350" w:type="dxa"/>
            <w:vAlign w:val="center"/>
          </w:tcPr>
          <w:p>
            <w:pPr>
              <w:pStyle w:val="TableNumber"/>
            </w:pPr>
            <w:r>
              <w:t>0.3178</w:t>
            </w:r>
          </w:p>
        </w:tc>
        <w:tc>
          <w:tcPr>
            <w:tcW w:w="1350" w:type="dxa"/>
            <w:vAlign w:val="center"/>
          </w:tcPr>
          <w:p>
            <w:pPr>
              <w:pStyle w:val="TableNumber"/>
            </w:pPr>
            <w:r>
              <w:t>0.0012</w:t>
            </w:r>
          </w:p>
        </w:tc>
        <w:tc>
          <w:tcPr>
            <w:tcW w:w="1900" w:type="dxa"/>
            <w:vAlign w:val="center"/>
          </w:tcPr>
          <w:p>
            <w:pPr>
              <w:pStyle w:val="TableNumber"/>
            </w:pPr>
            <w:r>
              <w:t>-0.0379–0.1100</w:t>
            </w:r>
          </w:p>
        </w:tc>
        <w:tc>
          <w:tcPr>
            <w:tcW w:w="1250" w:type="dxa"/>
            <w:vAlign w:val="center"/>
          </w:tcPr>
          <w:p>
            <w:pPr>
              <w:pStyle w:val="TableNumber"/>
            </w:pPr>
            <w:r>
              <w:t>46.85%</w:t>
            </w:r>
          </w:p>
        </w:tc>
        <w:tc>
          <w:tcPr>
            <w:tcW w:w="1210" w:type="dxa"/>
            <w:vAlign w:val="center"/>
          </w:tcPr>
          <w:p>
            <w:pPr>
              <w:pStyle w:val="TableNumber"/>
            </w:pPr>
            <w:r>
              <w:t>82.14%</w:t>
            </w:r>
          </w:p>
        </w:tc>
      </w:tr>
      <w:tr>
        <w:trPr>
          <w:cantSplit/>
        </w:trPr>
        <w:tc>
          <w:tcPr>
            <w:tcW w:w="1200" w:type="dxa"/>
            <w:vAlign w:val="center"/>
          </w:tcPr>
          <w:p>
            <w:pPr>
              <w:pStyle w:val="TableText"/>
            </w:pPr>
            <w:r>
              <w:t>2025</w:t>
            </w:r>
          </w:p>
        </w:tc>
        <w:tc>
          <w:tcPr>
            <w:tcW w:w="1100" w:type="dxa"/>
            <w:vAlign w:val="center"/>
          </w:tcPr>
          <w:p>
            <w:pPr>
              <w:pStyle w:val="TableNumber"/>
            </w:pPr>
            <w:r>
              <w:t>18,072</w:t>
            </w:r>
          </w:p>
        </w:tc>
        <w:tc>
          <w:tcPr>
            <w:tcW w:w="1350" w:type="dxa"/>
            <w:vAlign w:val="center"/>
          </w:tcPr>
          <w:p>
            <w:pPr>
              <w:pStyle w:val="TableNumber"/>
            </w:pPr>
            <w:r>
              <w:t>0.3144</w:t>
            </w:r>
          </w:p>
        </w:tc>
        <w:tc>
          <w:tcPr>
            <w:tcW w:w="1350" w:type="dxa"/>
            <w:vAlign w:val="center"/>
          </w:tcPr>
          <w:p>
            <w:pPr>
              <w:pStyle w:val="TableNumber"/>
            </w:pPr>
            <w:r>
              <w:t>0.0902</w:t>
            </w:r>
          </w:p>
        </w:tc>
        <w:tc>
          <w:tcPr>
            <w:tcW w:w="1900" w:type="dxa"/>
            <w:vAlign w:val="center"/>
          </w:tcPr>
          <w:p>
            <w:pPr>
              <w:pStyle w:val="TableNumber"/>
            </w:pPr>
            <w:r>
              <w:t>0.0413–0.1154</w:t>
            </w:r>
          </w:p>
        </w:tc>
        <w:tc>
          <w:tcPr>
            <w:tcW w:w="1250" w:type="dxa"/>
            <w:vAlign w:val="center"/>
          </w:tcPr>
          <w:p>
            <w:pPr>
              <w:pStyle w:val="TableNumber"/>
            </w:pPr>
            <w:r>
              <w:t>54.66%</w:t>
            </w:r>
          </w:p>
        </w:tc>
        <w:tc>
          <w:tcPr>
            <w:tcW w:w="1210" w:type="dxa"/>
            <w:vAlign w:val="center"/>
          </w:tcPr>
          <w:p>
            <w:pPr>
              <w:pStyle w:val="TableNumber"/>
            </w:pPr>
            <w:r>
              <w:t>78.41%</w:t>
            </w:r>
          </w:p>
        </w:tc>
      </w:tr>
    </w:tbl>
    <w:p>
      <w:pPr>
        <w:pStyle w:val="Lead"/>
      </w:pPr>
      <w:r>
        <w:t>2024 的 14-horizon 平均 correlation 僅 0.0012、平均 direction 46.85%；2025 分別為 0.0902 與 54.66%。由於樣本數 1,928 對 18,072，這是需要 Stage 2 進一步做 rolling／regime 驗證的風險，不是已證明 2024 模型完全失效或 2025 一定可交易。</w:t>
      </w:r>
    </w:p>
    <w:p>
      <w:pPr>
        <w:pStyle w:val="11"/>
      </w:pPr>
      <w:r>
        <w:t>7. 衍生 signal：把 q 轉成容易看的標籤</w:t>
      </w:r>
    </w:p>
    <w:p>
      <w:pPr>
        <w:pStyle w:val="31"/>
      </w:pPr>
      <w:r>
        <w:t>7.1 strong_bearish／bearish／neutral／bullish／strong_bullish</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這些名稱只是用 q 與門檻 θ 比較後貼上的規則標籤，方便摘要；模型本身沒有另外輸出五類機率。</w:t>
            </w:r>
          </w:p>
        </w:tc>
      </w:tr>
      <w:tr>
        <w:trPr>
          <w:cantSplit/>
        </w:trPr>
        <w:tc>
          <w:tcPr>
            <w:tcW w:w="1900" w:type="dxa"/>
            <w:vAlign w:val="center"/>
          </w:tcPr>
          <w:p>
            <w:pPr>
              <w:pStyle w:val="TableText"/>
            </w:pPr>
            <w:r>
              <w:t>股票情境</w:t>
            </w:r>
          </w:p>
        </w:tc>
        <w:tc>
          <w:tcPr>
            <w:tcW w:w="7460" w:type="dxa"/>
            <w:vAlign w:val="center"/>
          </w:tcPr>
          <w:p>
            <w:pPr>
              <w:pStyle w:val="TableText"/>
            </w:pPr>
            <w:r>
              <w:t>q=[−0.12,−0.06,−0.01] 時連 q90 都小於 0，標成 strong_bearish；妖股 q=[−0.08,−0.01,+0.25] 只有 q50&lt;0，標成 bearish，不是 strong；q=[+0.02,+0.05,+0.09] 因 q10&gt;0，標成 strong_bullish。</w:t>
            </w:r>
          </w:p>
        </w:tc>
      </w:tr>
      <w:tr>
        <w:trPr>
          <w:cantSplit/>
        </w:trPr>
        <w:tc>
          <w:tcPr>
            <w:tcW w:w="1900" w:type="dxa"/>
            <w:vAlign w:val="center"/>
          </w:tcPr>
          <w:p>
            <w:pPr>
              <w:pStyle w:val="TableText"/>
            </w:pPr>
            <w:r>
              <w:t>實際計算</w:t>
            </w:r>
          </w:p>
        </w:tc>
        <w:tc>
          <w:tcPr>
            <w:tcW w:w="7460" w:type="dxa"/>
            <w:vAlign w:val="center"/>
          </w:tcPr>
          <w:p>
            <w:pPr>
              <w:pStyle w:val="TableText"/>
            </w:pPr>
            <w:r>
              <w:t>先全設 neutral；q50&lt;−θ→bearish；q90&lt;−θ 覆寫為 strong_bearish；q50&gt;θ→bullish；q10&gt;θ 覆寫為 strong_bullish。不等號是嚴格 &lt;、&gt;；本次 θ=0。</w:t>
            </w:r>
          </w:p>
        </w:tc>
      </w:tr>
      <w:tr>
        <w:trPr>
          <w:cantSplit/>
        </w:trPr>
        <w:tc>
          <w:tcPr>
            <w:tcW w:w="1900" w:type="dxa"/>
            <w:vAlign w:val="center"/>
          </w:tcPr>
          <w:p>
            <w:pPr>
              <w:pStyle w:val="TableText"/>
            </w:pPr>
            <w:r>
              <w:t>怎麼判讀</w:t>
            </w:r>
          </w:p>
        </w:tc>
        <w:tc>
          <w:tcPr>
            <w:tcW w:w="7460" w:type="dxa"/>
            <w:vAlign w:val="center"/>
          </w:tcPr>
          <w:p>
            <w:pPr>
              <w:pStyle w:val="TableText"/>
            </w:pPr>
            <w:r>
              <w:t>strong 表示連整個 q10–q90 區間都在 0 同一側；一般 bullish/bearish 表示 q50 有方向、區間仍跨 0。</w:t>
            </w:r>
          </w:p>
        </w:tc>
      </w:tr>
      <w:tr>
        <w:trPr>
          <w:cantSplit/>
        </w:trPr>
        <w:tc>
          <w:tcPr>
            <w:tcW w:w="1900" w:type="dxa"/>
            <w:vAlign w:val="center"/>
          </w:tcPr>
          <w:p>
            <w:pPr>
              <w:pStyle w:val="TableText"/>
            </w:pPr>
            <w:r>
              <w:t>本次 run</w:t>
            </w:r>
          </w:p>
        </w:tc>
        <w:tc>
          <w:tcPr>
            <w:tcW w:w="7460" w:type="dxa"/>
            <w:vAlign w:val="center"/>
          </w:tcPr>
          <w:p>
            <w:pPr>
              <w:pStyle w:val="TableText"/>
            </w:pPr>
            <w:r>
              <w:t>所有 14 個 horizon 的 strong_bearish 與 strong_bullish 都是 0。bearish 從第 1 日 56.33% 增至第 12 日 97.27%，第 14 日 95.59%。</w:t>
            </w:r>
          </w:p>
        </w:tc>
      </w:tr>
      <w:tr>
        <w:trPr>
          <w:cantSplit/>
        </w:trPr>
        <w:tc>
          <w:tcPr>
            <w:tcW w:w="1900" w:type="dxa"/>
            <w:vAlign w:val="center"/>
          </w:tcPr>
          <w:p>
            <w:pPr>
              <w:pStyle w:val="TableText"/>
            </w:pPr>
            <w:r>
              <w:t>不能這樣解讀</w:t>
            </w:r>
          </w:p>
        </w:tc>
        <w:tc>
          <w:tcPr>
            <w:tcW w:w="7460" w:type="dxa"/>
            <w:vAlign w:val="center"/>
          </w:tcPr>
          <w:p>
            <w:pPr>
              <w:pStyle w:val="TableText"/>
            </w:pPr>
            <w:r>
              <w:t>bearish 87% 不等於下跌機率 87%，也不代表應直接配置 87% 空單。門檻與部位映射必須先在 validation 固定。</w:t>
            </w:r>
          </w:p>
        </w:tc>
      </w:tr>
      <w:tr>
        <w:trPr>
          <w:cantSplit/>
        </w:trPr>
        <w:tc>
          <w:tcPr>
            <w:tcW w:w="1900" w:type="dxa"/>
            <w:vAlign w:val="center"/>
          </w:tcPr>
          <w:p>
            <w:pPr>
              <w:pStyle w:val="TableText"/>
            </w:pPr>
            <w:r>
              <w:t>應搭配閱讀</w:t>
            </w:r>
          </w:p>
        </w:tc>
        <w:tc>
          <w:tcPr>
            <w:tcW w:w="7460" w:type="dxa"/>
            <w:vAlign w:val="center"/>
          </w:tcPr>
          <w:p>
            <w:pPr>
              <w:pStyle w:val="TableText"/>
            </w:pPr>
            <w:r>
              <w:t>原始 q10/q50/q90、coverage、區間是否跨 0，以及實際風險限制。</w:t>
            </w:r>
          </w:p>
        </w:tc>
      </w:tr>
    </w:tbl>
    <w:tbl>
      <w:tblPr>
        <w:tblStyle w:val="BenchmarkTable"/>
        <w:tblW w:w="9360" w:type="dxa"/>
        <w:tblLayout w:type="fixed"/>
      </w:tblPr>
      <w:tblGrid>
        <w:gridCol w:w="700"/>
        <w:gridCol w:w="1750"/>
        <w:gridCol w:w="1650"/>
        <w:gridCol w:w="1650"/>
        <w:gridCol w:w="1650"/>
        <w:gridCol w:w="1960"/>
      </w:tblGrid>
      <w:tr>
        <w:trPr>
          <w:tblHeader/>
        </w:trPr>
        <w:tc>
          <w:tcPr>
            <w:tcW w:w="700" w:type="dxa"/>
            <w:shd w:val="clear" w:fill="DCE6F1"/>
            <w:vAlign w:val="center"/>
          </w:tcPr>
          <w:p>
            <w:pPr>
              <w:pStyle w:val="TableHeader"/>
            </w:pPr>
            <w:r>
              <w:t>H</w:t>
            </w:r>
          </w:p>
        </w:tc>
        <w:tc>
          <w:tcPr>
            <w:tcW w:w="1750" w:type="dxa"/>
            <w:shd w:val="clear" w:fill="DCE6F1"/>
            <w:vAlign w:val="center"/>
          </w:tcPr>
          <w:p>
            <w:pPr>
              <w:pStyle w:val="TableHeader"/>
            </w:pPr>
            <w:r>
              <w:t>Strong bear</w:t>
            </w:r>
          </w:p>
        </w:tc>
        <w:tc>
          <w:tcPr>
            <w:tcW w:w="1650" w:type="dxa"/>
            <w:shd w:val="clear" w:fill="DCE6F1"/>
            <w:vAlign w:val="center"/>
          </w:tcPr>
          <w:p>
            <w:pPr>
              <w:pStyle w:val="TableHeader"/>
            </w:pPr>
            <w:r>
              <w:t>Bearish</w:t>
            </w:r>
          </w:p>
        </w:tc>
        <w:tc>
          <w:tcPr>
            <w:tcW w:w="1650" w:type="dxa"/>
            <w:shd w:val="clear" w:fill="DCE6F1"/>
            <w:vAlign w:val="center"/>
          </w:tcPr>
          <w:p>
            <w:pPr>
              <w:pStyle w:val="TableHeader"/>
            </w:pPr>
            <w:r>
              <w:t>Neutral</w:t>
            </w:r>
          </w:p>
        </w:tc>
        <w:tc>
          <w:tcPr>
            <w:tcW w:w="1650" w:type="dxa"/>
            <w:shd w:val="clear" w:fill="DCE6F1"/>
            <w:vAlign w:val="center"/>
          </w:tcPr>
          <w:p>
            <w:pPr>
              <w:pStyle w:val="TableHeader"/>
            </w:pPr>
            <w:r>
              <w:t>Bullish</w:t>
            </w:r>
          </w:p>
        </w:tc>
        <w:tc>
          <w:tcPr>
            <w:tcW w:w="1960" w:type="dxa"/>
            <w:shd w:val="clear" w:fill="DCE6F1"/>
            <w:vAlign w:val="center"/>
          </w:tcPr>
          <w:p>
            <w:pPr>
              <w:pStyle w:val="TableHeader"/>
            </w:pPr>
            <w:r>
              <w:t>Strong bull</w:t>
            </w:r>
          </w:p>
        </w:tc>
      </w:tr>
      <w:tr>
        <w:trPr>
          <w:cantSplit/>
        </w:trPr>
        <w:tc>
          <w:tcPr>
            <w:tcW w:w="700" w:type="dxa"/>
            <w:vAlign w:val="center"/>
          </w:tcPr>
          <w:p>
            <w:pPr>
              <w:pStyle w:val="TableText"/>
            </w:pPr>
            <w:r>
              <w:t>1d</w:t>
            </w:r>
          </w:p>
        </w:tc>
        <w:tc>
          <w:tcPr>
            <w:tcW w:w="1750" w:type="dxa"/>
            <w:vAlign w:val="center"/>
          </w:tcPr>
          <w:p>
            <w:pPr>
              <w:pStyle w:val="TableNumber"/>
            </w:pPr>
            <w:r>
              <w:t>0.00%</w:t>
            </w:r>
          </w:p>
        </w:tc>
        <w:tc>
          <w:tcPr>
            <w:tcW w:w="1650" w:type="dxa"/>
            <w:vAlign w:val="center"/>
          </w:tcPr>
          <w:p>
            <w:pPr>
              <w:pStyle w:val="TableNumber"/>
            </w:pPr>
            <w:r>
              <w:t>56.33%</w:t>
            </w:r>
          </w:p>
        </w:tc>
        <w:tc>
          <w:tcPr>
            <w:tcW w:w="1650" w:type="dxa"/>
            <w:vAlign w:val="center"/>
          </w:tcPr>
          <w:p>
            <w:pPr>
              <w:pStyle w:val="TableNumber"/>
            </w:pPr>
            <w:r>
              <w:t>6.57%</w:t>
            </w:r>
          </w:p>
        </w:tc>
        <w:tc>
          <w:tcPr>
            <w:tcW w:w="1650" w:type="dxa"/>
            <w:vAlign w:val="center"/>
          </w:tcPr>
          <w:p>
            <w:pPr>
              <w:pStyle w:val="TableNumber"/>
            </w:pPr>
            <w:r>
              <w:t>37.10%</w:t>
            </w:r>
          </w:p>
        </w:tc>
        <w:tc>
          <w:tcPr>
            <w:tcW w:w="1960" w:type="dxa"/>
            <w:vAlign w:val="center"/>
          </w:tcPr>
          <w:p>
            <w:pPr>
              <w:pStyle w:val="TableNumber"/>
            </w:pPr>
            <w:r>
              <w:t>0.00%</w:t>
            </w:r>
          </w:p>
        </w:tc>
      </w:tr>
      <w:tr>
        <w:trPr>
          <w:cantSplit/>
        </w:trPr>
        <w:tc>
          <w:tcPr>
            <w:tcW w:w="700" w:type="dxa"/>
            <w:vAlign w:val="center"/>
          </w:tcPr>
          <w:p>
            <w:pPr>
              <w:pStyle w:val="TableText"/>
            </w:pPr>
            <w:r>
              <w:t>2d</w:t>
            </w:r>
          </w:p>
        </w:tc>
        <w:tc>
          <w:tcPr>
            <w:tcW w:w="1750" w:type="dxa"/>
            <w:vAlign w:val="center"/>
          </w:tcPr>
          <w:p>
            <w:pPr>
              <w:pStyle w:val="TableNumber"/>
            </w:pPr>
            <w:r>
              <w:t>0.00%</w:t>
            </w:r>
          </w:p>
        </w:tc>
        <w:tc>
          <w:tcPr>
            <w:tcW w:w="1650" w:type="dxa"/>
            <w:vAlign w:val="center"/>
          </w:tcPr>
          <w:p>
            <w:pPr>
              <w:pStyle w:val="TableNumber"/>
            </w:pPr>
            <w:r>
              <w:t>64.67%</w:t>
            </w:r>
          </w:p>
        </w:tc>
        <w:tc>
          <w:tcPr>
            <w:tcW w:w="1650" w:type="dxa"/>
            <w:vAlign w:val="center"/>
          </w:tcPr>
          <w:p>
            <w:pPr>
              <w:pStyle w:val="TableNumber"/>
            </w:pPr>
            <w:r>
              <w:t>4.58%</w:t>
            </w:r>
          </w:p>
        </w:tc>
        <w:tc>
          <w:tcPr>
            <w:tcW w:w="1650" w:type="dxa"/>
            <w:vAlign w:val="center"/>
          </w:tcPr>
          <w:p>
            <w:pPr>
              <w:pStyle w:val="TableNumber"/>
            </w:pPr>
            <w:r>
              <w:t>30.75%</w:t>
            </w:r>
          </w:p>
        </w:tc>
        <w:tc>
          <w:tcPr>
            <w:tcW w:w="1960" w:type="dxa"/>
            <w:vAlign w:val="center"/>
          </w:tcPr>
          <w:p>
            <w:pPr>
              <w:pStyle w:val="TableNumber"/>
            </w:pPr>
            <w:r>
              <w:t>0.00%</w:t>
            </w:r>
          </w:p>
        </w:tc>
      </w:tr>
      <w:tr>
        <w:trPr>
          <w:cantSplit/>
        </w:trPr>
        <w:tc>
          <w:tcPr>
            <w:tcW w:w="700" w:type="dxa"/>
            <w:vAlign w:val="center"/>
          </w:tcPr>
          <w:p>
            <w:pPr>
              <w:pStyle w:val="TableText"/>
            </w:pPr>
            <w:r>
              <w:t>3d</w:t>
            </w:r>
          </w:p>
        </w:tc>
        <w:tc>
          <w:tcPr>
            <w:tcW w:w="1750" w:type="dxa"/>
            <w:vAlign w:val="center"/>
          </w:tcPr>
          <w:p>
            <w:pPr>
              <w:pStyle w:val="TableNumber"/>
            </w:pPr>
            <w:r>
              <w:t>0.00%</w:t>
            </w:r>
          </w:p>
        </w:tc>
        <w:tc>
          <w:tcPr>
            <w:tcW w:w="1650" w:type="dxa"/>
            <w:vAlign w:val="center"/>
          </w:tcPr>
          <w:p>
            <w:pPr>
              <w:pStyle w:val="TableNumber"/>
            </w:pPr>
            <w:r>
              <w:t>77.09%</w:t>
            </w:r>
          </w:p>
        </w:tc>
        <w:tc>
          <w:tcPr>
            <w:tcW w:w="1650" w:type="dxa"/>
            <w:vAlign w:val="center"/>
          </w:tcPr>
          <w:p>
            <w:pPr>
              <w:pStyle w:val="TableNumber"/>
            </w:pPr>
            <w:r>
              <w:t>3.48%</w:t>
            </w:r>
          </w:p>
        </w:tc>
        <w:tc>
          <w:tcPr>
            <w:tcW w:w="1650" w:type="dxa"/>
            <w:vAlign w:val="center"/>
          </w:tcPr>
          <w:p>
            <w:pPr>
              <w:pStyle w:val="TableNumber"/>
            </w:pPr>
            <w:r>
              <w:t>19.43%</w:t>
            </w:r>
          </w:p>
        </w:tc>
        <w:tc>
          <w:tcPr>
            <w:tcW w:w="1960" w:type="dxa"/>
            <w:vAlign w:val="center"/>
          </w:tcPr>
          <w:p>
            <w:pPr>
              <w:pStyle w:val="TableNumber"/>
            </w:pPr>
            <w:r>
              <w:t>0.00%</w:t>
            </w:r>
          </w:p>
        </w:tc>
      </w:tr>
      <w:tr>
        <w:trPr>
          <w:cantSplit/>
        </w:trPr>
        <w:tc>
          <w:tcPr>
            <w:tcW w:w="700" w:type="dxa"/>
            <w:vAlign w:val="center"/>
          </w:tcPr>
          <w:p>
            <w:pPr>
              <w:pStyle w:val="TableText"/>
            </w:pPr>
            <w:r>
              <w:t>4d</w:t>
            </w:r>
          </w:p>
        </w:tc>
        <w:tc>
          <w:tcPr>
            <w:tcW w:w="1750" w:type="dxa"/>
            <w:vAlign w:val="center"/>
          </w:tcPr>
          <w:p>
            <w:pPr>
              <w:pStyle w:val="TableNumber"/>
            </w:pPr>
            <w:r>
              <w:t>0.00%</w:t>
            </w:r>
          </w:p>
        </w:tc>
        <w:tc>
          <w:tcPr>
            <w:tcW w:w="1650" w:type="dxa"/>
            <w:vAlign w:val="center"/>
          </w:tcPr>
          <w:p>
            <w:pPr>
              <w:pStyle w:val="TableNumber"/>
            </w:pPr>
            <w:r>
              <w:t>82.49%</w:t>
            </w:r>
          </w:p>
        </w:tc>
        <w:tc>
          <w:tcPr>
            <w:tcW w:w="1650" w:type="dxa"/>
            <w:vAlign w:val="center"/>
          </w:tcPr>
          <w:p>
            <w:pPr>
              <w:pStyle w:val="TableNumber"/>
            </w:pPr>
            <w:r>
              <w:t>2.79%</w:t>
            </w:r>
          </w:p>
        </w:tc>
        <w:tc>
          <w:tcPr>
            <w:tcW w:w="1650" w:type="dxa"/>
            <w:vAlign w:val="center"/>
          </w:tcPr>
          <w:p>
            <w:pPr>
              <w:pStyle w:val="TableNumber"/>
            </w:pPr>
            <w:r>
              <w:t>14.71%</w:t>
            </w:r>
          </w:p>
        </w:tc>
        <w:tc>
          <w:tcPr>
            <w:tcW w:w="1960" w:type="dxa"/>
            <w:vAlign w:val="center"/>
          </w:tcPr>
          <w:p>
            <w:pPr>
              <w:pStyle w:val="TableNumber"/>
            </w:pPr>
            <w:r>
              <w:t>0.00%</w:t>
            </w:r>
          </w:p>
        </w:tc>
      </w:tr>
      <w:tr>
        <w:trPr>
          <w:cantSplit/>
        </w:trPr>
        <w:tc>
          <w:tcPr>
            <w:tcW w:w="700" w:type="dxa"/>
            <w:vAlign w:val="center"/>
          </w:tcPr>
          <w:p>
            <w:pPr>
              <w:pStyle w:val="TableText"/>
            </w:pPr>
            <w:r>
              <w:t>5d</w:t>
            </w:r>
          </w:p>
        </w:tc>
        <w:tc>
          <w:tcPr>
            <w:tcW w:w="1750" w:type="dxa"/>
            <w:vAlign w:val="center"/>
          </w:tcPr>
          <w:p>
            <w:pPr>
              <w:pStyle w:val="TableNumber"/>
            </w:pPr>
            <w:r>
              <w:t>0.00%</w:t>
            </w:r>
          </w:p>
        </w:tc>
        <w:tc>
          <w:tcPr>
            <w:tcW w:w="1650" w:type="dxa"/>
            <w:vAlign w:val="center"/>
          </w:tcPr>
          <w:p>
            <w:pPr>
              <w:pStyle w:val="TableNumber"/>
            </w:pPr>
            <w:r>
              <w:t>87.74%</w:t>
            </w:r>
          </w:p>
        </w:tc>
        <w:tc>
          <w:tcPr>
            <w:tcW w:w="1650" w:type="dxa"/>
            <w:vAlign w:val="center"/>
          </w:tcPr>
          <w:p>
            <w:pPr>
              <w:pStyle w:val="TableNumber"/>
            </w:pPr>
            <w:r>
              <w:t>1.83%</w:t>
            </w:r>
          </w:p>
        </w:tc>
        <w:tc>
          <w:tcPr>
            <w:tcW w:w="1650" w:type="dxa"/>
            <w:vAlign w:val="center"/>
          </w:tcPr>
          <w:p>
            <w:pPr>
              <w:pStyle w:val="TableNumber"/>
            </w:pPr>
            <w:r>
              <w:t>10.42%</w:t>
            </w:r>
          </w:p>
        </w:tc>
        <w:tc>
          <w:tcPr>
            <w:tcW w:w="1960" w:type="dxa"/>
            <w:vAlign w:val="center"/>
          </w:tcPr>
          <w:p>
            <w:pPr>
              <w:pStyle w:val="TableNumber"/>
            </w:pPr>
            <w:r>
              <w:t>0.00%</w:t>
            </w:r>
          </w:p>
        </w:tc>
      </w:tr>
      <w:tr>
        <w:trPr>
          <w:cantSplit/>
        </w:trPr>
        <w:tc>
          <w:tcPr>
            <w:tcW w:w="700" w:type="dxa"/>
            <w:vAlign w:val="center"/>
          </w:tcPr>
          <w:p>
            <w:pPr>
              <w:pStyle w:val="TableText"/>
            </w:pPr>
            <w:r>
              <w:t>6d</w:t>
            </w:r>
          </w:p>
        </w:tc>
        <w:tc>
          <w:tcPr>
            <w:tcW w:w="1750" w:type="dxa"/>
            <w:vAlign w:val="center"/>
          </w:tcPr>
          <w:p>
            <w:pPr>
              <w:pStyle w:val="TableNumber"/>
            </w:pPr>
            <w:r>
              <w:t>0.00%</w:t>
            </w:r>
          </w:p>
        </w:tc>
        <w:tc>
          <w:tcPr>
            <w:tcW w:w="1650" w:type="dxa"/>
            <w:vAlign w:val="center"/>
          </w:tcPr>
          <w:p>
            <w:pPr>
              <w:pStyle w:val="TableNumber"/>
            </w:pPr>
            <w:r>
              <w:t>91.94%</w:t>
            </w:r>
          </w:p>
        </w:tc>
        <w:tc>
          <w:tcPr>
            <w:tcW w:w="1650" w:type="dxa"/>
            <w:vAlign w:val="center"/>
          </w:tcPr>
          <w:p>
            <w:pPr>
              <w:pStyle w:val="TableNumber"/>
            </w:pPr>
            <w:r>
              <w:t>1.31%</w:t>
            </w:r>
          </w:p>
        </w:tc>
        <w:tc>
          <w:tcPr>
            <w:tcW w:w="1650" w:type="dxa"/>
            <w:vAlign w:val="center"/>
          </w:tcPr>
          <w:p>
            <w:pPr>
              <w:pStyle w:val="TableNumber"/>
            </w:pPr>
            <w:r>
              <w:t>6.74%</w:t>
            </w:r>
          </w:p>
        </w:tc>
        <w:tc>
          <w:tcPr>
            <w:tcW w:w="1960" w:type="dxa"/>
            <w:vAlign w:val="center"/>
          </w:tcPr>
          <w:p>
            <w:pPr>
              <w:pStyle w:val="TableNumber"/>
            </w:pPr>
            <w:r>
              <w:t>0.00%</w:t>
            </w:r>
          </w:p>
        </w:tc>
      </w:tr>
      <w:tr>
        <w:trPr>
          <w:cantSplit/>
        </w:trPr>
        <w:tc>
          <w:tcPr>
            <w:tcW w:w="700" w:type="dxa"/>
            <w:vAlign w:val="center"/>
          </w:tcPr>
          <w:p>
            <w:pPr>
              <w:pStyle w:val="TableText"/>
            </w:pPr>
            <w:r>
              <w:t>7d</w:t>
            </w:r>
          </w:p>
        </w:tc>
        <w:tc>
          <w:tcPr>
            <w:tcW w:w="1750" w:type="dxa"/>
            <w:vAlign w:val="center"/>
          </w:tcPr>
          <w:p>
            <w:pPr>
              <w:pStyle w:val="TableNumber"/>
            </w:pPr>
            <w:r>
              <w:t>0.00%</w:t>
            </w:r>
          </w:p>
        </w:tc>
        <w:tc>
          <w:tcPr>
            <w:tcW w:w="1650" w:type="dxa"/>
            <w:vAlign w:val="center"/>
          </w:tcPr>
          <w:p>
            <w:pPr>
              <w:pStyle w:val="TableNumber"/>
            </w:pPr>
            <w:r>
              <w:t>94.67%</w:t>
            </w:r>
          </w:p>
        </w:tc>
        <w:tc>
          <w:tcPr>
            <w:tcW w:w="1650" w:type="dxa"/>
            <w:vAlign w:val="center"/>
          </w:tcPr>
          <w:p>
            <w:pPr>
              <w:pStyle w:val="TableNumber"/>
            </w:pPr>
            <w:r>
              <w:t>0.92%</w:t>
            </w:r>
          </w:p>
        </w:tc>
        <w:tc>
          <w:tcPr>
            <w:tcW w:w="1650" w:type="dxa"/>
            <w:vAlign w:val="center"/>
          </w:tcPr>
          <w:p>
            <w:pPr>
              <w:pStyle w:val="TableNumber"/>
            </w:pPr>
            <w:r>
              <w:t>4.42%</w:t>
            </w:r>
          </w:p>
        </w:tc>
        <w:tc>
          <w:tcPr>
            <w:tcW w:w="1960" w:type="dxa"/>
            <w:vAlign w:val="center"/>
          </w:tcPr>
          <w:p>
            <w:pPr>
              <w:pStyle w:val="TableNumber"/>
            </w:pPr>
            <w:r>
              <w:t>0.00%</w:t>
            </w:r>
          </w:p>
        </w:tc>
      </w:tr>
      <w:tr>
        <w:trPr>
          <w:cantSplit/>
        </w:trPr>
        <w:tc>
          <w:tcPr>
            <w:tcW w:w="700" w:type="dxa"/>
            <w:vAlign w:val="center"/>
          </w:tcPr>
          <w:p>
            <w:pPr>
              <w:pStyle w:val="TableText"/>
            </w:pPr>
            <w:r>
              <w:t>8d</w:t>
            </w:r>
          </w:p>
        </w:tc>
        <w:tc>
          <w:tcPr>
            <w:tcW w:w="1750" w:type="dxa"/>
            <w:vAlign w:val="center"/>
          </w:tcPr>
          <w:p>
            <w:pPr>
              <w:pStyle w:val="TableNumber"/>
            </w:pPr>
            <w:r>
              <w:t>0.00%</w:t>
            </w:r>
          </w:p>
        </w:tc>
        <w:tc>
          <w:tcPr>
            <w:tcW w:w="1650" w:type="dxa"/>
            <w:vAlign w:val="center"/>
          </w:tcPr>
          <w:p>
            <w:pPr>
              <w:pStyle w:val="TableNumber"/>
            </w:pPr>
            <w:r>
              <w:t>94.27%</w:t>
            </w:r>
          </w:p>
        </w:tc>
        <w:tc>
          <w:tcPr>
            <w:tcW w:w="1650" w:type="dxa"/>
            <w:vAlign w:val="center"/>
          </w:tcPr>
          <w:p>
            <w:pPr>
              <w:pStyle w:val="TableNumber"/>
            </w:pPr>
            <w:r>
              <w:t>0.97%</w:t>
            </w:r>
          </w:p>
        </w:tc>
        <w:tc>
          <w:tcPr>
            <w:tcW w:w="1650" w:type="dxa"/>
            <w:vAlign w:val="center"/>
          </w:tcPr>
          <w:p>
            <w:pPr>
              <w:pStyle w:val="TableNumber"/>
            </w:pPr>
            <w:r>
              <w:t>4.75%</w:t>
            </w:r>
          </w:p>
        </w:tc>
        <w:tc>
          <w:tcPr>
            <w:tcW w:w="1960" w:type="dxa"/>
            <w:vAlign w:val="center"/>
          </w:tcPr>
          <w:p>
            <w:pPr>
              <w:pStyle w:val="TableNumber"/>
            </w:pPr>
            <w:r>
              <w:t>0.00%</w:t>
            </w:r>
          </w:p>
        </w:tc>
      </w:tr>
      <w:tr>
        <w:trPr>
          <w:cantSplit/>
        </w:trPr>
        <w:tc>
          <w:tcPr>
            <w:tcW w:w="700" w:type="dxa"/>
            <w:vAlign w:val="center"/>
          </w:tcPr>
          <w:p>
            <w:pPr>
              <w:pStyle w:val="TableText"/>
            </w:pPr>
            <w:r>
              <w:t>9d</w:t>
            </w:r>
          </w:p>
        </w:tc>
        <w:tc>
          <w:tcPr>
            <w:tcW w:w="1750" w:type="dxa"/>
            <w:vAlign w:val="center"/>
          </w:tcPr>
          <w:p>
            <w:pPr>
              <w:pStyle w:val="TableNumber"/>
            </w:pPr>
            <w:r>
              <w:t>0.00%</w:t>
            </w:r>
          </w:p>
        </w:tc>
        <w:tc>
          <w:tcPr>
            <w:tcW w:w="1650" w:type="dxa"/>
            <w:vAlign w:val="center"/>
          </w:tcPr>
          <w:p>
            <w:pPr>
              <w:pStyle w:val="TableNumber"/>
            </w:pPr>
            <w:r>
              <w:t>95.23%</w:t>
            </w:r>
          </w:p>
        </w:tc>
        <w:tc>
          <w:tcPr>
            <w:tcW w:w="1650" w:type="dxa"/>
            <w:vAlign w:val="center"/>
          </w:tcPr>
          <w:p>
            <w:pPr>
              <w:pStyle w:val="TableNumber"/>
            </w:pPr>
            <w:r>
              <w:t>0.92%</w:t>
            </w:r>
          </w:p>
        </w:tc>
        <w:tc>
          <w:tcPr>
            <w:tcW w:w="1650" w:type="dxa"/>
            <w:vAlign w:val="center"/>
          </w:tcPr>
          <w:p>
            <w:pPr>
              <w:pStyle w:val="TableNumber"/>
            </w:pPr>
            <w:r>
              <w:t>3.84%</w:t>
            </w:r>
          </w:p>
        </w:tc>
        <w:tc>
          <w:tcPr>
            <w:tcW w:w="1960" w:type="dxa"/>
            <w:vAlign w:val="center"/>
          </w:tcPr>
          <w:p>
            <w:pPr>
              <w:pStyle w:val="TableNumber"/>
            </w:pPr>
            <w:r>
              <w:t>0.00%</w:t>
            </w:r>
          </w:p>
        </w:tc>
      </w:tr>
      <w:tr>
        <w:trPr>
          <w:cantSplit/>
        </w:trPr>
        <w:tc>
          <w:tcPr>
            <w:tcW w:w="700" w:type="dxa"/>
            <w:vAlign w:val="center"/>
          </w:tcPr>
          <w:p>
            <w:pPr>
              <w:pStyle w:val="TableText"/>
            </w:pPr>
            <w:r>
              <w:t>10d</w:t>
            </w:r>
          </w:p>
        </w:tc>
        <w:tc>
          <w:tcPr>
            <w:tcW w:w="1750" w:type="dxa"/>
            <w:vAlign w:val="center"/>
          </w:tcPr>
          <w:p>
            <w:pPr>
              <w:pStyle w:val="TableNumber"/>
            </w:pPr>
            <w:r>
              <w:t>0.00%</w:t>
            </w:r>
          </w:p>
        </w:tc>
        <w:tc>
          <w:tcPr>
            <w:tcW w:w="1650" w:type="dxa"/>
            <w:vAlign w:val="center"/>
          </w:tcPr>
          <w:p>
            <w:pPr>
              <w:pStyle w:val="TableNumber"/>
            </w:pPr>
            <w:r>
              <w:t>95.22%</w:t>
            </w:r>
          </w:p>
        </w:tc>
        <w:tc>
          <w:tcPr>
            <w:tcW w:w="1650" w:type="dxa"/>
            <w:vAlign w:val="center"/>
          </w:tcPr>
          <w:p>
            <w:pPr>
              <w:pStyle w:val="TableNumber"/>
            </w:pPr>
            <w:r>
              <w:t>0.64%</w:t>
            </w:r>
          </w:p>
        </w:tc>
        <w:tc>
          <w:tcPr>
            <w:tcW w:w="1650" w:type="dxa"/>
            <w:vAlign w:val="center"/>
          </w:tcPr>
          <w:p>
            <w:pPr>
              <w:pStyle w:val="TableNumber"/>
            </w:pPr>
            <w:r>
              <w:t>4.15%</w:t>
            </w:r>
          </w:p>
        </w:tc>
        <w:tc>
          <w:tcPr>
            <w:tcW w:w="1960" w:type="dxa"/>
            <w:vAlign w:val="center"/>
          </w:tcPr>
          <w:p>
            <w:pPr>
              <w:pStyle w:val="TableNumber"/>
            </w:pPr>
            <w:r>
              <w:t>0.00%</w:t>
            </w:r>
          </w:p>
        </w:tc>
      </w:tr>
      <w:tr>
        <w:trPr>
          <w:cantSplit/>
        </w:trPr>
        <w:tc>
          <w:tcPr>
            <w:tcW w:w="700" w:type="dxa"/>
            <w:vAlign w:val="center"/>
          </w:tcPr>
          <w:p>
            <w:pPr>
              <w:pStyle w:val="TableText"/>
            </w:pPr>
            <w:r>
              <w:t>11d</w:t>
            </w:r>
          </w:p>
        </w:tc>
        <w:tc>
          <w:tcPr>
            <w:tcW w:w="1750" w:type="dxa"/>
            <w:vAlign w:val="center"/>
          </w:tcPr>
          <w:p>
            <w:pPr>
              <w:pStyle w:val="TableNumber"/>
            </w:pPr>
            <w:r>
              <w:t>0.00%</w:t>
            </w:r>
          </w:p>
        </w:tc>
        <w:tc>
          <w:tcPr>
            <w:tcW w:w="1650" w:type="dxa"/>
            <w:vAlign w:val="center"/>
          </w:tcPr>
          <w:p>
            <w:pPr>
              <w:pStyle w:val="TableNumber"/>
            </w:pPr>
            <w:r>
              <w:t>93.64%</w:t>
            </w:r>
          </w:p>
        </w:tc>
        <w:tc>
          <w:tcPr>
            <w:tcW w:w="1650" w:type="dxa"/>
            <w:vAlign w:val="center"/>
          </w:tcPr>
          <w:p>
            <w:pPr>
              <w:pStyle w:val="TableNumber"/>
            </w:pPr>
            <w:r>
              <w:t>0.91%</w:t>
            </w:r>
          </w:p>
        </w:tc>
        <w:tc>
          <w:tcPr>
            <w:tcW w:w="1650" w:type="dxa"/>
            <w:vAlign w:val="center"/>
          </w:tcPr>
          <w:p>
            <w:pPr>
              <w:pStyle w:val="TableNumber"/>
            </w:pPr>
            <w:r>
              <w:t>5.46%</w:t>
            </w:r>
          </w:p>
        </w:tc>
        <w:tc>
          <w:tcPr>
            <w:tcW w:w="1960" w:type="dxa"/>
            <w:vAlign w:val="center"/>
          </w:tcPr>
          <w:p>
            <w:pPr>
              <w:pStyle w:val="TableNumber"/>
            </w:pPr>
            <w:r>
              <w:t>0.00%</w:t>
            </w:r>
          </w:p>
        </w:tc>
      </w:tr>
      <w:tr>
        <w:trPr>
          <w:cantSplit/>
        </w:trPr>
        <w:tc>
          <w:tcPr>
            <w:tcW w:w="700" w:type="dxa"/>
            <w:vAlign w:val="center"/>
          </w:tcPr>
          <w:p>
            <w:pPr>
              <w:pStyle w:val="TableText"/>
            </w:pPr>
            <w:r>
              <w:t>12d</w:t>
            </w:r>
          </w:p>
        </w:tc>
        <w:tc>
          <w:tcPr>
            <w:tcW w:w="1750" w:type="dxa"/>
            <w:vAlign w:val="center"/>
          </w:tcPr>
          <w:p>
            <w:pPr>
              <w:pStyle w:val="TableNumber"/>
            </w:pPr>
            <w:r>
              <w:t>0.00%</w:t>
            </w:r>
          </w:p>
        </w:tc>
        <w:tc>
          <w:tcPr>
            <w:tcW w:w="1650" w:type="dxa"/>
            <w:vAlign w:val="center"/>
          </w:tcPr>
          <w:p>
            <w:pPr>
              <w:pStyle w:val="TableNumber"/>
            </w:pPr>
            <w:r>
              <w:t>97.27%</w:t>
            </w:r>
          </w:p>
        </w:tc>
        <w:tc>
          <w:tcPr>
            <w:tcW w:w="1650" w:type="dxa"/>
            <w:vAlign w:val="center"/>
          </w:tcPr>
          <w:p>
            <w:pPr>
              <w:pStyle w:val="TableNumber"/>
            </w:pPr>
            <w:r>
              <w:t>0.60%</w:t>
            </w:r>
          </w:p>
        </w:tc>
        <w:tc>
          <w:tcPr>
            <w:tcW w:w="1650" w:type="dxa"/>
            <w:vAlign w:val="center"/>
          </w:tcPr>
          <w:p>
            <w:pPr>
              <w:pStyle w:val="TableNumber"/>
            </w:pPr>
            <w:r>
              <w:t>2.12%</w:t>
            </w:r>
          </w:p>
        </w:tc>
        <w:tc>
          <w:tcPr>
            <w:tcW w:w="1960" w:type="dxa"/>
            <w:vAlign w:val="center"/>
          </w:tcPr>
          <w:p>
            <w:pPr>
              <w:pStyle w:val="TableNumber"/>
            </w:pPr>
            <w:r>
              <w:t>0.00%</w:t>
            </w:r>
          </w:p>
        </w:tc>
      </w:tr>
      <w:tr>
        <w:trPr>
          <w:cantSplit/>
        </w:trPr>
        <w:tc>
          <w:tcPr>
            <w:tcW w:w="700" w:type="dxa"/>
            <w:vAlign w:val="center"/>
          </w:tcPr>
          <w:p>
            <w:pPr>
              <w:pStyle w:val="TableText"/>
            </w:pPr>
            <w:r>
              <w:t>13d</w:t>
            </w:r>
          </w:p>
        </w:tc>
        <w:tc>
          <w:tcPr>
            <w:tcW w:w="1750" w:type="dxa"/>
            <w:vAlign w:val="center"/>
          </w:tcPr>
          <w:p>
            <w:pPr>
              <w:pStyle w:val="TableNumber"/>
            </w:pPr>
            <w:r>
              <w:t>0.00%</w:t>
            </w:r>
          </w:p>
        </w:tc>
        <w:tc>
          <w:tcPr>
            <w:tcW w:w="1650" w:type="dxa"/>
            <w:vAlign w:val="center"/>
          </w:tcPr>
          <w:p>
            <w:pPr>
              <w:pStyle w:val="TableNumber"/>
            </w:pPr>
            <w:r>
              <w:t>95.77%</w:t>
            </w:r>
          </w:p>
        </w:tc>
        <w:tc>
          <w:tcPr>
            <w:tcW w:w="1650" w:type="dxa"/>
            <w:vAlign w:val="center"/>
          </w:tcPr>
          <w:p>
            <w:pPr>
              <w:pStyle w:val="TableNumber"/>
            </w:pPr>
            <w:r>
              <w:t>0.43%</w:t>
            </w:r>
          </w:p>
        </w:tc>
        <w:tc>
          <w:tcPr>
            <w:tcW w:w="1650" w:type="dxa"/>
            <w:vAlign w:val="center"/>
          </w:tcPr>
          <w:p>
            <w:pPr>
              <w:pStyle w:val="TableNumber"/>
            </w:pPr>
            <w:r>
              <w:t>3.81%</w:t>
            </w:r>
          </w:p>
        </w:tc>
        <w:tc>
          <w:tcPr>
            <w:tcW w:w="1960" w:type="dxa"/>
            <w:vAlign w:val="center"/>
          </w:tcPr>
          <w:p>
            <w:pPr>
              <w:pStyle w:val="TableNumber"/>
            </w:pPr>
            <w:r>
              <w:t>0.00%</w:t>
            </w:r>
          </w:p>
        </w:tc>
      </w:tr>
      <w:tr>
        <w:trPr>
          <w:cantSplit/>
        </w:trPr>
        <w:tc>
          <w:tcPr>
            <w:tcW w:w="700" w:type="dxa"/>
            <w:vAlign w:val="center"/>
          </w:tcPr>
          <w:p>
            <w:pPr>
              <w:pStyle w:val="TableText"/>
            </w:pPr>
            <w:r>
              <w:t>14d</w:t>
            </w:r>
          </w:p>
        </w:tc>
        <w:tc>
          <w:tcPr>
            <w:tcW w:w="1750" w:type="dxa"/>
            <w:vAlign w:val="center"/>
          </w:tcPr>
          <w:p>
            <w:pPr>
              <w:pStyle w:val="TableNumber"/>
            </w:pPr>
            <w:r>
              <w:t>0.00%</w:t>
            </w:r>
          </w:p>
        </w:tc>
        <w:tc>
          <w:tcPr>
            <w:tcW w:w="1650" w:type="dxa"/>
            <w:vAlign w:val="center"/>
          </w:tcPr>
          <w:p>
            <w:pPr>
              <w:pStyle w:val="TableNumber"/>
            </w:pPr>
            <w:r>
              <w:t>95.59%</w:t>
            </w:r>
          </w:p>
        </w:tc>
        <w:tc>
          <w:tcPr>
            <w:tcW w:w="1650" w:type="dxa"/>
            <w:vAlign w:val="center"/>
          </w:tcPr>
          <w:p>
            <w:pPr>
              <w:pStyle w:val="TableNumber"/>
            </w:pPr>
            <w:r>
              <w:t>0.36%</w:t>
            </w:r>
          </w:p>
        </w:tc>
        <w:tc>
          <w:tcPr>
            <w:tcW w:w="1650" w:type="dxa"/>
            <w:vAlign w:val="center"/>
          </w:tcPr>
          <w:p>
            <w:pPr>
              <w:pStyle w:val="TableNumber"/>
            </w:pPr>
            <w:r>
              <w:t>4.05%</w:t>
            </w:r>
          </w:p>
        </w:tc>
        <w:tc>
          <w:tcPr>
            <w:tcW w:w="1960" w:type="dxa"/>
            <w:vAlign w:val="center"/>
          </w:tcPr>
          <w:p>
            <w:pPr>
              <w:pStyle w:val="TableNumber"/>
            </w:pPr>
            <w:r>
              <w:t>0.00%</w:t>
            </w:r>
          </w:p>
        </w:tc>
      </w:tr>
    </w:tbl>
    <w:p>
      <w:pPr>
        <w:pStyle w:val="11"/>
      </w:pPr>
      <w:r>
        <w:t>8. Artifact 與訓練欄位：避免讀錯 JSON</w:t>
      </w:r>
    </w:p>
    <w:tbl>
      <w:tblPr>
        <w:tblStyle w:val="BenchmarkTable"/>
        <w:tblW w:w="9360" w:type="dxa"/>
        <w:tblLayout w:type="fixed"/>
      </w:tblPr>
      <w:tblGrid>
        <w:gridCol w:w="1900"/>
        <w:gridCol w:w="2200"/>
        <w:gridCol w:w="3150"/>
        <w:gridCol w:w="2110"/>
      </w:tblGrid>
      <w:tr>
        <w:trPr>
          <w:tblHeader/>
        </w:trPr>
        <w:tc>
          <w:tcPr>
            <w:tcW w:w="1900" w:type="dxa"/>
            <w:shd w:val="clear" w:fill="DCE6F1"/>
            <w:vAlign w:val="center"/>
          </w:tcPr>
          <w:p>
            <w:pPr>
              <w:pStyle w:val="TableHeader"/>
            </w:pPr>
            <w:r>
              <w:t>區塊／欄位</w:t>
            </w:r>
          </w:p>
        </w:tc>
        <w:tc>
          <w:tcPr>
            <w:tcW w:w="2200" w:type="dxa"/>
            <w:shd w:val="clear" w:fill="DCE6F1"/>
            <w:vAlign w:val="center"/>
          </w:tcPr>
          <w:p>
            <w:pPr>
              <w:pStyle w:val="TableHeader"/>
            </w:pPr>
            <w:r>
              <w:t>白話意思</w:t>
            </w:r>
          </w:p>
        </w:tc>
        <w:tc>
          <w:tcPr>
            <w:tcW w:w="3150" w:type="dxa"/>
            <w:shd w:val="clear" w:fill="DCE6F1"/>
            <w:vAlign w:val="center"/>
          </w:tcPr>
          <w:p>
            <w:pPr>
              <w:pStyle w:val="TableHeader"/>
            </w:pPr>
            <w:r>
              <w:t>實際計算或來源</w:t>
            </w:r>
          </w:p>
        </w:tc>
        <w:tc>
          <w:tcPr>
            <w:tcW w:w="2110" w:type="dxa"/>
            <w:shd w:val="clear" w:fill="DCE6F1"/>
            <w:vAlign w:val="center"/>
          </w:tcPr>
          <w:p>
            <w:pPr>
              <w:pStyle w:val="TableHeader"/>
            </w:pPr>
            <w:r>
              <w:t>本次與注意事項</w:t>
            </w:r>
          </w:p>
        </w:tc>
      </w:tr>
      <w:tr>
        <w:trPr>
          <w:cantSplit/>
        </w:trPr>
        <w:tc>
          <w:tcPr>
            <w:tcW w:w="1900" w:type="dxa"/>
            <w:vAlign w:val="center"/>
          </w:tcPr>
          <w:p>
            <w:pPr>
              <w:pStyle w:val="TableText"/>
            </w:pPr>
            <w:r>
              <w:t>per_horizon/1d…14d</w:t>
            </w:r>
          </w:p>
        </w:tc>
        <w:tc>
          <w:tcPr>
            <w:tcW w:w="2200" w:type="dxa"/>
            <w:vAlign w:val="center"/>
          </w:tcPr>
          <w:p>
            <w:pPr>
              <w:pStyle w:val="TableText"/>
            </w:pPr>
            <w:r>
              <w:t>14 張逐日成績單</w:t>
            </w:r>
          </w:p>
        </w:tc>
        <w:tc>
          <w:tcPr>
            <w:tcW w:w="3150" w:type="dxa"/>
            <w:vAlign w:val="center"/>
          </w:tcPr>
          <w:p>
            <w:pPr>
              <w:pStyle w:val="TableText"/>
            </w:pPr>
            <w:r>
              <w:t>每個 horizon 獨立計算 9 個 forecast metrics</w:t>
            </w:r>
          </w:p>
        </w:tc>
        <w:tc>
          <w:tcPr>
            <w:tcW w:w="2110" w:type="dxa"/>
            <w:vAlign w:val="center"/>
          </w:tcPr>
          <w:p>
            <w:pPr>
              <w:pStyle w:val="TableText"/>
            </w:pPr>
            <w:r>
              <w:t>比較持有期一律讀這裡</w:t>
            </w:r>
          </w:p>
        </w:tc>
      </w:tr>
      <w:tr>
        <w:trPr>
          <w:cantSplit/>
        </w:trPr>
        <w:tc>
          <w:tcPr>
            <w:tcW w:w="1900" w:type="dxa"/>
            <w:vAlign w:val="center"/>
          </w:tcPr>
          <w:p>
            <w:pPr>
              <w:pStyle w:val="TableText"/>
            </w:pPr>
            <w:r>
              <w:t>aggregate</w:t>
            </w:r>
          </w:p>
        </w:tc>
        <w:tc>
          <w:tcPr>
            <w:tcW w:w="2200" w:type="dxa"/>
            <w:vAlign w:val="center"/>
          </w:tcPr>
          <w:p>
            <w:pPr>
              <w:pStyle w:val="TableText"/>
            </w:pPr>
            <w:r>
              <w:t>14 張成績單的摘要</w:t>
            </w:r>
          </w:p>
        </w:tc>
        <w:tc>
          <w:tcPr>
            <w:tcW w:w="3150" w:type="dxa"/>
            <w:vAlign w:val="center"/>
          </w:tcPr>
          <w:p>
            <w:pPr>
              <w:pStyle w:val="TableText"/>
            </w:pPr>
            <w:r>
              <w:t>對 per-horizon 指標平均；selection score=N-pinball 平均</w:t>
            </w:r>
          </w:p>
        </w:tc>
        <w:tc>
          <w:tcPr>
            <w:tcW w:w="2110" w:type="dxa"/>
            <w:vAlign w:val="center"/>
          </w:tcPr>
          <w:p>
            <w:pPr>
              <w:pStyle w:val="TableText"/>
            </w:pPr>
            <w:r>
              <w:t>不是把所有 14×樣本展平後重算</w:t>
            </w:r>
          </w:p>
        </w:tc>
      </w:tr>
      <w:tr>
        <w:trPr>
          <w:cantSplit/>
        </w:trPr>
        <w:tc>
          <w:tcPr>
            <w:tcW w:w="1900" w:type="dxa"/>
            <w:vAlign w:val="center"/>
          </w:tcPr>
          <w:p>
            <w:pPr>
              <w:pStyle w:val="TableText"/>
            </w:pPr>
            <w:r>
              <w:t>primary_5d</w:t>
            </w:r>
          </w:p>
        </w:tc>
        <w:tc>
          <w:tcPr>
            <w:tcW w:w="2200" w:type="dxa"/>
            <w:vAlign w:val="center"/>
          </w:tcPr>
          <w:p>
            <w:pPr>
              <w:pStyle w:val="TableText"/>
            </w:pPr>
            <w:r>
              <w:t>舊監控相容路徑</w:t>
            </w:r>
          </w:p>
        </w:tc>
        <w:tc>
          <w:tcPr>
            <w:tcW w:w="3150" w:type="dxa"/>
            <w:vAlign w:val="center"/>
          </w:tcPr>
          <w:p>
            <w:pPr>
              <w:pStyle w:val="TableText"/>
            </w:pPr>
            <w:r>
              <w:t>除 selection_score 外，其餘欄位取 per_horizon/5d</w:t>
            </w:r>
          </w:p>
        </w:tc>
        <w:tc>
          <w:tcPr>
            <w:tcW w:w="2110" w:type="dxa"/>
            <w:vAlign w:val="center"/>
          </w:tcPr>
          <w:p>
            <w:pPr>
              <w:pStyle w:val="TableText"/>
            </w:pPr>
            <w:r>
              <w:t>selection_score 例外，仍涵蓋 1–14 日</w:t>
            </w:r>
          </w:p>
        </w:tc>
      </w:tr>
      <w:tr>
        <w:trPr>
          <w:cantSplit/>
        </w:trPr>
        <w:tc>
          <w:tcPr>
            <w:tcW w:w="1900" w:type="dxa"/>
            <w:vAlign w:val="center"/>
          </w:tcPr>
          <w:p>
            <w:pPr>
              <w:pStyle w:val="TableText"/>
            </w:pPr>
            <w:r>
              <w:t>loss</w:t>
            </w:r>
          </w:p>
        </w:tc>
        <w:tc>
          <w:tcPr>
            <w:tcW w:w="2200" w:type="dxa"/>
            <w:vAlign w:val="center"/>
          </w:tcPr>
          <w:p>
            <w:pPr>
              <w:pStyle w:val="TableText"/>
            </w:pPr>
            <w:r>
              <w:t>validation batch loss 的平均</w:t>
            </w:r>
          </w:p>
        </w:tc>
        <w:tc>
          <w:tcPr>
            <w:tcW w:w="3150" w:type="dxa"/>
            <w:vAlign w:val="center"/>
          </w:tcPr>
          <w:p>
            <w:pPr>
              <w:pStyle w:val="TableText"/>
            </w:pPr>
            <w:r>
              <w:t>evaluate_loader 收集每個 batch 的 output.loss 再平均</w:t>
            </w:r>
          </w:p>
        </w:tc>
        <w:tc>
          <w:tcPr>
            <w:tcW w:w="2110" w:type="dxa"/>
            <w:vAlign w:val="center"/>
          </w:tcPr>
          <w:p>
            <w:pPr>
              <w:pStyle w:val="TableText"/>
            </w:pPr>
            <w:r>
              <w:t>診斷用；批次平均權重可能與 artifact score 略有差異</w:t>
            </w:r>
          </w:p>
        </w:tc>
      </w:tr>
      <w:tr>
        <w:trPr>
          <w:cantSplit/>
        </w:trPr>
        <w:tc>
          <w:tcPr>
            <w:tcW w:w="1900" w:type="dxa"/>
            <w:vAlign w:val="center"/>
          </w:tcPr>
          <w:p>
            <w:pPr>
              <w:pStyle w:val="TableText"/>
            </w:pPr>
            <w:r>
              <w:t>cross_sectional_by_horizon</w:t>
            </w:r>
          </w:p>
        </w:tc>
        <w:tc>
          <w:tcPr>
            <w:tcW w:w="2200" w:type="dxa"/>
            <w:vAlign w:val="center"/>
          </w:tcPr>
          <w:p>
            <w:pPr>
              <w:pStyle w:val="TableText"/>
            </w:pPr>
            <w:r>
              <w:t>14 張同日選股／投組診斷</w:t>
            </w:r>
          </w:p>
        </w:tc>
        <w:tc>
          <w:tcPr>
            <w:tcW w:w="3150" w:type="dxa"/>
            <w:vAlign w:val="center"/>
          </w:tcPr>
          <w:p>
            <w:pPr>
              <w:pStyle w:val="TableText"/>
            </w:pPr>
            <w:r>
              <w:t>每個 horizon 各算 RankIC、ICIR、net、Sharpe、MDD、turnover</w:t>
            </w:r>
          </w:p>
        </w:tc>
        <w:tc>
          <w:tcPr>
            <w:tcW w:w="2110" w:type="dxa"/>
            <w:vAlign w:val="center"/>
          </w:tcPr>
          <w:p>
            <w:pPr>
              <w:pStyle w:val="TableText"/>
            </w:pPr>
            <w:r>
              <w:t>正式 all-horizon 報告應全列</w:t>
            </w:r>
          </w:p>
        </w:tc>
      </w:tr>
      <w:tr>
        <w:trPr>
          <w:cantSplit/>
        </w:trPr>
        <w:tc>
          <w:tcPr>
            <w:tcW w:w="1900" w:type="dxa"/>
            <w:vAlign w:val="center"/>
          </w:tcPr>
          <w:p>
            <w:pPr>
              <w:pStyle w:val="TableText"/>
            </w:pPr>
            <w:r>
              <w:t>cross_sectional_5d</w:t>
            </w:r>
          </w:p>
        </w:tc>
        <w:tc>
          <w:tcPr>
            <w:tcW w:w="2200" w:type="dxa"/>
            <w:vAlign w:val="center"/>
          </w:tcPr>
          <w:p>
            <w:pPr>
              <w:pStyle w:val="TableText"/>
            </w:pPr>
            <w:r>
              <w:t>第 5 日相容別名</w:t>
            </w:r>
          </w:p>
        </w:tc>
        <w:tc>
          <w:tcPr>
            <w:tcW w:w="3150" w:type="dxa"/>
            <w:vAlign w:val="center"/>
          </w:tcPr>
          <w:p>
            <w:pPr>
              <w:pStyle w:val="TableText"/>
            </w:pPr>
            <w:r>
              <w:t>指向 cross_sectional_by_horizon/5d</w:t>
            </w:r>
          </w:p>
        </w:tc>
        <w:tc>
          <w:tcPr>
            <w:tcW w:w="2110" w:type="dxa"/>
            <w:vAlign w:val="center"/>
          </w:tcPr>
          <w:p>
            <w:pPr>
              <w:pStyle w:val="TableText"/>
            </w:pPr>
            <w:r>
              <w:t>不得代替其他 13 個 horizon</w:t>
            </w:r>
          </w:p>
        </w:tc>
      </w:tr>
    </w:tbl>
    <w:p>
      <w:pPr>
        <w:pStyle w:val="31"/>
      </w:pPr>
      <w:r>
        <w:t>8.1 Training loss／優化器實際最小化的數字</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訓練每個 batch 時，模型用 normalized pinball 判斷參數更新方向；validation 的 loss 是各 batch loss 再平均的監控值。</w:t>
            </w:r>
          </w:p>
        </w:tc>
      </w:tr>
      <w:tr>
        <w:trPr>
          <w:cantSplit/>
        </w:trPr>
        <w:tc>
          <w:tcPr>
            <w:tcW w:w="1900" w:type="dxa"/>
            <w:vAlign w:val="center"/>
          </w:tcPr>
          <w:p>
            <w:pPr>
              <w:pStyle w:val="TableText"/>
            </w:pPr>
            <w:r>
              <w:t>股票情境</w:t>
            </w:r>
          </w:p>
        </w:tc>
        <w:tc>
          <w:tcPr>
            <w:tcW w:w="7460" w:type="dxa"/>
            <w:vAlign w:val="center"/>
          </w:tcPr>
          <w:p>
            <w:pPr>
              <w:pStyle w:val="TableText"/>
            </w:pPr>
            <w:r>
              <w:t>如果某 batch 14 日都有有效 target，會把每個 error 先除該日 scale，再按 q10/q50/q90 pinball 加總平均。最後一個 batch 若較小，evaluate_loader 仍對 batch loss 等權平均，因此不一定與全樣本一次計算的 score 完全相同。</w:t>
            </w:r>
          </w:p>
        </w:tc>
      </w:tr>
      <w:tr>
        <w:trPr>
          <w:cantSplit/>
        </w:trPr>
        <w:tc>
          <w:tcPr>
            <w:tcW w:w="1900" w:type="dxa"/>
            <w:vAlign w:val="center"/>
          </w:tcPr>
          <w:p>
            <w:pPr>
              <w:pStyle w:val="TableText"/>
            </w:pPr>
            <w:r>
              <w:t>實際計算</w:t>
            </w:r>
          </w:p>
        </w:tc>
        <w:tc>
          <w:tcPr>
            <w:tcW w:w="7460" w:type="dxa"/>
            <w:vAlign w:val="center"/>
          </w:tcPr>
          <w:p>
            <w:pPr>
              <w:pStyle w:val="TableText"/>
            </w:pPr>
            <w:r>
              <w:t>errors=(target−prediction)/scale；loss=max(τe,(τ−1)e)，只對 finite targets 加權；batch loss=sum(losses×valid weights)/sum(valid weights)。validation loss=mean(batch losses)。</w:t>
            </w:r>
          </w:p>
        </w:tc>
      </w:tr>
      <w:tr>
        <w:trPr>
          <w:cantSplit/>
        </w:trPr>
        <w:tc>
          <w:tcPr>
            <w:tcW w:w="1900" w:type="dxa"/>
            <w:vAlign w:val="center"/>
          </w:tcPr>
          <w:p>
            <w:pPr>
              <w:pStyle w:val="TableText"/>
            </w:pPr>
            <w:r>
              <w:t>怎麼判讀</w:t>
            </w:r>
          </w:p>
        </w:tc>
        <w:tc>
          <w:tcPr>
            <w:tcW w:w="7460" w:type="dxa"/>
            <w:vAlign w:val="center"/>
          </w:tcPr>
          <w:p>
            <w:pPr>
              <w:pStyle w:val="TableText"/>
            </w:pPr>
            <w:r>
              <w:t>同一訓練過程通常越低越好，用來看收斂；正式選 checkpoint 仍用 artifact selection score。</w:t>
            </w:r>
          </w:p>
        </w:tc>
      </w:tr>
      <w:tr>
        <w:trPr>
          <w:cantSplit/>
        </w:trPr>
        <w:tc>
          <w:tcPr>
            <w:tcW w:w="1900" w:type="dxa"/>
            <w:vAlign w:val="center"/>
          </w:tcPr>
          <w:p>
            <w:pPr>
              <w:pStyle w:val="TableText"/>
            </w:pPr>
            <w:r>
              <w:t>本次 run</w:t>
            </w:r>
          </w:p>
        </w:tc>
        <w:tc>
          <w:tcPr>
            <w:tcW w:w="7460" w:type="dxa"/>
            <w:vAlign w:val="center"/>
          </w:tcPr>
          <w:p>
            <w:pPr>
              <w:pStyle w:val="TableText"/>
            </w:pPr>
            <w:r>
              <w:t>本次共 10 次 validation evaluations；best checkpoint 是 checkpoint-003908，selection score=0.314759。</w:t>
            </w:r>
          </w:p>
        </w:tc>
      </w:tr>
      <w:tr>
        <w:trPr>
          <w:cantSplit/>
        </w:trPr>
        <w:tc>
          <w:tcPr>
            <w:tcW w:w="1900" w:type="dxa"/>
            <w:vAlign w:val="center"/>
          </w:tcPr>
          <w:p>
            <w:pPr>
              <w:pStyle w:val="TableText"/>
            </w:pPr>
            <w:r>
              <w:t>不能這樣解讀</w:t>
            </w:r>
          </w:p>
        </w:tc>
        <w:tc>
          <w:tcPr>
            <w:tcW w:w="7460" w:type="dxa"/>
            <w:vAlign w:val="center"/>
          </w:tcPr>
          <w:p>
            <w:pPr>
              <w:pStyle w:val="TableText"/>
            </w:pPr>
            <w:r>
              <w:t>不要把 loss 當報酬，也不要因 training loss 降低便宣稱 validation 或 test 改善。</w:t>
            </w:r>
          </w:p>
        </w:tc>
      </w:tr>
      <w:tr>
        <w:trPr>
          <w:cantSplit/>
        </w:trPr>
        <w:tc>
          <w:tcPr>
            <w:tcW w:w="1900" w:type="dxa"/>
            <w:vAlign w:val="center"/>
          </w:tcPr>
          <w:p>
            <w:pPr>
              <w:pStyle w:val="TableText"/>
            </w:pPr>
            <w:r>
              <w:t>應搭配閱讀</w:t>
            </w:r>
          </w:p>
        </w:tc>
        <w:tc>
          <w:tcPr>
            <w:tcW w:w="7460" w:type="dxa"/>
            <w:vAlign w:val="center"/>
          </w:tcPr>
          <w:p>
            <w:pPr>
              <w:pStyle w:val="TableText"/>
            </w:pPr>
            <w:r>
              <w:t>validation selection score 與 checkpoint 曲線。</w:t>
            </w:r>
          </w:p>
        </w:tc>
      </w:tr>
    </w:tbl>
    <w:p>
      <w:pPr>
        <w:pStyle w:val="31"/>
      </w:pPr>
      <w:r>
        <w:t>8.2 global_step、epoch、validation_evaluations／訓練進度</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global_step 是做了幾次 optimizer update；epoch 是完成幾輪取樣器；validation_evaluations 是中途評估幾次。它們描述訓練進度，不是模型品質。</w:t>
            </w:r>
          </w:p>
        </w:tc>
      </w:tr>
      <w:tr>
        <w:trPr>
          <w:cantSplit/>
        </w:trPr>
        <w:tc>
          <w:tcPr>
            <w:tcW w:w="1900" w:type="dxa"/>
            <w:vAlign w:val="center"/>
          </w:tcPr>
          <w:p>
            <w:pPr>
              <w:pStyle w:val="TableText"/>
            </w:pPr>
            <w:r>
              <w:t>股票情境</w:t>
            </w:r>
          </w:p>
        </w:tc>
        <w:tc>
          <w:tcPr>
            <w:tcW w:w="7460" w:type="dxa"/>
            <w:vAlign w:val="center"/>
          </w:tcPr>
          <w:p>
            <w:pPr>
              <w:pStyle w:val="TableText"/>
            </w:pPr>
            <w:r>
              <w:t>global_step=3,908 不代表看過 3,908 檔股票或 3,908 天；每 step 可能含一整個 batch。epoch=2.0 表示依本次 sampler 設定走完兩輪。</w:t>
            </w:r>
          </w:p>
        </w:tc>
      </w:tr>
      <w:tr>
        <w:trPr>
          <w:cantSplit/>
        </w:trPr>
        <w:tc>
          <w:tcPr>
            <w:tcW w:w="1900" w:type="dxa"/>
            <w:vAlign w:val="center"/>
          </w:tcPr>
          <w:p>
            <w:pPr>
              <w:pStyle w:val="TableText"/>
            </w:pPr>
            <w:r>
              <w:t>實際計算</w:t>
            </w:r>
          </w:p>
        </w:tc>
        <w:tc>
          <w:tcPr>
            <w:tcW w:w="7460" w:type="dxa"/>
            <w:vAlign w:val="center"/>
          </w:tcPr>
          <w:p>
            <w:pPr>
              <w:pStyle w:val="TableText"/>
            </w:pPr>
            <w:r>
              <w:t>每次 optimizer.step 後 global_step+1；epoch 由 train sampler 進度紀錄；validation_evaluations 依固定 cadence 累加。</w:t>
            </w:r>
          </w:p>
        </w:tc>
      </w:tr>
      <w:tr>
        <w:trPr>
          <w:cantSplit/>
        </w:trPr>
        <w:tc>
          <w:tcPr>
            <w:tcW w:w="1900" w:type="dxa"/>
            <w:vAlign w:val="center"/>
          </w:tcPr>
          <w:p>
            <w:pPr>
              <w:pStyle w:val="TableText"/>
            </w:pPr>
            <w:r>
              <w:t>怎麼判讀</w:t>
            </w:r>
          </w:p>
        </w:tc>
        <w:tc>
          <w:tcPr>
            <w:tcW w:w="7460" w:type="dxa"/>
            <w:vAlign w:val="center"/>
          </w:tcPr>
          <w:p>
            <w:pPr>
              <w:pStyle w:val="TableText"/>
            </w:pPr>
            <w:r>
              <w:t>用來定位 checkpoint、重現訓練與判斷是否按計畫結束。</w:t>
            </w:r>
          </w:p>
        </w:tc>
      </w:tr>
      <w:tr>
        <w:trPr>
          <w:cantSplit/>
        </w:trPr>
        <w:tc>
          <w:tcPr>
            <w:tcW w:w="1900" w:type="dxa"/>
            <w:vAlign w:val="center"/>
          </w:tcPr>
          <w:p>
            <w:pPr>
              <w:pStyle w:val="TableText"/>
            </w:pPr>
            <w:r>
              <w:t>本次 run</w:t>
            </w:r>
          </w:p>
        </w:tc>
        <w:tc>
          <w:tcPr>
            <w:tcW w:w="7460" w:type="dxa"/>
            <w:vAlign w:val="center"/>
          </w:tcPr>
          <w:p>
            <w:pPr>
              <w:pStyle w:val="TableText"/>
            </w:pPr>
            <w:r>
              <w:t>global_step=3,908；epoch=2.0；validation_evaluations=10；停止原因 epochs_completed。</w:t>
            </w:r>
          </w:p>
        </w:tc>
      </w:tr>
      <w:tr>
        <w:trPr>
          <w:cantSplit/>
        </w:trPr>
        <w:tc>
          <w:tcPr>
            <w:tcW w:w="1900" w:type="dxa"/>
            <w:vAlign w:val="center"/>
          </w:tcPr>
          <w:p>
            <w:pPr>
              <w:pStyle w:val="TableText"/>
            </w:pPr>
            <w:r>
              <w:t>不能這樣解讀</w:t>
            </w:r>
          </w:p>
        </w:tc>
        <w:tc>
          <w:tcPr>
            <w:tcW w:w="7460" w:type="dxa"/>
            <w:vAlign w:val="center"/>
          </w:tcPr>
          <w:p>
            <w:pPr>
              <w:pStyle w:val="TableText"/>
            </w:pPr>
            <w:r>
              <w:t>step 多不代表一定更好；最後一步最佳也不能證明沒有過擬合。</w:t>
            </w:r>
          </w:p>
        </w:tc>
      </w:tr>
      <w:tr>
        <w:trPr>
          <w:cantSplit/>
        </w:trPr>
        <w:tc>
          <w:tcPr>
            <w:tcW w:w="1900" w:type="dxa"/>
            <w:vAlign w:val="center"/>
          </w:tcPr>
          <w:p>
            <w:pPr>
              <w:pStyle w:val="TableText"/>
            </w:pPr>
            <w:r>
              <w:t>應搭配閱讀</w:t>
            </w:r>
          </w:p>
        </w:tc>
        <w:tc>
          <w:tcPr>
            <w:tcW w:w="7460" w:type="dxa"/>
            <w:vAlign w:val="center"/>
          </w:tcPr>
          <w:p>
            <w:pPr>
              <w:pStyle w:val="TableText"/>
            </w:pPr>
            <w:r>
              <w:t>checkpoint score 走勢、多 seed 與 Stage 2。</w:t>
            </w:r>
          </w:p>
        </w:tc>
      </w:tr>
    </w:tbl>
    <w:p>
      <w:pPr>
        <w:pStyle w:val="31"/>
      </w:pPr>
      <w:r>
        <w:t>8.3 Best checkpoint／validation 上最低 14 日總分</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每次 validation 後比較 selection score，保留目前最低者；這是模型選擇規則。</w:t>
            </w:r>
          </w:p>
        </w:tc>
      </w:tr>
      <w:tr>
        <w:trPr>
          <w:cantSplit/>
        </w:trPr>
        <w:tc>
          <w:tcPr>
            <w:tcW w:w="1900" w:type="dxa"/>
            <w:vAlign w:val="center"/>
          </w:tcPr>
          <w:p>
            <w:pPr>
              <w:pStyle w:val="TableText"/>
            </w:pPr>
            <w:r>
              <w:t>股票情境</w:t>
            </w:r>
          </w:p>
        </w:tc>
        <w:tc>
          <w:tcPr>
            <w:tcW w:w="7460" w:type="dxa"/>
            <w:vAlign w:val="center"/>
          </w:tcPr>
          <w:p>
            <w:pPr>
              <w:pStyle w:val="TableText"/>
            </w:pPr>
            <w:r>
              <w:t>checkpoint A score=0.3150、B=0.3148，B 較低所以選 B。若差異只有萬分之一，可能只是平臺或單 seed 波動，不等於實質大幅進步。</w:t>
            </w:r>
          </w:p>
        </w:tc>
      </w:tr>
      <w:tr>
        <w:trPr>
          <w:cantSplit/>
        </w:trPr>
        <w:tc>
          <w:tcPr>
            <w:tcW w:w="1900" w:type="dxa"/>
            <w:vAlign w:val="center"/>
          </w:tcPr>
          <w:p>
            <w:pPr>
              <w:pStyle w:val="TableText"/>
            </w:pPr>
            <w:r>
              <w:t>實際計算</w:t>
            </w:r>
          </w:p>
        </w:tc>
        <w:tc>
          <w:tcPr>
            <w:tcW w:w="7460" w:type="dxa"/>
            <w:vAlign w:val="center"/>
          </w:tcPr>
          <w:p>
            <w:pPr>
              <w:pStyle w:val="TableText"/>
            </w:pPr>
            <w:r>
              <w:t>在固定 validation split 上按 selection score 升冪比較；本次 checkpoint-003908 score=0.314759，checkpoint-003518=0.314827，相對差約 0.0215%。</w:t>
            </w:r>
          </w:p>
        </w:tc>
      </w:tr>
      <w:tr>
        <w:trPr>
          <w:cantSplit/>
        </w:trPr>
        <w:tc>
          <w:tcPr>
            <w:tcW w:w="1900" w:type="dxa"/>
            <w:vAlign w:val="center"/>
          </w:tcPr>
          <w:p>
            <w:pPr>
              <w:pStyle w:val="TableText"/>
            </w:pPr>
            <w:r>
              <w:t>怎麼判讀</w:t>
            </w:r>
          </w:p>
        </w:tc>
        <w:tc>
          <w:tcPr>
            <w:tcW w:w="7460" w:type="dxa"/>
            <w:vAlign w:val="center"/>
          </w:tcPr>
          <w:p>
            <w:pPr>
              <w:pStyle w:val="TableText"/>
            </w:pPr>
            <w:r>
              <w:t>較低者是目前 protocol 下的最佳 validation checkpoint；差異大小與多 seed 一併判讀。</w:t>
            </w:r>
          </w:p>
        </w:tc>
      </w:tr>
      <w:tr>
        <w:trPr>
          <w:cantSplit/>
        </w:trPr>
        <w:tc>
          <w:tcPr>
            <w:tcW w:w="1900" w:type="dxa"/>
            <w:vAlign w:val="center"/>
          </w:tcPr>
          <w:p>
            <w:pPr>
              <w:pStyle w:val="TableText"/>
            </w:pPr>
            <w:r>
              <w:t>本次 run</w:t>
            </w:r>
          </w:p>
        </w:tc>
        <w:tc>
          <w:tcPr>
            <w:tcW w:w="7460" w:type="dxa"/>
            <w:vAlign w:val="center"/>
          </w:tcPr>
          <w:p>
            <w:pPr>
              <w:pStyle w:val="TableText"/>
            </w:pPr>
            <w:r>
              <w:t>最佳 checkpoint=003908；後段改善非常小，呈現接近平臺。</w:t>
            </w:r>
          </w:p>
        </w:tc>
      </w:tr>
      <w:tr>
        <w:trPr>
          <w:cantSplit/>
        </w:trPr>
        <w:tc>
          <w:tcPr>
            <w:tcW w:w="1900" w:type="dxa"/>
            <w:vAlign w:val="center"/>
          </w:tcPr>
          <w:p>
            <w:pPr>
              <w:pStyle w:val="TableText"/>
            </w:pPr>
            <w:r>
              <w:t>不能這樣解讀</w:t>
            </w:r>
          </w:p>
        </w:tc>
        <w:tc>
          <w:tcPr>
            <w:tcW w:w="7460" w:type="dxa"/>
            <w:vAlign w:val="center"/>
          </w:tcPr>
          <w:p>
            <w:pPr>
              <w:pStyle w:val="TableText"/>
            </w:pPr>
            <w:r>
              <w:t>best on validation 不等於 best on unseen test，更不等於可部署。反覆看 test 選 checkpoint 會污染 test。</w:t>
            </w:r>
          </w:p>
        </w:tc>
      </w:tr>
      <w:tr>
        <w:trPr>
          <w:cantSplit/>
        </w:trPr>
        <w:tc>
          <w:tcPr>
            <w:tcW w:w="1900" w:type="dxa"/>
            <w:vAlign w:val="center"/>
          </w:tcPr>
          <w:p>
            <w:pPr>
              <w:pStyle w:val="TableText"/>
            </w:pPr>
            <w:r>
              <w:t>應搭配閱讀</w:t>
            </w:r>
          </w:p>
        </w:tc>
        <w:tc>
          <w:tcPr>
            <w:tcW w:w="7460" w:type="dxa"/>
            <w:vAlign w:val="center"/>
          </w:tcPr>
          <w:p>
            <w:pPr>
              <w:pStyle w:val="TableText"/>
            </w:pPr>
            <w:r>
              <w:t>test_unlocked、seed dispersion 與 Stage 2 預先登記。</w:t>
            </w:r>
          </w:p>
        </w:tc>
      </w:tr>
    </w:tbl>
    <w:p>
      <w:pPr>
        <w:pStyle w:val="31"/>
      </w:pPr>
      <w:r>
        <w:t>8.4 Seed aggregation 與 leaderboard／一次訓練是否只是運氣</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同一模型用不同 random seed 重跑，觀察結果是否穩定；再以跨 seed 中位數放上 leaderboard。</w:t>
            </w:r>
          </w:p>
        </w:tc>
      </w:tr>
      <w:tr>
        <w:trPr>
          <w:cantSplit/>
        </w:trPr>
        <w:tc>
          <w:tcPr>
            <w:tcW w:w="1900" w:type="dxa"/>
            <w:vAlign w:val="center"/>
          </w:tcPr>
          <w:p>
            <w:pPr>
              <w:pStyle w:val="TableText"/>
            </w:pPr>
            <w:r>
              <w:t>股票情境</w:t>
            </w:r>
          </w:p>
        </w:tc>
        <w:tc>
          <w:tcPr>
            <w:tcW w:w="7460" w:type="dxa"/>
            <w:vAlign w:val="center"/>
          </w:tcPr>
          <w:p>
            <w:pPr>
              <w:pStyle w:val="TableText"/>
            </w:pPr>
            <w:r>
              <w:t>三個 seed score=[0.30,0.32,0.50]，median=0.32、min=0.30、max=0.50。只報最佳 0.30 會掩蓋不穩；中位數與最差值更誠實。</w:t>
            </w:r>
          </w:p>
        </w:tc>
      </w:tr>
      <w:tr>
        <w:trPr>
          <w:cantSplit/>
        </w:trPr>
        <w:tc>
          <w:tcPr>
            <w:tcW w:w="1900" w:type="dxa"/>
            <w:vAlign w:val="center"/>
          </w:tcPr>
          <w:p>
            <w:pPr>
              <w:pStyle w:val="TableText"/>
            </w:pPr>
            <w:r>
              <w:t>實際計算</w:t>
            </w:r>
          </w:p>
        </w:tc>
        <w:tc>
          <w:tcPr>
            <w:tcW w:w="7460" w:type="dxa"/>
            <w:vAlign w:val="center"/>
          </w:tcPr>
          <w:p>
            <w:pPr>
              <w:pStyle w:val="TableText"/>
            </w:pPr>
            <w:r>
              <w:t>learned baselines 存 seed_results；每個數值欄位彙總 count、median、min、max。comparison row 使用跨 seed median；主排名仍只依 selection score 升冪，同分再按名稱。</w:t>
            </w:r>
          </w:p>
        </w:tc>
      </w:tr>
      <w:tr>
        <w:trPr>
          <w:cantSplit/>
        </w:trPr>
        <w:tc>
          <w:tcPr>
            <w:tcW w:w="1900" w:type="dxa"/>
            <w:vAlign w:val="center"/>
          </w:tcPr>
          <w:p>
            <w:pPr>
              <w:pStyle w:val="TableText"/>
            </w:pPr>
            <w:r>
              <w:t>怎麼判讀</w:t>
            </w:r>
          </w:p>
        </w:tc>
        <w:tc>
          <w:tcPr>
            <w:tcW w:w="7460" w:type="dxa"/>
            <w:vAlign w:val="center"/>
          </w:tcPr>
          <w:p>
            <w:pPr>
              <w:pStyle w:val="TableText"/>
            </w:pPr>
            <w:r>
              <w:t>seed 間範圍越窄越穩；模型總分與風險指標都要看離散度。</w:t>
            </w:r>
          </w:p>
        </w:tc>
      </w:tr>
      <w:tr>
        <w:trPr>
          <w:cantSplit/>
        </w:trPr>
        <w:tc>
          <w:tcPr>
            <w:tcW w:w="1900" w:type="dxa"/>
            <w:vAlign w:val="center"/>
          </w:tcPr>
          <w:p>
            <w:pPr>
              <w:pStyle w:val="TableText"/>
            </w:pPr>
            <w:r>
              <w:t>本次 run</w:t>
            </w:r>
          </w:p>
        </w:tc>
        <w:tc>
          <w:tcPr>
            <w:tcW w:w="7460" w:type="dxa"/>
            <w:vAlign w:val="center"/>
          </w:tcPr>
          <w:p>
            <w:pPr>
              <w:pStyle w:val="TableText"/>
            </w:pPr>
            <w:r>
              <w:t>本次 learned models 只 requested seed=42，因此 count=1、median=min=max，無法估計 seed 波動。</w:t>
            </w:r>
          </w:p>
        </w:tc>
      </w:tr>
      <w:tr>
        <w:trPr>
          <w:cantSplit/>
        </w:trPr>
        <w:tc>
          <w:tcPr>
            <w:tcW w:w="1900" w:type="dxa"/>
            <w:vAlign w:val="center"/>
          </w:tcPr>
          <w:p>
            <w:pPr>
              <w:pStyle w:val="TableText"/>
            </w:pPr>
            <w:r>
              <w:t>不能這樣解讀</w:t>
            </w:r>
          </w:p>
        </w:tc>
        <w:tc>
          <w:tcPr>
            <w:tcW w:w="7460" w:type="dxa"/>
            <w:vAlign w:val="center"/>
          </w:tcPr>
          <w:p>
            <w:pPr>
              <w:pStyle w:val="TableText"/>
            </w:pPr>
            <w:r>
              <w:t>單 seed 第 1 名不是穩定第 1；也不能拿不同 split、scale、horizon 或成本設定的模型放同一榜。</w:t>
            </w:r>
          </w:p>
        </w:tc>
      </w:tr>
      <w:tr>
        <w:trPr>
          <w:cantSplit/>
        </w:trPr>
        <w:tc>
          <w:tcPr>
            <w:tcW w:w="1900" w:type="dxa"/>
            <w:vAlign w:val="center"/>
          </w:tcPr>
          <w:p>
            <w:pPr>
              <w:pStyle w:val="TableText"/>
            </w:pPr>
            <w:r>
              <w:t>應搭配閱讀</w:t>
            </w:r>
          </w:p>
        </w:tc>
        <w:tc>
          <w:tcPr>
            <w:tcW w:w="7460" w:type="dxa"/>
            <w:vAlign w:val="center"/>
          </w:tcPr>
          <w:p>
            <w:pPr>
              <w:pStyle w:val="TableText"/>
            </w:pPr>
            <w:r>
              <w:t>多 seed Stage 2、bootstrap／時間切片穩定性。</w:t>
            </w:r>
          </w:p>
        </w:tc>
      </w:tr>
    </w:tbl>
    <w:p>
      <w:pPr>
        <w:pStyle w:val="31"/>
      </w:pPr>
      <w:r>
        <w:t>8.5 state、exit_code、timed_out、test_unlocked／證據邊界</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項目</w:t>
            </w:r>
          </w:p>
        </w:tc>
        <w:tc>
          <w:tcPr>
            <w:tcW w:w="7460" w:type="dxa"/>
            <w:shd w:val="clear" w:fill="DCE6F1"/>
            <w:vAlign w:val="center"/>
          </w:tcPr>
          <w:p>
            <w:pPr>
              <w:pStyle w:val="TableHeader"/>
            </w:pPr>
            <w:r>
              <w:t>說明</w:t>
            </w:r>
          </w:p>
        </w:tc>
      </w:tr>
      <w:tr>
        <w:trPr>
          <w:cantSplit/>
        </w:trPr>
        <w:tc>
          <w:tcPr>
            <w:tcW w:w="1900" w:type="dxa"/>
            <w:vAlign w:val="center"/>
          </w:tcPr>
          <w:p>
            <w:pPr>
              <w:pStyle w:val="TableText"/>
            </w:pPr>
            <w:r>
              <w:t>白話問題</w:t>
            </w:r>
          </w:p>
        </w:tc>
        <w:tc>
          <w:tcPr>
            <w:tcW w:w="7460" w:type="dxa"/>
            <w:vAlign w:val="center"/>
          </w:tcPr>
          <w:p>
            <w:pPr>
              <w:pStyle w:val="TableText"/>
            </w:pPr>
            <w:r>
              <w:t>先確認程序是否真的正常跑完，再確認這次是否只看 validation。這些欄位證明流程狀態，不直接證明模型有效。</w:t>
            </w:r>
          </w:p>
        </w:tc>
      </w:tr>
      <w:tr>
        <w:trPr>
          <w:cantSplit/>
        </w:trPr>
        <w:tc>
          <w:tcPr>
            <w:tcW w:w="1900" w:type="dxa"/>
            <w:vAlign w:val="center"/>
          </w:tcPr>
          <w:p>
            <w:pPr>
              <w:pStyle w:val="TableText"/>
            </w:pPr>
            <w:r>
              <w:t>股票情境</w:t>
            </w:r>
          </w:p>
        </w:tc>
        <w:tc>
          <w:tcPr>
            <w:tcW w:w="7460" w:type="dxa"/>
            <w:vAlign w:val="center"/>
          </w:tcPr>
          <w:p>
            <w:pPr>
              <w:pStyle w:val="TableText"/>
            </w:pPr>
            <w:r>
              <w:t>state=complete、exit_code=0 只表示程式乾淨結束；如果 test_unlocked=false，所有漂亮分數仍只是 validation 證據。</w:t>
            </w:r>
          </w:p>
        </w:tc>
      </w:tr>
      <w:tr>
        <w:trPr>
          <w:cantSplit/>
        </w:trPr>
        <w:tc>
          <w:tcPr>
            <w:tcW w:w="1900" w:type="dxa"/>
            <w:vAlign w:val="center"/>
          </w:tcPr>
          <w:p>
            <w:pPr>
              <w:pStyle w:val="TableText"/>
            </w:pPr>
            <w:r>
              <w:t>實際計算</w:t>
            </w:r>
          </w:p>
        </w:tc>
        <w:tc>
          <w:tcPr>
            <w:tcW w:w="7460" w:type="dxa"/>
            <w:vAlign w:val="center"/>
          </w:tcPr>
          <w:p>
            <w:pPr>
              <w:pStyle w:val="TableText"/>
            </w:pPr>
            <w:r>
              <w:t>由 supervisor／lifecycle marker 記錄完成狀態、退出碼與 timeout；validation artifact 另存 test_unlocked protocol flag。</w:t>
            </w:r>
          </w:p>
        </w:tc>
      </w:tr>
      <w:tr>
        <w:trPr>
          <w:cantSplit/>
        </w:trPr>
        <w:tc>
          <w:tcPr>
            <w:tcW w:w="1900" w:type="dxa"/>
            <w:vAlign w:val="center"/>
          </w:tcPr>
          <w:p>
            <w:pPr>
              <w:pStyle w:val="TableText"/>
            </w:pPr>
            <w:r>
              <w:t>怎麼判讀</w:t>
            </w:r>
          </w:p>
        </w:tc>
        <w:tc>
          <w:tcPr>
            <w:tcW w:w="7460" w:type="dxa"/>
            <w:vAlign w:val="center"/>
          </w:tcPr>
          <w:p>
            <w:pPr>
              <w:pStyle w:val="TableText"/>
            </w:pPr>
            <w:r>
              <w:t>本次 ready/completed、exit 0、未 timeout 才能說 run 完成；test=false 則應寫『可進下一階段』而非『通過最終測試』。</w:t>
            </w:r>
          </w:p>
        </w:tc>
      </w:tr>
      <w:tr>
        <w:trPr>
          <w:cantSplit/>
        </w:trPr>
        <w:tc>
          <w:tcPr>
            <w:tcW w:w="1900" w:type="dxa"/>
            <w:vAlign w:val="center"/>
          </w:tcPr>
          <w:p>
            <w:pPr>
              <w:pStyle w:val="TableText"/>
            </w:pPr>
            <w:r>
              <w:t>本次 run</w:t>
            </w:r>
          </w:p>
        </w:tc>
        <w:tc>
          <w:tcPr>
            <w:tcW w:w="7460" w:type="dxa"/>
            <w:vAlign w:val="center"/>
          </w:tcPr>
          <w:p>
            <w:pPr>
              <w:pStyle w:val="TableText"/>
            </w:pPr>
            <w:r>
              <w:t>本次 test_unlocked=false；test 只計數，沒有用來選模或報告績效。</w:t>
            </w:r>
          </w:p>
        </w:tc>
      </w:tr>
      <w:tr>
        <w:trPr>
          <w:cantSplit/>
        </w:trPr>
        <w:tc>
          <w:tcPr>
            <w:tcW w:w="1900" w:type="dxa"/>
            <w:vAlign w:val="center"/>
          </w:tcPr>
          <w:p>
            <w:pPr>
              <w:pStyle w:val="TableText"/>
            </w:pPr>
            <w:r>
              <w:t>不能這樣解讀</w:t>
            </w:r>
          </w:p>
        </w:tc>
        <w:tc>
          <w:tcPr>
            <w:tcW w:w="7460" w:type="dxa"/>
            <w:vAlign w:val="center"/>
          </w:tcPr>
          <w:p>
            <w:pPr>
              <w:pStyle w:val="TableText"/>
            </w:pPr>
            <w:r>
              <w:t>run 完成不等於模型有效；validation 表現好也不等於未來市場、其他年份或實盤有效。</w:t>
            </w:r>
          </w:p>
        </w:tc>
      </w:tr>
      <w:tr>
        <w:trPr>
          <w:cantSplit/>
        </w:trPr>
        <w:tc>
          <w:tcPr>
            <w:tcW w:w="1900" w:type="dxa"/>
            <w:vAlign w:val="center"/>
          </w:tcPr>
          <w:p>
            <w:pPr>
              <w:pStyle w:val="TableText"/>
            </w:pPr>
            <w:r>
              <w:t>應搭配閱讀</w:t>
            </w:r>
          </w:p>
        </w:tc>
        <w:tc>
          <w:tcPr>
            <w:tcW w:w="7460" w:type="dxa"/>
            <w:vAlign w:val="center"/>
          </w:tcPr>
          <w:p>
            <w:pPr>
              <w:pStyle w:val="TableText"/>
            </w:pPr>
            <w:r>
              <w:t>Stage 2、多 seed、一次性 test 與部署前執行驗證。</w:t>
            </w:r>
          </w:p>
        </w:tc>
      </w:tr>
    </w:tbl>
    <w:p>
      <w:pPr>
        <w:pStyle w:val="11"/>
      </w:pPr>
      <w:r>
        <w:t>9. 本次 run 的 1 至 14 日完整數據</w:t>
      </w:r>
    </w:p>
    <w:p>
      <w:pPr>
        <w:pStyle w:val="a"/>
      </w:pPr>
      <w:r>
        <w:t>以下表格不是只挑第 5 日。先看每一列，再看趨勢：raw error 隨尺度增加不一定是退步；normalized error 較可比；correlation 與 direction 改善也不代表回撤會改善。</w:t>
      </w:r>
    </w:p>
    <w:p>
      <w:pPr>
        <w:pStyle w:val="Decision"/>
        <w:keepNext/>
        <w:spacing w:after="80"/>
      </w:pPr>
      <w:r>
        <w:t>表 4｜誤差與 q50 指標</w:t>
      </w:r>
    </w:p>
    <w:tbl>
      <w:tblPr>
        <w:tblStyle w:val="BenchmarkTable"/>
        <w:tblW w:w="9360" w:type="dxa"/>
        <w:tblLayout w:type="fixed"/>
      </w:tblPr>
      <w:tblGrid>
        <w:gridCol w:w="700"/>
        <w:gridCol w:w="1500"/>
        <w:gridCol w:w="1850"/>
        <w:gridCol w:w="1750"/>
        <w:gridCol w:w="1800"/>
        <w:gridCol w:w="1760"/>
      </w:tblGrid>
      <w:tr>
        <w:trPr>
          <w:tblHeader/>
        </w:trPr>
        <w:tc>
          <w:tcPr>
            <w:tcW w:w="700" w:type="dxa"/>
            <w:shd w:val="clear" w:fill="DCE6F1"/>
            <w:vAlign w:val="center"/>
          </w:tcPr>
          <w:p>
            <w:pPr>
              <w:pStyle w:val="TableHeader"/>
            </w:pPr>
            <w:r>
              <w:t>H</w:t>
            </w:r>
          </w:p>
        </w:tc>
        <w:tc>
          <w:tcPr>
            <w:tcW w:w="1500" w:type="dxa"/>
            <w:shd w:val="clear" w:fill="DCE6F1"/>
            <w:vAlign w:val="center"/>
          </w:tcPr>
          <w:p>
            <w:pPr>
              <w:pStyle w:val="TableHeader"/>
            </w:pPr>
            <w:r>
              <w:t>Scale</w:t>
            </w:r>
          </w:p>
        </w:tc>
        <w:tc>
          <w:tcPr>
            <w:tcW w:w="1850" w:type="dxa"/>
            <w:shd w:val="clear" w:fill="DCE6F1"/>
            <w:vAlign w:val="center"/>
          </w:tcPr>
          <w:p>
            <w:pPr>
              <w:pStyle w:val="TableHeader"/>
            </w:pPr>
            <w:r>
              <w:t>Raw pinball</w:t>
            </w:r>
          </w:p>
        </w:tc>
        <w:tc>
          <w:tcPr>
            <w:tcW w:w="1750" w:type="dxa"/>
            <w:shd w:val="clear" w:fill="DCE6F1"/>
            <w:vAlign w:val="center"/>
          </w:tcPr>
          <w:p>
            <w:pPr>
              <w:pStyle w:val="TableHeader"/>
            </w:pPr>
            <w:r>
              <w:t>N-pinball</w:t>
            </w:r>
          </w:p>
        </w:tc>
        <w:tc>
          <w:tcPr>
            <w:tcW w:w="1800" w:type="dxa"/>
            <w:shd w:val="clear" w:fill="DCE6F1"/>
            <w:vAlign w:val="center"/>
          </w:tcPr>
          <w:p>
            <w:pPr>
              <w:pStyle w:val="TableHeader"/>
            </w:pPr>
            <w:r>
              <w:t>q50 MAE</w:t>
            </w:r>
          </w:p>
        </w:tc>
        <w:tc>
          <w:tcPr>
            <w:tcW w:w="1760" w:type="dxa"/>
            <w:shd w:val="clear" w:fill="DCE6F1"/>
            <w:vAlign w:val="center"/>
          </w:tcPr>
          <w:p>
            <w:pPr>
              <w:pStyle w:val="TableHeader"/>
            </w:pPr>
            <w:r>
              <w:t>N-MAE</w:t>
            </w:r>
          </w:p>
        </w:tc>
      </w:tr>
      <w:tr>
        <w:trPr>
          <w:cantSplit/>
        </w:trPr>
        <w:tc>
          <w:tcPr>
            <w:tcW w:w="700" w:type="dxa"/>
            <w:vAlign w:val="center"/>
          </w:tcPr>
          <w:p>
            <w:pPr>
              <w:pStyle w:val="TableText"/>
            </w:pPr>
            <w:r>
              <w:t>1d</w:t>
            </w:r>
          </w:p>
        </w:tc>
        <w:tc>
          <w:tcPr>
            <w:tcW w:w="1500" w:type="dxa"/>
            <w:vAlign w:val="center"/>
          </w:tcPr>
          <w:p>
            <w:pPr>
              <w:pStyle w:val="TableNumber"/>
            </w:pPr>
            <w:r>
              <w:t>0.01868</w:t>
            </w:r>
          </w:p>
        </w:tc>
        <w:tc>
          <w:tcPr>
            <w:tcW w:w="1850" w:type="dxa"/>
            <w:vAlign w:val="center"/>
          </w:tcPr>
          <w:p>
            <w:pPr>
              <w:pStyle w:val="TableNumber"/>
            </w:pPr>
            <w:r>
              <w:t>0.00700</w:t>
            </w:r>
          </w:p>
        </w:tc>
        <w:tc>
          <w:tcPr>
            <w:tcW w:w="1750" w:type="dxa"/>
            <w:vAlign w:val="center"/>
          </w:tcPr>
          <w:p>
            <w:pPr>
              <w:pStyle w:val="TableNumber"/>
            </w:pPr>
            <w:r>
              <w:t>0.3748</w:t>
            </w:r>
          </w:p>
        </w:tc>
        <w:tc>
          <w:tcPr>
            <w:tcW w:w="1800" w:type="dxa"/>
            <w:vAlign w:val="center"/>
          </w:tcPr>
          <w:p>
            <w:pPr>
              <w:pStyle w:val="TableNumber"/>
            </w:pPr>
            <w:r>
              <w:t>0.01962</w:t>
            </w:r>
          </w:p>
        </w:tc>
        <w:tc>
          <w:tcPr>
            <w:tcW w:w="1760" w:type="dxa"/>
            <w:vAlign w:val="center"/>
          </w:tcPr>
          <w:p>
            <w:pPr>
              <w:pStyle w:val="TableNumber"/>
            </w:pPr>
            <w:r>
              <w:t>1.0508</w:t>
            </w:r>
          </w:p>
        </w:tc>
      </w:tr>
      <w:tr>
        <w:trPr>
          <w:cantSplit/>
        </w:trPr>
        <w:tc>
          <w:tcPr>
            <w:tcW w:w="700" w:type="dxa"/>
            <w:vAlign w:val="center"/>
          </w:tcPr>
          <w:p>
            <w:pPr>
              <w:pStyle w:val="TableText"/>
            </w:pPr>
            <w:r>
              <w:t>2d</w:t>
            </w:r>
          </w:p>
        </w:tc>
        <w:tc>
          <w:tcPr>
            <w:tcW w:w="1500" w:type="dxa"/>
            <w:vAlign w:val="center"/>
          </w:tcPr>
          <w:p>
            <w:pPr>
              <w:pStyle w:val="TableNumber"/>
            </w:pPr>
            <w:r>
              <w:t>0.03052</w:t>
            </w:r>
          </w:p>
        </w:tc>
        <w:tc>
          <w:tcPr>
            <w:tcW w:w="1850" w:type="dxa"/>
            <w:vAlign w:val="center"/>
          </w:tcPr>
          <w:p>
            <w:pPr>
              <w:pStyle w:val="TableNumber"/>
            </w:pPr>
            <w:r>
              <w:t>0.01006</w:t>
            </w:r>
          </w:p>
        </w:tc>
        <w:tc>
          <w:tcPr>
            <w:tcW w:w="1750" w:type="dxa"/>
            <w:vAlign w:val="center"/>
          </w:tcPr>
          <w:p>
            <w:pPr>
              <w:pStyle w:val="TableNumber"/>
            </w:pPr>
            <w:r>
              <w:t>0.3295</w:t>
            </w:r>
          </w:p>
        </w:tc>
        <w:tc>
          <w:tcPr>
            <w:tcW w:w="1800" w:type="dxa"/>
            <w:vAlign w:val="center"/>
          </w:tcPr>
          <w:p>
            <w:pPr>
              <w:pStyle w:val="TableNumber"/>
            </w:pPr>
            <w:r>
              <w:t>0.02892</w:t>
            </w:r>
          </w:p>
        </w:tc>
        <w:tc>
          <w:tcPr>
            <w:tcW w:w="1760" w:type="dxa"/>
            <w:vAlign w:val="center"/>
          </w:tcPr>
          <w:p>
            <w:pPr>
              <w:pStyle w:val="TableNumber"/>
            </w:pPr>
            <w:r>
              <w:t>0.9478</w:t>
            </w:r>
          </w:p>
        </w:tc>
      </w:tr>
      <w:tr>
        <w:trPr>
          <w:cantSplit/>
        </w:trPr>
        <w:tc>
          <w:tcPr>
            <w:tcW w:w="700" w:type="dxa"/>
            <w:vAlign w:val="center"/>
          </w:tcPr>
          <w:p>
            <w:pPr>
              <w:pStyle w:val="TableText"/>
            </w:pPr>
            <w:r>
              <w:t>3d</w:t>
            </w:r>
          </w:p>
        </w:tc>
        <w:tc>
          <w:tcPr>
            <w:tcW w:w="1500" w:type="dxa"/>
            <w:vAlign w:val="center"/>
          </w:tcPr>
          <w:p>
            <w:pPr>
              <w:pStyle w:val="TableNumber"/>
            </w:pPr>
            <w:r>
              <w:t>0.03809</w:t>
            </w:r>
          </w:p>
        </w:tc>
        <w:tc>
          <w:tcPr>
            <w:tcW w:w="1850" w:type="dxa"/>
            <w:vAlign w:val="center"/>
          </w:tcPr>
          <w:p>
            <w:pPr>
              <w:pStyle w:val="TableNumber"/>
            </w:pPr>
            <w:r>
              <w:t>0.01258</w:t>
            </w:r>
          </w:p>
        </w:tc>
        <w:tc>
          <w:tcPr>
            <w:tcW w:w="1750" w:type="dxa"/>
            <w:vAlign w:val="center"/>
          </w:tcPr>
          <w:p>
            <w:pPr>
              <w:pStyle w:val="TableNumber"/>
            </w:pPr>
            <w:r>
              <w:t>0.3304</w:t>
            </w:r>
          </w:p>
        </w:tc>
        <w:tc>
          <w:tcPr>
            <w:tcW w:w="1800" w:type="dxa"/>
            <w:vAlign w:val="center"/>
          </w:tcPr>
          <w:p>
            <w:pPr>
              <w:pStyle w:val="TableNumber"/>
            </w:pPr>
            <w:r>
              <w:t>0.03626</w:t>
            </w:r>
          </w:p>
        </w:tc>
        <w:tc>
          <w:tcPr>
            <w:tcW w:w="1760" w:type="dxa"/>
            <w:vAlign w:val="center"/>
          </w:tcPr>
          <w:p>
            <w:pPr>
              <w:pStyle w:val="TableNumber"/>
            </w:pPr>
            <w:r>
              <w:t>0.9522</w:t>
            </w:r>
          </w:p>
        </w:tc>
      </w:tr>
      <w:tr>
        <w:trPr>
          <w:cantSplit/>
        </w:trPr>
        <w:tc>
          <w:tcPr>
            <w:tcW w:w="700" w:type="dxa"/>
            <w:vAlign w:val="center"/>
          </w:tcPr>
          <w:p>
            <w:pPr>
              <w:pStyle w:val="TableText"/>
            </w:pPr>
            <w:r>
              <w:t>4d</w:t>
            </w:r>
          </w:p>
        </w:tc>
        <w:tc>
          <w:tcPr>
            <w:tcW w:w="1500" w:type="dxa"/>
            <w:vAlign w:val="center"/>
          </w:tcPr>
          <w:p>
            <w:pPr>
              <w:pStyle w:val="TableNumber"/>
            </w:pPr>
            <w:r>
              <w:t>0.04517</w:t>
            </w:r>
          </w:p>
        </w:tc>
        <w:tc>
          <w:tcPr>
            <w:tcW w:w="1850" w:type="dxa"/>
            <w:vAlign w:val="center"/>
          </w:tcPr>
          <w:p>
            <w:pPr>
              <w:pStyle w:val="TableNumber"/>
            </w:pPr>
            <w:r>
              <w:t>0.01458</w:t>
            </w:r>
          </w:p>
        </w:tc>
        <w:tc>
          <w:tcPr>
            <w:tcW w:w="1750" w:type="dxa"/>
            <w:vAlign w:val="center"/>
          </w:tcPr>
          <w:p>
            <w:pPr>
              <w:pStyle w:val="TableNumber"/>
            </w:pPr>
            <w:r>
              <w:t>0.3228</w:t>
            </w:r>
          </w:p>
        </w:tc>
        <w:tc>
          <w:tcPr>
            <w:tcW w:w="1800" w:type="dxa"/>
            <w:vAlign w:val="center"/>
          </w:tcPr>
          <w:p>
            <w:pPr>
              <w:pStyle w:val="TableNumber"/>
            </w:pPr>
            <w:r>
              <w:t>0.04231</w:t>
            </w:r>
          </w:p>
        </w:tc>
        <w:tc>
          <w:tcPr>
            <w:tcW w:w="1760" w:type="dxa"/>
            <w:vAlign w:val="center"/>
          </w:tcPr>
          <w:p>
            <w:pPr>
              <w:pStyle w:val="TableNumber"/>
            </w:pPr>
            <w:r>
              <w:t>0.9368</w:t>
            </w:r>
          </w:p>
        </w:tc>
      </w:tr>
      <w:tr>
        <w:trPr>
          <w:cantSplit/>
        </w:trPr>
        <w:tc>
          <w:tcPr>
            <w:tcW w:w="700" w:type="dxa"/>
            <w:vAlign w:val="center"/>
          </w:tcPr>
          <w:p>
            <w:pPr>
              <w:pStyle w:val="TableText"/>
            </w:pPr>
            <w:r>
              <w:t>5d</w:t>
            </w:r>
          </w:p>
        </w:tc>
        <w:tc>
          <w:tcPr>
            <w:tcW w:w="1500" w:type="dxa"/>
            <w:vAlign w:val="center"/>
          </w:tcPr>
          <w:p>
            <w:pPr>
              <w:pStyle w:val="TableNumber"/>
            </w:pPr>
            <w:r>
              <w:t>0.05078</w:t>
            </w:r>
          </w:p>
        </w:tc>
        <w:tc>
          <w:tcPr>
            <w:tcW w:w="1850" w:type="dxa"/>
            <w:vAlign w:val="center"/>
          </w:tcPr>
          <w:p>
            <w:pPr>
              <w:pStyle w:val="TableNumber"/>
            </w:pPr>
            <w:r>
              <w:t>0.01629</w:t>
            </w:r>
          </w:p>
        </w:tc>
        <w:tc>
          <w:tcPr>
            <w:tcW w:w="1750" w:type="dxa"/>
            <w:vAlign w:val="center"/>
          </w:tcPr>
          <w:p>
            <w:pPr>
              <w:pStyle w:val="TableNumber"/>
            </w:pPr>
            <w:r>
              <w:t>0.3208</w:t>
            </w:r>
          </w:p>
        </w:tc>
        <w:tc>
          <w:tcPr>
            <w:tcW w:w="1800" w:type="dxa"/>
            <w:vAlign w:val="center"/>
          </w:tcPr>
          <w:p>
            <w:pPr>
              <w:pStyle w:val="TableNumber"/>
            </w:pPr>
            <w:r>
              <w:t>0.04728</w:t>
            </w:r>
          </w:p>
        </w:tc>
        <w:tc>
          <w:tcPr>
            <w:tcW w:w="1760" w:type="dxa"/>
            <w:vAlign w:val="center"/>
          </w:tcPr>
          <w:p>
            <w:pPr>
              <w:pStyle w:val="TableNumber"/>
            </w:pPr>
            <w:r>
              <w:t>0.9311</w:t>
            </w:r>
          </w:p>
        </w:tc>
      </w:tr>
      <w:tr>
        <w:trPr>
          <w:cantSplit/>
        </w:trPr>
        <w:tc>
          <w:tcPr>
            <w:tcW w:w="700" w:type="dxa"/>
            <w:vAlign w:val="center"/>
          </w:tcPr>
          <w:p>
            <w:pPr>
              <w:pStyle w:val="TableText"/>
            </w:pPr>
            <w:r>
              <w:t>6d</w:t>
            </w:r>
          </w:p>
        </w:tc>
        <w:tc>
          <w:tcPr>
            <w:tcW w:w="1500" w:type="dxa"/>
            <w:vAlign w:val="center"/>
          </w:tcPr>
          <w:p>
            <w:pPr>
              <w:pStyle w:val="TableNumber"/>
            </w:pPr>
            <w:r>
              <w:t>0.05615</w:t>
            </w:r>
          </w:p>
        </w:tc>
        <w:tc>
          <w:tcPr>
            <w:tcW w:w="1850" w:type="dxa"/>
            <w:vAlign w:val="center"/>
          </w:tcPr>
          <w:p>
            <w:pPr>
              <w:pStyle w:val="TableNumber"/>
            </w:pPr>
            <w:r>
              <w:t>0.01777</w:t>
            </w:r>
          </w:p>
        </w:tc>
        <w:tc>
          <w:tcPr>
            <w:tcW w:w="1750" w:type="dxa"/>
            <w:vAlign w:val="center"/>
          </w:tcPr>
          <w:p>
            <w:pPr>
              <w:pStyle w:val="TableNumber"/>
            </w:pPr>
            <w:r>
              <w:t>0.3165</w:t>
            </w:r>
          </w:p>
        </w:tc>
        <w:tc>
          <w:tcPr>
            <w:tcW w:w="1800" w:type="dxa"/>
            <w:vAlign w:val="center"/>
          </w:tcPr>
          <w:p>
            <w:pPr>
              <w:pStyle w:val="TableNumber"/>
            </w:pPr>
            <w:r>
              <w:t>0.05165</w:t>
            </w:r>
          </w:p>
        </w:tc>
        <w:tc>
          <w:tcPr>
            <w:tcW w:w="1760" w:type="dxa"/>
            <w:vAlign w:val="center"/>
          </w:tcPr>
          <w:p>
            <w:pPr>
              <w:pStyle w:val="TableNumber"/>
            </w:pPr>
            <w:r>
              <w:t>0.9198</w:t>
            </w:r>
          </w:p>
        </w:tc>
      </w:tr>
      <w:tr>
        <w:trPr>
          <w:cantSplit/>
        </w:trPr>
        <w:tc>
          <w:tcPr>
            <w:tcW w:w="700" w:type="dxa"/>
            <w:vAlign w:val="center"/>
          </w:tcPr>
          <w:p>
            <w:pPr>
              <w:pStyle w:val="TableText"/>
            </w:pPr>
            <w:r>
              <w:t>7d</w:t>
            </w:r>
          </w:p>
        </w:tc>
        <w:tc>
          <w:tcPr>
            <w:tcW w:w="1500" w:type="dxa"/>
            <w:vAlign w:val="center"/>
          </w:tcPr>
          <w:p>
            <w:pPr>
              <w:pStyle w:val="TableNumber"/>
            </w:pPr>
            <w:r>
              <w:t>0.06152</w:t>
            </w:r>
          </w:p>
        </w:tc>
        <w:tc>
          <w:tcPr>
            <w:tcW w:w="1850" w:type="dxa"/>
            <w:vAlign w:val="center"/>
          </w:tcPr>
          <w:p>
            <w:pPr>
              <w:pStyle w:val="TableNumber"/>
            </w:pPr>
            <w:r>
              <w:t>0.01918</w:t>
            </w:r>
          </w:p>
        </w:tc>
        <w:tc>
          <w:tcPr>
            <w:tcW w:w="1750" w:type="dxa"/>
            <w:vAlign w:val="center"/>
          </w:tcPr>
          <w:p>
            <w:pPr>
              <w:pStyle w:val="TableNumber"/>
            </w:pPr>
            <w:r>
              <w:t>0.3117</w:t>
            </w:r>
          </w:p>
        </w:tc>
        <w:tc>
          <w:tcPr>
            <w:tcW w:w="1800" w:type="dxa"/>
            <w:vAlign w:val="center"/>
          </w:tcPr>
          <w:p>
            <w:pPr>
              <w:pStyle w:val="TableNumber"/>
            </w:pPr>
            <w:r>
              <w:t>0.05589</w:t>
            </w:r>
          </w:p>
        </w:tc>
        <w:tc>
          <w:tcPr>
            <w:tcW w:w="1760" w:type="dxa"/>
            <w:vAlign w:val="center"/>
          </w:tcPr>
          <w:p>
            <w:pPr>
              <w:pStyle w:val="TableNumber"/>
            </w:pPr>
            <w:r>
              <w:t>0.9085</w:t>
            </w:r>
          </w:p>
        </w:tc>
      </w:tr>
      <w:tr>
        <w:trPr>
          <w:cantSplit/>
        </w:trPr>
        <w:tc>
          <w:tcPr>
            <w:tcW w:w="700" w:type="dxa"/>
            <w:vAlign w:val="center"/>
          </w:tcPr>
          <w:p>
            <w:pPr>
              <w:pStyle w:val="TableText"/>
            </w:pPr>
            <w:r>
              <w:t>8d</w:t>
            </w:r>
          </w:p>
        </w:tc>
        <w:tc>
          <w:tcPr>
            <w:tcW w:w="1500" w:type="dxa"/>
            <w:vAlign w:val="center"/>
          </w:tcPr>
          <w:p>
            <w:pPr>
              <w:pStyle w:val="TableNumber"/>
            </w:pPr>
            <w:r>
              <w:t>0.06592</w:t>
            </w:r>
          </w:p>
        </w:tc>
        <w:tc>
          <w:tcPr>
            <w:tcW w:w="1850" w:type="dxa"/>
            <w:vAlign w:val="center"/>
          </w:tcPr>
          <w:p>
            <w:pPr>
              <w:pStyle w:val="TableNumber"/>
            </w:pPr>
            <w:r>
              <w:t>0.02045</w:t>
            </w:r>
          </w:p>
        </w:tc>
        <w:tc>
          <w:tcPr>
            <w:tcW w:w="1750" w:type="dxa"/>
            <w:vAlign w:val="center"/>
          </w:tcPr>
          <w:p>
            <w:pPr>
              <w:pStyle w:val="TableNumber"/>
            </w:pPr>
            <w:r>
              <w:t>0.3102</w:t>
            </w:r>
          </w:p>
        </w:tc>
        <w:tc>
          <w:tcPr>
            <w:tcW w:w="1800" w:type="dxa"/>
            <w:vAlign w:val="center"/>
          </w:tcPr>
          <w:p>
            <w:pPr>
              <w:pStyle w:val="TableNumber"/>
            </w:pPr>
            <w:r>
              <w:t>0.05960</w:t>
            </w:r>
          </w:p>
        </w:tc>
        <w:tc>
          <w:tcPr>
            <w:tcW w:w="1760" w:type="dxa"/>
            <w:vAlign w:val="center"/>
          </w:tcPr>
          <w:p>
            <w:pPr>
              <w:pStyle w:val="TableNumber"/>
            </w:pPr>
            <w:r>
              <w:t>0.9042</w:t>
            </w:r>
          </w:p>
        </w:tc>
      </w:tr>
      <w:tr>
        <w:trPr>
          <w:cantSplit/>
        </w:trPr>
        <w:tc>
          <w:tcPr>
            <w:tcW w:w="700" w:type="dxa"/>
            <w:vAlign w:val="center"/>
          </w:tcPr>
          <w:p>
            <w:pPr>
              <w:pStyle w:val="TableText"/>
            </w:pPr>
            <w:r>
              <w:t>9d</w:t>
            </w:r>
          </w:p>
        </w:tc>
        <w:tc>
          <w:tcPr>
            <w:tcW w:w="1500" w:type="dxa"/>
            <w:vAlign w:val="center"/>
          </w:tcPr>
          <w:p>
            <w:pPr>
              <w:pStyle w:val="TableNumber"/>
            </w:pPr>
            <w:r>
              <w:t>0.07080</w:t>
            </w:r>
          </w:p>
        </w:tc>
        <w:tc>
          <w:tcPr>
            <w:tcW w:w="1850" w:type="dxa"/>
            <w:vAlign w:val="center"/>
          </w:tcPr>
          <w:p>
            <w:pPr>
              <w:pStyle w:val="TableNumber"/>
            </w:pPr>
            <w:r>
              <w:t>0.02159</w:t>
            </w:r>
          </w:p>
        </w:tc>
        <w:tc>
          <w:tcPr>
            <w:tcW w:w="1750" w:type="dxa"/>
            <w:vAlign w:val="center"/>
          </w:tcPr>
          <w:p>
            <w:pPr>
              <w:pStyle w:val="TableNumber"/>
            </w:pPr>
            <w:r>
              <w:t>0.3049</w:t>
            </w:r>
          </w:p>
        </w:tc>
        <w:tc>
          <w:tcPr>
            <w:tcW w:w="1800" w:type="dxa"/>
            <w:vAlign w:val="center"/>
          </w:tcPr>
          <w:p>
            <w:pPr>
              <w:pStyle w:val="TableNumber"/>
            </w:pPr>
            <w:r>
              <w:t>0.06307</w:t>
            </w:r>
          </w:p>
        </w:tc>
        <w:tc>
          <w:tcPr>
            <w:tcW w:w="1760" w:type="dxa"/>
            <w:vAlign w:val="center"/>
          </w:tcPr>
          <w:p>
            <w:pPr>
              <w:pStyle w:val="TableNumber"/>
            </w:pPr>
            <w:r>
              <w:t>0.8908</w:t>
            </w:r>
          </w:p>
        </w:tc>
      </w:tr>
      <w:tr>
        <w:trPr>
          <w:cantSplit/>
        </w:trPr>
        <w:tc>
          <w:tcPr>
            <w:tcW w:w="700" w:type="dxa"/>
            <w:vAlign w:val="center"/>
          </w:tcPr>
          <w:p>
            <w:pPr>
              <w:pStyle w:val="TableText"/>
            </w:pPr>
            <w:r>
              <w:t>10d</w:t>
            </w:r>
          </w:p>
        </w:tc>
        <w:tc>
          <w:tcPr>
            <w:tcW w:w="1500" w:type="dxa"/>
            <w:vAlign w:val="center"/>
          </w:tcPr>
          <w:p>
            <w:pPr>
              <w:pStyle w:val="TableNumber"/>
            </w:pPr>
            <w:r>
              <w:t>0.07520</w:t>
            </w:r>
          </w:p>
        </w:tc>
        <w:tc>
          <w:tcPr>
            <w:tcW w:w="1850" w:type="dxa"/>
            <w:vAlign w:val="center"/>
          </w:tcPr>
          <w:p>
            <w:pPr>
              <w:pStyle w:val="TableNumber"/>
            </w:pPr>
            <w:r>
              <w:t>0.02265</w:t>
            </w:r>
          </w:p>
        </w:tc>
        <w:tc>
          <w:tcPr>
            <w:tcW w:w="1750" w:type="dxa"/>
            <w:vAlign w:val="center"/>
          </w:tcPr>
          <w:p>
            <w:pPr>
              <w:pStyle w:val="TableNumber"/>
            </w:pPr>
            <w:r>
              <w:t>0.3012</w:t>
            </w:r>
          </w:p>
        </w:tc>
        <w:tc>
          <w:tcPr>
            <w:tcW w:w="1800" w:type="dxa"/>
            <w:vAlign w:val="center"/>
          </w:tcPr>
          <w:p>
            <w:pPr>
              <w:pStyle w:val="TableNumber"/>
            </w:pPr>
            <w:r>
              <w:t>0.06630</w:t>
            </w:r>
          </w:p>
        </w:tc>
        <w:tc>
          <w:tcPr>
            <w:tcW w:w="1760" w:type="dxa"/>
            <w:vAlign w:val="center"/>
          </w:tcPr>
          <w:p>
            <w:pPr>
              <w:pStyle w:val="TableNumber"/>
            </w:pPr>
            <w:r>
              <w:t>0.8817</w:t>
            </w:r>
          </w:p>
        </w:tc>
      </w:tr>
      <w:tr>
        <w:trPr>
          <w:cantSplit/>
        </w:trPr>
        <w:tc>
          <w:tcPr>
            <w:tcW w:w="700" w:type="dxa"/>
            <w:vAlign w:val="center"/>
          </w:tcPr>
          <w:p>
            <w:pPr>
              <w:pStyle w:val="TableText"/>
            </w:pPr>
            <w:r>
              <w:t>11d</w:t>
            </w:r>
          </w:p>
        </w:tc>
        <w:tc>
          <w:tcPr>
            <w:tcW w:w="1500" w:type="dxa"/>
            <w:vAlign w:val="center"/>
          </w:tcPr>
          <w:p>
            <w:pPr>
              <w:pStyle w:val="TableNumber"/>
            </w:pPr>
            <w:r>
              <w:t>0.07861</w:t>
            </w:r>
          </w:p>
        </w:tc>
        <w:tc>
          <w:tcPr>
            <w:tcW w:w="1850" w:type="dxa"/>
            <w:vAlign w:val="center"/>
          </w:tcPr>
          <w:p>
            <w:pPr>
              <w:pStyle w:val="TableNumber"/>
            </w:pPr>
            <w:r>
              <w:t>0.02375</w:t>
            </w:r>
          </w:p>
        </w:tc>
        <w:tc>
          <w:tcPr>
            <w:tcW w:w="1750" w:type="dxa"/>
            <w:vAlign w:val="center"/>
          </w:tcPr>
          <w:p>
            <w:pPr>
              <w:pStyle w:val="TableNumber"/>
            </w:pPr>
            <w:r>
              <w:t>0.3021</w:t>
            </w:r>
          </w:p>
        </w:tc>
        <w:tc>
          <w:tcPr>
            <w:tcW w:w="1800" w:type="dxa"/>
            <w:vAlign w:val="center"/>
          </w:tcPr>
          <w:p>
            <w:pPr>
              <w:pStyle w:val="TableNumber"/>
            </w:pPr>
            <w:r>
              <w:t>0.06970</w:t>
            </w:r>
          </w:p>
        </w:tc>
        <w:tc>
          <w:tcPr>
            <w:tcW w:w="1760" w:type="dxa"/>
            <w:vAlign w:val="center"/>
          </w:tcPr>
          <w:p>
            <w:pPr>
              <w:pStyle w:val="TableNumber"/>
            </w:pPr>
            <w:r>
              <w:t>0.8867</w:t>
            </w:r>
          </w:p>
        </w:tc>
      </w:tr>
      <w:tr>
        <w:trPr>
          <w:cantSplit/>
        </w:trPr>
        <w:tc>
          <w:tcPr>
            <w:tcW w:w="700" w:type="dxa"/>
            <w:vAlign w:val="center"/>
          </w:tcPr>
          <w:p>
            <w:pPr>
              <w:pStyle w:val="TableText"/>
            </w:pPr>
            <w:r>
              <w:t>12d</w:t>
            </w:r>
          </w:p>
        </w:tc>
        <w:tc>
          <w:tcPr>
            <w:tcW w:w="1500" w:type="dxa"/>
            <w:vAlign w:val="center"/>
          </w:tcPr>
          <w:p>
            <w:pPr>
              <w:pStyle w:val="TableNumber"/>
            </w:pPr>
            <w:r>
              <w:t>0.08350</w:t>
            </w:r>
          </w:p>
        </w:tc>
        <w:tc>
          <w:tcPr>
            <w:tcW w:w="1850" w:type="dxa"/>
            <w:vAlign w:val="center"/>
          </w:tcPr>
          <w:p>
            <w:pPr>
              <w:pStyle w:val="TableNumber"/>
            </w:pPr>
            <w:r>
              <w:t>0.02475</w:t>
            </w:r>
          </w:p>
        </w:tc>
        <w:tc>
          <w:tcPr>
            <w:tcW w:w="1750" w:type="dxa"/>
            <w:vAlign w:val="center"/>
          </w:tcPr>
          <w:p>
            <w:pPr>
              <w:pStyle w:val="TableNumber"/>
            </w:pPr>
            <w:r>
              <w:t>0.2964</w:t>
            </w:r>
          </w:p>
        </w:tc>
        <w:tc>
          <w:tcPr>
            <w:tcW w:w="1800" w:type="dxa"/>
            <w:vAlign w:val="center"/>
          </w:tcPr>
          <w:p>
            <w:pPr>
              <w:pStyle w:val="TableNumber"/>
            </w:pPr>
            <w:r>
              <w:t>0.07274</w:t>
            </w:r>
          </w:p>
        </w:tc>
        <w:tc>
          <w:tcPr>
            <w:tcW w:w="1760" w:type="dxa"/>
            <w:vAlign w:val="center"/>
          </w:tcPr>
          <w:p>
            <w:pPr>
              <w:pStyle w:val="TableNumber"/>
            </w:pPr>
            <w:r>
              <w:t>0.8712</w:t>
            </w:r>
          </w:p>
        </w:tc>
      </w:tr>
      <w:tr>
        <w:trPr>
          <w:cantSplit/>
        </w:trPr>
        <w:tc>
          <w:tcPr>
            <w:tcW w:w="700" w:type="dxa"/>
            <w:vAlign w:val="center"/>
          </w:tcPr>
          <w:p>
            <w:pPr>
              <w:pStyle w:val="TableText"/>
            </w:pPr>
            <w:r>
              <w:t>13d</w:t>
            </w:r>
          </w:p>
        </w:tc>
        <w:tc>
          <w:tcPr>
            <w:tcW w:w="1500" w:type="dxa"/>
            <w:vAlign w:val="center"/>
          </w:tcPr>
          <w:p>
            <w:pPr>
              <w:pStyle w:val="TableNumber"/>
            </w:pPr>
            <w:r>
              <w:t>0.08789</w:t>
            </w:r>
          </w:p>
        </w:tc>
        <w:tc>
          <w:tcPr>
            <w:tcW w:w="1850" w:type="dxa"/>
            <w:vAlign w:val="center"/>
          </w:tcPr>
          <w:p>
            <w:pPr>
              <w:pStyle w:val="TableNumber"/>
            </w:pPr>
            <w:r>
              <w:t>0.02577</w:t>
            </w:r>
          </w:p>
        </w:tc>
        <w:tc>
          <w:tcPr>
            <w:tcW w:w="1750" w:type="dxa"/>
            <w:vAlign w:val="center"/>
          </w:tcPr>
          <w:p>
            <w:pPr>
              <w:pStyle w:val="TableNumber"/>
            </w:pPr>
            <w:r>
              <w:t>0.2932</w:t>
            </w:r>
          </w:p>
        </w:tc>
        <w:tc>
          <w:tcPr>
            <w:tcW w:w="1800" w:type="dxa"/>
            <w:vAlign w:val="center"/>
          </w:tcPr>
          <w:p>
            <w:pPr>
              <w:pStyle w:val="TableNumber"/>
            </w:pPr>
            <w:r>
              <w:t>0.07582</w:t>
            </w:r>
          </w:p>
        </w:tc>
        <w:tc>
          <w:tcPr>
            <w:tcW w:w="1760" w:type="dxa"/>
            <w:vAlign w:val="center"/>
          </w:tcPr>
          <w:p>
            <w:pPr>
              <w:pStyle w:val="TableNumber"/>
            </w:pPr>
            <w:r>
              <w:t>0.8626</w:t>
            </w:r>
          </w:p>
        </w:tc>
      </w:tr>
      <w:tr>
        <w:trPr>
          <w:cantSplit/>
        </w:trPr>
        <w:tc>
          <w:tcPr>
            <w:tcW w:w="700" w:type="dxa"/>
            <w:vAlign w:val="center"/>
          </w:tcPr>
          <w:p>
            <w:pPr>
              <w:pStyle w:val="TableText"/>
            </w:pPr>
            <w:r>
              <w:t>14d</w:t>
            </w:r>
          </w:p>
        </w:tc>
        <w:tc>
          <w:tcPr>
            <w:tcW w:w="1500" w:type="dxa"/>
            <w:vAlign w:val="center"/>
          </w:tcPr>
          <w:p>
            <w:pPr>
              <w:pStyle w:val="TableNumber"/>
            </w:pPr>
            <w:r>
              <w:t>0.09131</w:t>
            </w:r>
          </w:p>
        </w:tc>
        <w:tc>
          <w:tcPr>
            <w:tcW w:w="1850" w:type="dxa"/>
            <w:vAlign w:val="center"/>
          </w:tcPr>
          <w:p>
            <w:pPr>
              <w:pStyle w:val="TableNumber"/>
            </w:pPr>
            <w:r>
              <w:t>0.02667</w:t>
            </w:r>
          </w:p>
        </w:tc>
        <w:tc>
          <w:tcPr>
            <w:tcW w:w="1750" w:type="dxa"/>
            <w:vAlign w:val="center"/>
          </w:tcPr>
          <w:p>
            <w:pPr>
              <w:pStyle w:val="TableNumber"/>
            </w:pPr>
            <w:r>
              <w:t>0.2921</w:t>
            </w:r>
          </w:p>
        </w:tc>
        <w:tc>
          <w:tcPr>
            <w:tcW w:w="1800" w:type="dxa"/>
            <w:vAlign w:val="center"/>
          </w:tcPr>
          <w:p>
            <w:pPr>
              <w:pStyle w:val="TableNumber"/>
            </w:pPr>
            <w:r>
              <w:t>0.07854</w:t>
            </w:r>
          </w:p>
        </w:tc>
        <w:tc>
          <w:tcPr>
            <w:tcW w:w="1760" w:type="dxa"/>
            <w:vAlign w:val="center"/>
          </w:tcPr>
          <w:p>
            <w:pPr>
              <w:pStyle w:val="TableNumber"/>
            </w:pPr>
            <w:r>
              <w:t>0.8602</w:t>
            </w:r>
          </w:p>
        </w:tc>
      </w:tr>
    </w:tbl>
    <w:p>
      <w:pPr>
        <w:pStyle w:val="Decision"/>
        <w:keepNext/>
        <w:spacing w:after="80"/>
      </w:pPr>
      <w:r>
        <w:t>表 5｜q50 共變、方向與 q10–q90 區間</w:t>
      </w:r>
    </w:p>
    <w:tbl>
      <w:tblPr>
        <w:tblStyle w:val="BenchmarkTable"/>
        <w:tblW w:w="9360" w:type="dxa"/>
        <w:tblLayout w:type="fixed"/>
      </w:tblPr>
      <w:tblGrid>
        <w:gridCol w:w="700"/>
        <w:gridCol w:w="1700"/>
        <w:gridCol w:w="1750"/>
        <w:gridCol w:w="1750"/>
        <w:gridCol w:w="1900"/>
        <w:gridCol w:w="1560"/>
      </w:tblGrid>
      <w:tr>
        <w:trPr>
          <w:tblHeader/>
        </w:trPr>
        <w:tc>
          <w:tcPr>
            <w:tcW w:w="700" w:type="dxa"/>
            <w:shd w:val="clear" w:fill="DCE6F1"/>
            <w:vAlign w:val="center"/>
          </w:tcPr>
          <w:p>
            <w:pPr>
              <w:pStyle w:val="TableHeader"/>
            </w:pPr>
            <w:r>
              <w:t>H</w:t>
            </w:r>
          </w:p>
        </w:tc>
        <w:tc>
          <w:tcPr>
            <w:tcW w:w="1700" w:type="dxa"/>
            <w:shd w:val="clear" w:fill="DCE6F1"/>
            <w:vAlign w:val="center"/>
          </w:tcPr>
          <w:p>
            <w:pPr>
              <w:pStyle w:val="TableHeader"/>
            </w:pPr>
            <w:r>
              <w:t>q50 corr.</w:t>
            </w:r>
          </w:p>
        </w:tc>
        <w:tc>
          <w:tcPr>
            <w:tcW w:w="1750" w:type="dxa"/>
            <w:shd w:val="clear" w:fill="DCE6F1"/>
            <w:vAlign w:val="center"/>
          </w:tcPr>
          <w:p>
            <w:pPr>
              <w:pStyle w:val="TableHeader"/>
            </w:pPr>
            <w:r>
              <w:t>Direction</w:t>
            </w:r>
          </w:p>
        </w:tc>
        <w:tc>
          <w:tcPr>
            <w:tcW w:w="1750" w:type="dxa"/>
            <w:shd w:val="clear" w:fill="DCE6F1"/>
            <w:vAlign w:val="center"/>
          </w:tcPr>
          <w:p>
            <w:pPr>
              <w:pStyle w:val="TableHeader"/>
            </w:pPr>
            <w:r>
              <w:t>Coverage</w:t>
            </w:r>
          </w:p>
        </w:tc>
        <w:tc>
          <w:tcPr>
            <w:tcW w:w="1900" w:type="dxa"/>
            <w:shd w:val="clear" w:fill="DCE6F1"/>
            <w:vAlign w:val="center"/>
          </w:tcPr>
          <w:p>
            <w:pPr>
              <w:pStyle w:val="TableHeader"/>
            </w:pPr>
            <w:r>
              <w:t>Gap to 80%</w:t>
            </w:r>
          </w:p>
        </w:tc>
        <w:tc>
          <w:tcPr>
            <w:tcW w:w="1560" w:type="dxa"/>
            <w:shd w:val="clear" w:fill="DCE6F1"/>
            <w:vAlign w:val="center"/>
          </w:tcPr>
          <w:p>
            <w:pPr>
              <w:pStyle w:val="TableHeader"/>
            </w:pPr>
            <w:r>
              <w:t>Width</w:t>
            </w:r>
          </w:p>
        </w:tc>
      </w:tr>
      <w:tr>
        <w:trPr>
          <w:cantSplit/>
        </w:trPr>
        <w:tc>
          <w:tcPr>
            <w:tcW w:w="700" w:type="dxa"/>
            <w:vAlign w:val="center"/>
          </w:tcPr>
          <w:p>
            <w:pPr>
              <w:pStyle w:val="TableText"/>
            </w:pPr>
            <w:r>
              <w:t>1d</w:t>
            </w:r>
          </w:p>
        </w:tc>
        <w:tc>
          <w:tcPr>
            <w:tcW w:w="1700" w:type="dxa"/>
            <w:vAlign w:val="center"/>
          </w:tcPr>
          <w:p>
            <w:pPr>
              <w:pStyle w:val="TableNumber"/>
            </w:pPr>
            <w:r>
              <w:t>0.0507</w:t>
            </w:r>
          </w:p>
        </w:tc>
        <w:tc>
          <w:tcPr>
            <w:tcW w:w="1750" w:type="dxa"/>
            <w:vAlign w:val="center"/>
          </w:tcPr>
          <w:p>
            <w:pPr>
              <w:pStyle w:val="TableNumber"/>
            </w:pPr>
            <w:r>
              <w:t>49.40%</w:t>
            </w:r>
          </w:p>
        </w:tc>
        <w:tc>
          <w:tcPr>
            <w:tcW w:w="1750" w:type="dxa"/>
            <w:vAlign w:val="center"/>
          </w:tcPr>
          <w:p>
            <w:pPr>
              <w:pStyle w:val="TableNumber"/>
            </w:pPr>
            <w:r>
              <w:t>83.59%</w:t>
            </w:r>
          </w:p>
        </w:tc>
        <w:tc>
          <w:tcPr>
            <w:tcW w:w="1900" w:type="dxa"/>
            <w:vAlign w:val="center"/>
          </w:tcPr>
          <w:p>
            <w:pPr>
              <w:pStyle w:val="TableNumber"/>
            </w:pPr>
            <w:r>
              <w:t>3.59 pp</w:t>
            </w:r>
          </w:p>
        </w:tc>
        <w:tc>
          <w:tcPr>
            <w:tcW w:w="1560" w:type="dxa"/>
            <w:vAlign w:val="center"/>
          </w:tcPr>
          <w:p>
            <w:pPr>
              <w:pStyle w:val="TableNumber"/>
            </w:pPr>
            <w:r>
              <w:t>0.0604</w:t>
            </w:r>
          </w:p>
        </w:tc>
      </w:tr>
      <w:tr>
        <w:trPr>
          <w:cantSplit/>
        </w:trPr>
        <w:tc>
          <w:tcPr>
            <w:tcW w:w="700" w:type="dxa"/>
            <w:vAlign w:val="center"/>
          </w:tcPr>
          <w:p>
            <w:pPr>
              <w:pStyle w:val="TableText"/>
            </w:pPr>
            <w:r>
              <w:t>2d</w:t>
            </w:r>
          </w:p>
        </w:tc>
        <w:tc>
          <w:tcPr>
            <w:tcW w:w="1700" w:type="dxa"/>
            <w:vAlign w:val="center"/>
          </w:tcPr>
          <w:p>
            <w:pPr>
              <w:pStyle w:val="TableNumber"/>
            </w:pPr>
            <w:r>
              <w:t>0.0598</w:t>
            </w:r>
          </w:p>
        </w:tc>
        <w:tc>
          <w:tcPr>
            <w:tcW w:w="1750" w:type="dxa"/>
            <w:vAlign w:val="center"/>
          </w:tcPr>
          <w:p>
            <w:pPr>
              <w:pStyle w:val="TableNumber"/>
            </w:pPr>
            <w:r>
              <w:t>50.36%</w:t>
            </w:r>
          </w:p>
        </w:tc>
        <w:tc>
          <w:tcPr>
            <w:tcW w:w="1750" w:type="dxa"/>
            <w:vAlign w:val="center"/>
          </w:tcPr>
          <w:p>
            <w:pPr>
              <w:pStyle w:val="TableNumber"/>
            </w:pPr>
            <w:r>
              <w:t>82.11%</w:t>
            </w:r>
          </w:p>
        </w:tc>
        <w:tc>
          <w:tcPr>
            <w:tcW w:w="1900" w:type="dxa"/>
            <w:vAlign w:val="center"/>
          </w:tcPr>
          <w:p>
            <w:pPr>
              <w:pStyle w:val="TableNumber"/>
            </w:pPr>
            <w:r>
              <w:t>2.11 pp</w:t>
            </w:r>
          </w:p>
        </w:tc>
        <w:tc>
          <w:tcPr>
            <w:tcW w:w="1560" w:type="dxa"/>
            <w:vAlign w:val="center"/>
          </w:tcPr>
          <w:p>
            <w:pPr>
              <w:pStyle w:val="TableNumber"/>
            </w:pPr>
            <w:r>
              <w:t>0.0880</w:t>
            </w:r>
          </w:p>
        </w:tc>
      </w:tr>
      <w:tr>
        <w:trPr>
          <w:cantSplit/>
        </w:trPr>
        <w:tc>
          <w:tcPr>
            <w:tcW w:w="700" w:type="dxa"/>
            <w:vAlign w:val="center"/>
          </w:tcPr>
          <w:p>
            <w:pPr>
              <w:pStyle w:val="TableText"/>
            </w:pPr>
            <w:r>
              <w:t>3d</w:t>
            </w:r>
          </w:p>
        </w:tc>
        <w:tc>
          <w:tcPr>
            <w:tcW w:w="1700" w:type="dxa"/>
            <w:vAlign w:val="center"/>
          </w:tcPr>
          <w:p>
            <w:pPr>
              <w:pStyle w:val="TableNumber"/>
            </w:pPr>
            <w:r>
              <w:t>0.0694</w:t>
            </w:r>
          </w:p>
        </w:tc>
        <w:tc>
          <w:tcPr>
            <w:tcW w:w="1750" w:type="dxa"/>
            <w:vAlign w:val="center"/>
          </w:tcPr>
          <w:p>
            <w:pPr>
              <w:pStyle w:val="TableNumber"/>
            </w:pPr>
            <w:r>
              <w:t>51.73%</w:t>
            </w:r>
          </w:p>
        </w:tc>
        <w:tc>
          <w:tcPr>
            <w:tcW w:w="1750" w:type="dxa"/>
            <w:vAlign w:val="center"/>
          </w:tcPr>
          <w:p>
            <w:pPr>
              <w:pStyle w:val="TableNumber"/>
            </w:pPr>
            <w:r>
              <w:t>80.69%</w:t>
            </w:r>
          </w:p>
        </w:tc>
        <w:tc>
          <w:tcPr>
            <w:tcW w:w="1900" w:type="dxa"/>
            <w:vAlign w:val="center"/>
          </w:tcPr>
          <w:p>
            <w:pPr>
              <w:pStyle w:val="TableNumber"/>
            </w:pPr>
            <w:r>
              <w:t>0.69 pp</w:t>
            </w:r>
          </w:p>
        </w:tc>
        <w:tc>
          <w:tcPr>
            <w:tcW w:w="1560" w:type="dxa"/>
            <w:vAlign w:val="center"/>
          </w:tcPr>
          <w:p>
            <w:pPr>
              <w:pStyle w:val="TableNumber"/>
            </w:pPr>
            <w:r>
              <w:t>0.1072</w:t>
            </w:r>
          </w:p>
        </w:tc>
      </w:tr>
      <w:tr>
        <w:trPr>
          <w:cantSplit/>
        </w:trPr>
        <w:tc>
          <w:tcPr>
            <w:tcW w:w="700" w:type="dxa"/>
            <w:vAlign w:val="center"/>
          </w:tcPr>
          <w:p>
            <w:pPr>
              <w:pStyle w:val="TableText"/>
            </w:pPr>
            <w:r>
              <w:t>4d</w:t>
            </w:r>
          </w:p>
        </w:tc>
        <w:tc>
          <w:tcPr>
            <w:tcW w:w="1700" w:type="dxa"/>
            <w:vAlign w:val="center"/>
          </w:tcPr>
          <w:p>
            <w:pPr>
              <w:pStyle w:val="TableNumber"/>
            </w:pPr>
            <w:r>
              <w:t>0.0733</w:t>
            </w:r>
          </w:p>
        </w:tc>
        <w:tc>
          <w:tcPr>
            <w:tcW w:w="1750" w:type="dxa"/>
            <w:vAlign w:val="center"/>
          </w:tcPr>
          <w:p>
            <w:pPr>
              <w:pStyle w:val="TableNumber"/>
            </w:pPr>
            <w:r>
              <w:t>53.13%</w:t>
            </w:r>
          </w:p>
        </w:tc>
        <w:tc>
          <w:tcPr>
            <w:tcW w:w="1750" w:type="dxa"/>
            <w:vAlign w:val="center"/>
          </w:tcPr>
          <w:p>
            <w:pPr>
              <w:pStyle w:val="TableNumber"/>
            </w:pPr>
            <w:r>
              <w:t>79.62%</w:t>
            </w:r>
          </w:p>
        </w:tc>
        <w:tc>
          <w:tcPr>
            <w:tcW w:w="1900" w:type="dxa"/>
            <w:vAlign w:val="center"/>
          </w:tcPr>
          <w:p>
            <w:pPr>
              <w:pStyle w:val="TableNumber"/>
            </w:pPr>
            <w:r>
              <w:t>0.38 pp</w:t>
            </w:r>
          </w:p>
        </w:tc>
        <w:tc>
          <w:tcPr>
            <w:tcW w:w="1560" w:type="dxa"/>
            <w:vAlign w:val="center"/>
          </w:tcPr>
          <w:p>
            <w:pPr>
              <w:pStyle w:val="TableNumber"/>
            </w:pPr>
            <w:r>
              <w:t>0.1218</w:t>
            </w:r>
          </w:p>
        </w:tc>
      </w:tr>
      <w:tr>
        <w:trPr>
          <w:cantSplit/>
        </w:trPr>
        <w:tc>
          <w:tcPr>
            <w:tcW w:w="700" w:type="dxa"/>
            <w:vAlign w:val="center"/>
          </w:tcPr>
          <w:p>
            <w:pPr>
              <w:pStyle w:val="TableText"/>
            </w:pPr>
            <w:r>
              <w:t>5d</w:t>
            </w:r>
          </w:p>
        </w:tc>
        <w:tc>
          <w:tcPr>
            <w:tcW w:w="1700" w:type="dxa"/>
            <w:vAlign w:val="center"/>
          </w:tcPr>
          <w:p>
            <w:pPr>
              <w:pStyle w:val="TableNumber"/>
            </w:pPr>
            <w:r>
              <w:t>0.0788</w:t>
            </w:r>
          </w:p>
        </w:tc>
        <w:tc>
          <w:tcPr>
            <w:tcW w:w="1750" w:type="dxa"/>
            <w:vAlign w:val="center"/>
          </w:tcPr>
          <w:p>
            <w:pPr>
              <w:pStyle w:val="TableNumber"/>
            </w:pPr>
            <w:r>
              <w:t>53.55%</w:t>
            </w:r>
          </w:p>
        </w:tc>
        <w:tc>
          <w:tcPr>
            <w:tcW w:w="1750" w:type="dxa"/>
            <w:vAlign w:val="center"/>
          </w:tcPr>
          <w:p>
            <w:pPr>
              <w:pStyle w:val="TableNumber"/>
            </w:pPr>
            <w:r>
              <w:t>79.12%</w:t>
            </w:r>
          </w:p>
        </w:tc>
        <w:tc>
          <w:tcPr>
            <w:tcW w:w="1900" w:type="dxa"/>
            <w:vAlign w:val="center"/>
          </w:tcPr>
          <w:p>
            <w:pPr>
              <w:pStyle w:val="TableNumber"/>
            </w:pPr>
            <w:r>
              <w:t>0.89 pp</w:t>
            </w:r>
          </w:p>
        </w:tc>
        <w:tc>
          <w:tcPr>
            <w:tcW w:w="1560" w:type="dxa"/>
            <w:vAlign w:val="center"/>
          </w:tcPr>
          <w:p>
            <w:pPr>
              <w:pStyle w:val="TableNumber"/>
            </w:pPr>
            <w:r>
              <w:t>0.1353</w:t>
            </w:r>
          </w:p>
        </w:tc>
      </w:tr>
      <w:tr>
        <w:trPr>
          <w:cantSplit/>
        </w:trPr>
        <w:tc>
          <w:tcPr>
            <w:tcW w:w="700" w:type="dxa"/>
            <w:vAlign w:val="center"/>
          </w:tcPr>
          <w:p>
            <w:pPr>
              <w:pStyle w:val="TableText"/>
            </w:pPr>
            <w:r>
              <w:t>6d</w:t>
            </w:r>
          </w:p>
        </w:tc>
        <w:tc>
          <w:tcPr>
            <w:tcW w:w="1700" w:type="dxa"/>
            <w:vAlign w:val="center"/>
          </w:tcPr>
          <w:p>
            <w:pPr>
              <w:pStyle w:val="TableNumber"/>
            </w:pPr>
            <w:r>
              <w:t>0.0809</w:t>
            </w:r>
          </w:p>
        </w:tc>
        <w:tc>
          <w:tcPr>
            <w:tcW w:w="1750" w:type="dxa"/>
            <w:vAlign w:val="center"/>
          </w:tcPr>
          <w:p>
            <w:pPr>
              <w:pStyle w:val="TableNumber"/>
            </w:pPr>
            <w:r>
              <w:t>54.50%</w:t>
            </w:r>
          </w:p>
        </w:tc>
        <w:tc>
          <w:tcPr>
            <w:tcW w:w="1750" w:type="dxa"/>
            <w:vAlign w:val="center"/>
          </w:tcPr>
          <w:p>
            <w:pPr>
              <w:pStyle w:val="TableNumber"/>
            </w:pPr>
            <w:r>
              <w:t>79.17%</w:t>
            </w:r>
          </w:p>
        </w:tc>
        <w:tc>
          <w:tcPr>
            <w:tcW w:w="1900" w:type="dxa"/>
            <w:vAlign w:val="center"/>
          </w:tcPr>
          <w:p>
            <w:pPr>
              <w:pStyle w:val="TableNumber"/>
            </w:pPr>
            <w:r>
              <w:t>0.83 pp</w:t>
            </w:r>
          </w:p>
        </w:tc>
        <w:tc>
          <w:tcPr>
            <w:tcW w:w="1560" w:type="dxa"/>
            <w:vAlign w:val="center"/>
          </w:tcPr>
          <w:p>
            <w:pPr>
              <w:pStyle w:val="TableNumber"/>
            </w:pPr>
            <w:r>
              <w:t>0.1485</w:t>
            </w:r>
          </w:p>
        </w:tc>
      </w:tr>
      <w:tr>
        <w:trPr>
          <w:cantSplit/>
        </w:trPr>
        <w:tc>
          <w:tcPr>
            <w:tcW w:w="700" w:type="dxa"/>
            <w:vAlign w:val="center"/>
          </w:tcPr>
          <w:p>
            <w:pPr>
              <w:pStyle w:val="TableText"/>
            </w:pPr>
            <w:r>
              <w:t>7d</w:t>
            </w:r>
          </w:p>
        </w:tc>
        <w:tc>
          <w:tcPr>
            <w:tcW w:w="1700" w:type="dxa"/>
            <w:vAlign w:val="center"/>
          </w:tcPr>
          <w:p>
            <w:pPr>
              <w:pStyle w:val="TableNumber"/>
            </w:pPr>
            <w:r>
              <w:t>0.0828</w:t>
            </w:r>
          </w:p>
        </w:tc>
        <w:tc>
          <w:tcPr>
            <w:tcW w:w="1750" w:type="dxa"/>
            <w:vAlign w:val="center"/>
          </w:tcPr>
          <w:p>
            <w:pPr>
              <w:pStyle w:val="TableNumber"/>
            </w:pPr>
            <w:r>
              <w:t>53.84%</w:t>
            </w:r>
          </w:p>
        </w:tc>
        <w:tc>
          <w:tcPr>
            <w:tcW w:w="1750" w:type="dxa"/>
            <w:vAlign w:val="center"/>
          </w:tcPr>
          <w:p>
            <w:pPr>
              <w:pStyle w:val="TableNumber"/>
            </w:pPr>
            <w:r>
              <w:t>78.44%</w:t>
            </w:r>
          </w:p>
        </w:tc>
        <w:tc>
          <w:tcPr>
            <w:tcW w:w="1900" w:type="dxa"/>
            <w:vAlign w:val="center"/>
          </w:tcPr>
          <w:p>
            <w:pPr>
              <w:pStyle w:val="TableNumber"/>
            </w:pPr>
            <w:r>
              <w:t>1.57 pp</w:t>
            </w:r>
          </w:p>
        </w:tc>
        <w:tc>
          <w:tcPr>
            <w:tcW w:w="1560" w:type="dxa"/>
            <w:vAlign w:val="center"/>
          </w:tcPr>
          <w:p>
            <w:pPr>
              <w:pStyle w:val="TableNumber"/>
            </w:pPr>
            <w:r>
              <w:t>0.1588</w:t>
            </w:r>
          </w:p>
        </w:tc>
      </w:tr>
      <w:tr>
        <w:trPr>
          <w:cantSplit/>
        </w:trPr>
        <w:tc>
          <w:tcPr>
            <w:tcW w:w="700" w:type="dxa"/>
            <w:vAlign w:val="center"/>
          </w:tcPr>
          <w:p>
            <w:pPr>
              <w:pStyle w:val="TableText"/>
            </w:pPr>
            <w:r>
              <w:t>8d</w:t>
            </w:r>
          </w:p>
        </w:tc>
        <w:tc>
          <w:tcPr>
            <w:tcW w:w="1700" w:type="dxa"/>
            <w:vAlign w:val="center"/>
          </w:tcPr>
          <w:p>
            <w:pPr>
              <w:pStyle w:val="TableNumber"/>
            </w:pPr>
            <w:r>
              <w:t>0.0847</w:t>
            </w:r>
          </w:p>
        </w:tc>
        <w:tc>
          <w:tcPr>
            <w:tcW w:w="1750" w:type="dxa"/>
            <w:vAlign w:val="center"/>
          </w:tcPr>
          <w:p>
            <w:pPr>
              <w:pStyle w:val="TableNumber"/>
            </w:pPr>
            <w:r>
              <w:t>54.52%</w:t>
            </w:r>
          </w:p>
        </w:tc>
        <w:tc>
          <w:tcPr>
            <w:tcW w:w="1750" w:type="dxa"/>
            <w:vAlign w:val="center"/>
          </w:tcPr>
          <w:p>
            <w:pPr>
              <w:pStyle w:val="TableNumber"/>
            </w:pPr>
            <w:r>
              <w:t>77.90%</w:t>
            </w:r>
          </w:p>
        </w:tc>
        <w:tc>
          <w:tcPr>
            <w:tcW w:w="1900" w:type="dxa"/>
            <w:vAlign w:val="center"/>
          </w:tcPr>
          <w:p>
            <w:pPr>
              <w:pStyle w:val="TableNumber"/>
            </w:pPr>
            <w:r>
              <w:t>2.11 pp</w:t>
            </w:r>
          </w:p>
        </w:tc>
        <w:tc>
          <w:tcPr>
            <w:tcW w:w="1560" w:type="dxa"/>
            <w:vAlign w:val="center"/>
          </w:tcPr>
          <w:p>
            <w:pPr>
              <w:pStyle w:val="TableNumber"/>
            </w:pPr>
            <w:r>
              <w:t>0.1687</w:t>
            </w:r>
          </w:p>
        </w:tc>
      </w:tr>
      <w:tr>
        <w:trPr>
          <w:cantSplit/>
        </w:trPr>
        <w:tc>
          <w:tcPr>
            <w:tcW w:w="700" w:type="dxa"/>
            <w:vAlign w:val="center"/>
          </w:tcPr>
          <w:p>
            <w:pPr>
              <w:pStyle w:val="TableText"/>
            </w:pPr>
            <w:r>
              <w:t>9d</w:t>
            </w:r>
          </w:p>
        </w:tc>
        <w:tc>
          <w:tcPr>
            <w:tcW w:w="1700" w:type="dxa"/>
            <w:vAlign w:val="center"/>
          </w:tcPr>
          <w:p>
            <w:pPr>
              <w:pStyle w:val="TableNumber"/>
            </w:pPr>
            <w:r>
              <w:t>0.0950</w:t>
            </w:r>
          </w:p>
        </w:tc>
        <w:tc>
          <w:tcPr>
            <w:tcW w:w="1750" w:type="dxa"/>
            <w:vAlign w:val="center"/>
          </w:tcPr>
          <w:p>
            <w:pPr>
              <w:pStyle w:val="TableNumber"/>
            </w:pPr>
            <w:r>
              <w:t>55.09%</w:t>
            </w:r>
          </w:p>
        </w:tc>
        <w:tc>
          <w:tcPr>
            <w:tcW w:w="1750" w:type="dxa"/>
            <w:vAlign w:val="center"/>
          </w:tcPr>
          <w:p>
            <w:pPr>
              <w:pStyle w:val="TableNumber"/>
            </w:pPr>
            <w:r>
              <w:t>77.53%</w:t>
            </w:r>
          </w:p>
        </w:tc>
        <w:tc>
          <w:tcPr>
            <w:tcW w:w="1900" w:type="dxa"/>
            <w:vAlign w:val="center"/>
          </w:tcPr>
          <w:p>
            <w:pPr>
              <w:pStyle w:val="TableNumber"/>
            </w:pPr>
            <w:r>
              <w:t>2.47 pp</w:t>
            </w:r>
          </w:p>
        </w:tc>
        <w:tc>
          <w:tcPr>
            <w:tcW w:w="1560" w:type="dxa"/>
            <w:vAlign w:val="center"/>
          </w:tcPr>
          <w:p>
            <w:pPr>
              <w:pStyle w:val="TableNumber"/>
            </w:pPr>
            <w:r>
              <w:t>0.1782</w:t>
            </w:r>
          </w:p>
        </w:tc>
      </w:tr>
      <w:tr>
        <w:trPr>
          <w:cantSplit/>
        </w:trPr>
        <w:tc>
          <w:tcPr>
            <w:tcW w:w="700" w:type="dxa"/>
            <w:vAlign w:val="center"/>
          </w:tcPr>
          <w:p>
            <w:pPr>
              <w:pStyle w:val="TableText"/>
            </w:pPr>
            <w:r>
              <w:t>10d</w:t>
            </w:r>
          </w:p>
        </w:tc>
        <w:tc>
          <w:tcPr>
            <w:tcW w:w="1700" w:type="dxa"/>
            <w:vAlign w:val="center"/>
          </w:tcPr>
          <w:p>
            <w:pPr>
              <w:pStyle w:val="TableNumber"/>
            </w:pPr>
            <w:r>
              <w:t>0.0971</w:t>
            </w:r>
          </w:p>
        </w:tc>
        <w:tc>
          <w:tcPr>
            <w:tcW w:w="1750" w:type="dxa"/>
            <w:vAlign w:val="center"/>
          </w:tcPr>
          <w:p>
            <w:pPr>
              <w:pStyle w:val="TableNumber"/>
            </w:pPr>
            <w:r>
              <w:t>55.62%</w:t>
            </w:r>
          </w:p>
        </w:tc>
        <w:tc>
          <w:tcPr>
            <w:tcW w:w="1750" w:type="dxa"/>
            <w:vAlign w:val="center"/>
          </w:tcPr>
          <w:p>
            <w:pPr>
              <w:pStyle w:val="TableNumber"/>
            </w:pPr>
            <w:r>
              <w:t>78.00%</w:t>
            </w:r>
          </w:p>
        </w:tc>
        <w:tc>
          <w:tcPr>
            <w:tcW w:w="1900" w:type="dxa"/>
            <w:vAlign w:val="center"/>
          </w:tcPr>
          <w:p>
            <w:pPr>
              <w:pStyle w:val="TableNumber"/>
            </w:pPr>
            <w:r>
              <w:t>2.00 pp</w:t>
            </w:r>
          </w:p>
        </w:tc>
        <w:tc>
          <w:tcPr>
            <w:tcW w:w="1560" w:type="dxa"/>
            <w:vAlign w:val="center"/>
          </w:tcPr>
          <w:p>
            <w:pPr>
              <w:pStyle w:val="TableNumber"/>
            </w:pPr>
            <w:r>
              <w:t>0.1880</w:t>
            </w:r>
          </w:p>
        </w:tc>
      </w:tr>
      <w:tr>
        <w:trPr>
          <w:cantSplit/>
        </w:trPr>
        <w:tc>
          <w:tcPr>
            <w:tcW w:w="700" w:type="dxa"/>
            <w:vAlign w:val="center"/>
          </w:tcPr>
          <w:p>
            <w:pPr>
              <w:pStyle w:val="TableText"/>
            </w:pPr>
            <w:r>
              <w:t>11d</w:t>
            </w:r>
          </w:p>
        </w:tc>
        <w:tc>
          <w:tcPr>
            <w:tcW w:w="1700" w:type="dxa"/>
            <w:vAlign w:val="center"/>
          </w:tcPr>
          <w:p>
            <w:pPr>
              <w:pStyle w:val="TableNumber"/>
            </w:pPr>
            <w:r>
              <w:t>0.1008</w:t>
            </w:r>
          </w:p>
        </w:tc>
        <w:tc>
          <w:tcPr>
            <w:tcW w:w="1750" w:type="dxa"/>
            <w:vAlign w:val="center"/>
          </w:tcPr>
          <w:p>
            <w:pPr>
              <w:pStyle w:val="TableNumber"/>
            </w:pPr>
            <w:r>
              <w:t>56.19%</w:t>
            </w:r>
          </w:p>
        </w:tc>
        <w:tc>
          <w:tcPr>
            <w:tcW w:w="1750" w:type="dxa"/>
            <w:vAlign w:val="center"/>
          </w:tcPr>
          <w:p>
            <w:pPr>
              <w:pStyle w:val="TableNumber"/>
            </w:pPr>
            <w:r>
              <w:t>77.13%</w:t>
            </w:r>
          </w:p>
        </w:tc>
        <w:tc>
          <w:tcPr>
            <w:tcW w:w="1900" w:type="dxa"/>
            <w:vAlign w:val="center"/>
          </w:tcPr>
          <w:p>
            <w:pPr>
              <w:pStyle w:val="TableNumber"/>
            </w:pPr>
            <w:r>
              <w:t>2.87 pp</w:t>
            </w:r>
          </w:p>
        </w:tc>
        <w:tc>
          <w:tcPr>
            <w:tcW w:w="1560" w:type="dxa"/>
            <w:vAlign w:val="center"/>
          </w:tcPr>
          <w:p>
            <w:pPr>
              <w:pStyle w:val="TableNumber"/>
            </w:pPr>
            <w:r>
              <w:t>0.1975</w:t>
            </w:r>
          </w:p>
        </w:tc>
      </w:tr>
      <w:tr>
        <w:trPr>
          <w:cantSplit/>
        </w:trPr>
        <w:tc>
          <w:tcPr>
            <w:tcW w:w="700" w:type="dxa"/>
            <w:vAlign w:val="center"/>
          </w:tcPr>
          <w:p>
            <w:pPr>
              <w:pStyle w:val="TableText"/>
            </w:pPr>
            <w:r>
              <w:t>12d</w:t>
            </w:r>
          </w:p>
        </w:tc>
        <w:tc>
          <w:tcPr>
            <w:tcW w:w="1700" w:type="dxa"/>
            <w:vAlign w:val="center"/>
          </w:tcPr>
          <w:p>
            <w:pPr>
              <w:pStyle w:val="TableNumber"/>
            </w:pPr>
            <w:r>
              <w:t>0.1046</w:t>
            </w:r>
          </w:p>
        </w:tc>
        <w:tc>
          <w:tcPr>
            <w:tcW w:w="1750" w:type="dxa"/>
            <w:vAlign w:val="center"/>
          </w:tcPr>
          <w:p>
            <w:pPr>
              <w:pStyle w:val="TableNumber"/>
            </w:pPr>
            <w:r>
              <w:t>56.29%</w:t>
            </w:r>
          </w:p>
        </w:tc>
        <w:tc>
          <w:tcPr>
            <w:tcW w:w="1750" w:type="dxa"/>
            <w:vAlign w:val="center"/>
          </w:tcPr>
          <w:p>
            <w:pPr>
              <w:pStyle w:val="TableNumber"/>
            </w:pPr>
            <w:r>
              <w:t>76.55%</w:t>
            </w:r>
          </w:p>
        </w:tc>
        <w:tc>
          <w:tcPr>
            <w:tcW w:w="1900" w:type="dxa"/>
            <w:vAlign w:val="center"/>
          </w:tcPr>
          <w:p>
            <w:pPr>
              <w:pStyle w:val="TableNumber"/>
            </w:pPr>
            <w:r>
              <w:t>3.45 pp</w:t>
            </w:r>
          </w:p>
        </w:tc>
        <w:tc>
          <w:tcPr>
            <w:tcW w:w="1560" w:type="dxa"/>
            <w:vAlign w:val="center"/>
          </w:tcPr>
          <w:p>
            <w:pPr>
              <w:pStyle w:val="TableNumber"/>
            </w:pPr>
            <w:r>
              <w:t>0.2050</w:t>
            </w:r>
          </w:p>
        </w:tc>
      </w:tr>
      <w:tr>
        <w:trPr>
          <w:cantSplit/>
        </w:trPr>
        <w:tc>
          <w:tcPr>
            <w:tcW w:w="700" w:type="dxa"/>
            <w:vAlign w:val="center"/>
          </w:tcPr>
          <w:p>
            <w:pPr>
              <w:pStyle w:val="TableText"/>
            </w:pPr>
            <w:r>
              <w:t>13d</w:t>
            </w:r>
          </w:p>
        </w:tc>
        <w:tc>
          <w:tcPr>
            <w:tcW w:w="1700" w:type="dxa"/>
            <w:vAlign w:val="center"/>
          </w:tcPr>
          <w:p>
            <w:pPr>
              <w:pStyle w:val="TableNumber"/>
            </w:pPr>
            <w:r>
              <w:t>0.1000</w:t>
            </w:r>
          </w:p>
        </w:tc>
        <w:tc>
          <w:tcPr>
            <w:tcW w:w="1750" w:type="dxa"/>
            <w:vAlign w:val="center"/>
          </w:tcPr>
          <w:p>
            <w:pPr>
              <w:pStyle w:val="TableNumber"/>
            </w:pPr>
            <w:r>
              <w:t>55.24%</w:t>
            </w:r>
          </w:p>
        </w:tc>
        <w:tc>
          <w:tcPr>
            <w:tcW w:w="1750" w:type="dxa"/>
            <w:vAlign w:val="center"/>
          </w:tcPr>
          <w:p>
            <w:pPr>
              <w:pStyle w:val="TableNumber"/>
            </w:pPr>
            <w:r>
              <w:t>76.05%</w:t>
            </w:r>
          </w:p>
        </w:tc>
        <w:tc>
          <w:tcPr>
            <w:tcW w:w="1900" w:type="dxa"/>
            <w:vAlign w:val="center"/>
          </w:tcPr>
          <w:p>
            <w:pPr>
              <w:pStyle w:val="TableNumber"/>
            </w:pPr>
            <w:r>
              <w:t>3.95 pp</w:t>
            </w:r>
          </w:p>
        </w:tc>
        <w:tc>
          <w:tcPr>
            <w:tcW w:w="1560" w:type="dxa"/>
            <w:vAlign w:val="center"/>
          </w:tcPr>
          <w:p>
            <w:pPr>
              <w:pStyle w:val="TableNumber"/>
            </w:pPr>
            <w:r>
              <w:t>0.2129</w:t>
            </w:r>
          </w:p>
        </w:tc>
      </w:tr>
      <w:tr>
        <w:trPr>
          <w:cantSplit/>
        </w:trPr>
        <w:tc>
          <w:tcPr>
            <w:tcW w:w="700" w:type="dxa"/>
            <w:vAlign w:val="center"/>
          </w:tcPr>
          <w:p>
            <w:pPr>
              <w:pStyle w:val="TableText"/>
            </w:pPr>
            <w:r>
              <w:t>14d</w:t>
            </w:r>
          </w:p>
        </w:tc>
        <w:tc>
          <w:tcPr>
            <w:tcW w:w="1700" w:type="dxa"/>
            <w:vAlign w:val="center"/>
          </w:tcPr>
          <w:p>
            <w:pPr>
              <w:pStyle w:val="TableNumber"/>
            </w:pPr>
            <w:r>
              <w:t>0.1065</w:t>
            </w:r>
          </w:p>
        </w:tc>
        <w:tc>
          <w:tcPr>
            <w:tcW w:w="1750" w:type="dxa"/>
            <w:vAlign w:val="center"/>
          </w:tcPr>
          <w:p>
            <w:pPr>
              <w:pStyle w:val="TableNumber"/>
            </w:pPr>
            <w:r>
              <w:t>55.30%</w:t>
            </w:r>
          </w:p>
        </w:tc>
        <w:tc>
          <w:tcPr>
            <w:tcW w:w="1750" w:type="dxa"/>
            <w:vAlign w:val="center"/>
          </w:tcPr>
          <w:p>
            <w:pPr>
              <w:pStyle w:val="TableNumber"/>
            </w:pPr>
            <w:r>
              <w:t>76.81%</w:t>
            </w:r>
          </w:p>
        </w:tc>
        <w:tc>
          <w:tcPr>
            <w:tcW w:w="1900" w:type="dxa"/>
            <w:vAlign w:val="center"/>
          </w:tcPr>
          <w:p>
            <w:pPr>
              <w:pStyle w:val="TableNumber"/>
            </w:pPr>
            <w:r>
              <w:t>3.19 pp</w:t>
            </w:r>
          </w:p>
        </w:tc>
        <w:tc>
          <w:tcPr>
            <w:tcW w:w="1560" w:type="dxa"/>
            <w:vAlign w:val="center"/>
          </w:tcPr>
          <w:p>
            <w:pPr>
              <w:pStyle w:val="TableNumber"/>
            </w:pPr>
            <w:r>
              <w:t>0.2224</w:t>
            </w:r>
          </w:p>
        </w:tc>
      </w:tr>
    </w:tbl>
    <w:p>
      <w:pPr>
        <w:pStyle w:val="Decision"/>
        <w:keepNext/>
        <w:spacing w:after="80"/>
      </w:pPr>
      <w:r>
        <w:t>表 6｜同日排序與簡化資金路徑</w:t>
      </w:r>
    </w:p>
    <w:tbl>
      <w:tblPr>
        <w:tblStyle w:val="BenchmarkTable"/>
        <w:tblW w:w="9360" w:type="dxa"/>
        <w:tblLayout w:type="fixed"/>
      </w:tblPr>
      <w:tblGrid>
        <w:gridCol w:w="550"/>
        <w:gridCol w:w="1150"/>
        <w:gridCol w:w="1050"/>
        <w:gridCol w:w="1500"/>
        <w:gridCol w:w="1100"/>
        <w:gridCol w:w="1250"/>
        <w:gridCol w:w="1450"/>
        <w:gridCol w:w="1310"/>
      </w:tblGrid>
      <w:tr>
        <w:trPr>
          <w:tblHeader/>
        </w:trPr>
        <w:tc>
          <w:tcPr>
            <w:tcW w:w="550" w:type="dxa"/>
            <w:shd w:val="clear" w:fill="DCE6F1"/>
            <w:vAlign w:val="center"/>
          </w:tcPr>
          <w:p>
            <w:pPr>
              <w:pStyle w:val="TableHeader"/>
            </w:pPr>
            <w:r>
              <w:t>H</w:t>
            </w:r>
          </w:p>
        </w:tc>
        <w:tc>
          <w:tcPr>
            <w:tcW w:w="1150" w:type="dxa"/>
            <w:shd w:val="clear" w:fill="DCE6F1"/>
            <w:vAlign w:val="center"/>
          </w:tcPr>
          <w:p>
            <w:pPr>
              <w:pStyle w:val="TableHeader"/>
            </w:pPr>
            <w:r>
              <w:t>RankIC</w:t>
            </w:r>
          </w:p>
        </w:tc>
        <w:tc>
          <w:tcPr>
            <w:tcW w:w="1050" w:type="dxa"/>
            <w:shd w:val="clear" w:fill="DCE6F1"/>
            <w:vAlign w:val="center"/>
          </w:tcPr>
          <w:p>
            <w:pPr>
              <w:pStyle w:val="TableHeader"/>
            </w:pPr>
            <w:r>
              <w:t>ICIR</w:t>
            </w:r>
          </w:p>
        </w:tc>
        <w:tc>
          <w:tcPr>
            <w:tcW w:w="1500" w:type="dxa"/>
            <w:shd w:val="clear" w:fill="DCE6F1"/>
            <w:vAlign w:val="center"/>
          </w:tcPr>
          <w:p>
            <w:pPr>
              <w:pStyle w:val="TableHeader"/>
            </w:pPr>
            <w:r>
              <w:t>Net mean</w:t>
            </w:r>
          </w:p>
        </w:tc>
        <w:tc>
          <w:tcPr>
            <w:tcW w:w="1100" w:type="dxa"/>
            <w:shd w:val="clear" w:fill="DCE6F1"/>
            <w:vAlign w:val="center"/>
          </w:tcPr>
          <w:p>
            <w:pPr>
              <w:pStyle w:val="TableHeader"/>
            </w:pPr>
            <w:r>
              <w:t>Sharpe</w:t>
            </w:r>
          </w:p>
        </w:tc>
        <w:tc>
          <w:tcPr>
            <w:tcW w:w="1250" w:type="dxa"/>
            <w:shd w:val="clear" w:fill="DCE6F1"/>
            <w:vAlign w:val="center"/>
          </w:tcPr>
          <w:p>
            <w:pPr>
              <w:pStyle w:val="TableHeader"/>
            </w:pPr>
            <w:r>
              <w:t>MDD</w:t>
            </w:r>
          </w:p>
        </w:tc>
        <w:tc>
          <w:tcPr>
            <w:tcW w:w="1450" w:type="dxa"/>
            <w:shd w:val="clear" w:fill="DCE6F1"/>
            <w:vAlign w:val="center"/>
          </w:tcPr>
          <w:p>
            <w:pPr>
              <w:pStyle w:val="TableHeader"/>
            </w:pPr>
            <w:r>
              <w:t>Turnover</w:t>
            </w:r>
          </w:p>
        </w:tc>
        <w:tc>
          <w:tcPr>
            <w:tcW w:w="1310" w:type="dxa"/>
            <w:shd w:val="clear" w:fill="DCE6F1"/>
            <w:vAlign w:val="center"/>
          </w:tcPr>
          <w:p>
            <w:pPr>
              <w:pStyle w:val="TableHeader"/>
            </w:pPr>
            <w:r>
              <w:t>Dates</w:t>
            </w:r>
          </w:p>
        </w:tc>
      </w:tr>
      <w:tr>
        <w:trPr>
          <w:cantSplit/>
        </w:trPr>
        <w:tc>
          <w:tcPr>
            <w:tcW w:w="550" w:type="dxa"/>
            <w:vAlign w:val="center"/>
          </w:tcPr>
          <w:p>
            <w:pPr>
              <w:pStyle w:val="TableText"/>
            </w:pPr>
            <w:r>
              <w:t>1d</w:t>
            </w:r>
          </w:p>
        </w:tc>
        <w:tc>
          <w:tcPr>
            <w:tcW w:w="1150" w:type="dxa"/>
            <w:vAlign w:val="center"/>
          </w:tcPr>
          <w:p>
            <w:pPr>
              <w:pStyle w:val="TableNumber"/>
            </w:pPr>
            <w:r>
              <w:t>0.0521</w:t>
            </w:r>
          </w:p>
        </w:tc>
        <w:tc>
          <w:tcPr>
            <w:tcW w:w="1050" w:type="dxa"/>
            <w:vAlign w:val="center"/>
          </w:tcPr>
          <w:p>
            <w:pPr>
              <w:pStyle w:val="TableNumber"/>
            </w:pPr>
            <w:r>
              <w:t>0.397</w:t>
            </w:r>
          </w:p>
        </w:tc>
        <w:tc>
          <w:tcPr>
            <w:tcW w:w="1500" w:type="dxa"/>
            <w:vAlign w:val="center"/>
          </w:tcPr>
          <w:p>
            <w:pPr>
              <w:pStyle w:val="TableNumber"/>
            </w:pPr>
            <w:r>
              <w:t>+0.33%</w:t>
            </w:r>
          </w:p>
        </w:tc>
        <w:tc>
          <w:tcPr>
            <w:tcW w:w="1100" w:type="dxa"/>
            <w:vAlign w:val="center"/>
          </w:tcPr>
          <w:p>
            <w:pPr>
              <w:pStyle w:val="TableNumber"/>
            </w:pPr>
            <w:r>
              <w:t>3.04</w:t>
            </w:r>
          </w:p>
        </w:tc>
        <w:tc>
          <w:tcPr>
            <w:tcW w:w="1250" w:type="dxa"/>
            <w:vAlign w:val="center"/>
          </w:tcPr>
          <w:p>
            <w:pPr>
              <w:pStyle w:val="TableNumber"/>
            </w:pPr>
            <w:r>
              <w:t>-15.4%</w:t>
            </w:r>
          </w:p>
        </w:tc>
        <w:tc>
          <w:tcPr>
            <w:tcW w:w="1450" w:type="dxa"/>
            <w:vAlign w:val="center"/>
          </w:tcPr>
          <w:p>
            <w:pPr>
              <w:pStyle w:val="TableNumber"/>
            </w:pPr>
            <w:r>
              <w:t>0.466</w:t>
            </w:r>
          </w:p>
        </w:tc>
        <w:tc>
          <w:tcPr>
            <w:tcW w:w="1310" w:type="dxa"/>
            <w:vAlign w:val="center"/>
          </w:tcPr>
          <w:p>
            <w:pPr>
              <w:pStyle w:val="TableNumber"/>
            </w:pPr>
            <w:r>
              <w:t>155</w:t>
            </w:r>
          </w:p>
        </w:tc>
      </w:tr>
      <w:tr>
        <w:trPr>
          <w:cantSplit/>
        </w:trPr>
        <w:tc>
          <w:tcPr>
            <w:tcW w:w="550" w:type="dxa"/>
            <w:vAlign w:val="center"/>
          </w:tcPr>
          <w:p>
            <w:pPr>
              <w:pStyle w:val="TableText"/>
            </w:pPr>
            <w:r>
              <w:t>2d</w:t>
            </w:r>
          </w:p>
        </w:tc>
        <w:tc>
          <w:tcPr>
            <w:tcW w:w="1150" w:type="dxa"/>
            <w:vAlign w:val="center"/>
          </w:tcPr>
          <w:p>
            <w:pPr>
              <w:pStyle w:val="TableNumber"/>
            </w:pPr>
            <w:r>
              <w:t>0.0585</w:t>
            </w:r>
          </w:p>
        </w:tc>
        <w:tc>
          <w:tcPr>
            <w:tcW w:w="1050" w:type="dxa"/>
            <w:vAlign w:val="center"/>
          </w:tcPr>
          <w:p>
            <w:pPr>
              <w:pStyle w:val="TableNumber"/>
            </w:pPr>
            <w:r>
              <w:t>0.388</w:t>
            </w:r>
          </w:p>
        </w:tc>
        <w:tc>
          <w:tcPr>
            <w:tcW w:w="1500" w:type="dxa"/>
            <w:vAlign w:val="center"/>
          </w:tcPr>
          <w:p>
            <w:pPr>
              <w:pStyle w:val="TableNumber"/>
            </w:pPr>
            <w:r>
              <w:t>+0.60%</w:t>
            </w:r>
          </w:p>
        </w:tc>
        <w:tc>
          <w:tcPr>
            <w:tcW w:w="1100" w:type="dxa"/>
            <w:vAlign w:val="center"/>
          </w:tcPr>
          <w:p>
            <w:pPr>
              <w:pStyle w:val="TableNumber"/>
            </w:pPr>
            <w:r>
              <w:t>2.83</w:t>
            </w:r>
          </w:p>
        </w:tc>
        <w:tc>
          <w:tcPr>
            <w:tcW w:w="1250" w:type="dxa"/>
            <w:vAlign w:val="center"/>
          </w:tcPr>
          <w:p>
            <w:pPr>
              <w:pStyle w:val="TableNumber"/>
            </w:pPr>
            <w:r>
              <w:t>-20.4%</w:t>
            </w:r>
          </w:p>
        </w:tc>
        <w:tc>
          <w:tcPr>
            <w:tcW w:w="1450" w:type="dxa"/>
            <w:vAlign w:val="center"/>
          </w:tcPr>
          <w:p>
            <w:pPr>
              <w:pStyle w:val="TableNumber"/>
            </w:pPr>
            <w:r>
              <w:t>0.420</w:t>
            </w:r>
          </w:p>
        </w:tc>
        <w:tc>
          <w:tcPr>
            <w:tcW w:w="1310" w:type="dxa"/>
            <w:vAlign w:val="center"/>
          </w:tcPr>
          <w:p>
            <w:pPr>
              <w:pStyle w:val="TableNumber"/>
            </w:pPr>
            <w:r>
              <w:t>155</w:t>
            </w:r>
          </w:p>
        </w:tc>
      </w:tr>
      <w:tr>
        <w:trPr>
          <w:cantSplit/>
        </w:trPr>
        <w:tc>
          <w:tcPr>
            <w:tcW w:w="550" w:type="dxa"/>
            <w:vAlign w:val="center"/>
          </w:tcPr>
          <w:p>
            <w:pPr>
              <w:pStyle w:val="TableText"/>
            </w:pPr>
            <w:r>
              <w:t>3d</w:t>
            </w:r>
          </w:p>
        </w:tc>
        <w:tc>
          <w:tcPr>
            <w:tcW w:w="1150" w:type="dxa"/>
            <w:vAlign w:val="center"/>
          </w:tcPr>
          <w:p>
            <w:pPr>
              <w:pStyle w:val="TableNumber"/>
            </w:pPr>
            <w:r>
              <w:t>0.0720</w:t>
            </w:r>
          </w:p>
        </w:tc>
        <w:tc>
          <w:tcPr>
            <w:tcW w:w="1050" w:type="dxa"/>
            <w:vAlign w:val="center"/>
          </w:tcPr>
          <w:p>
            <w:pPr>
              <w:pStyle w:val="TableNumber"/>
            </w:pPr>
            <w:r>
              <w:t>0.465</w:t>
            </w:r>
          </w:p>
        </w:tc>
        <w:tc>
          <w:tcPr>
            <w:tcW w:w="1500" w:type="dxa"/>
            <w:vAlign w:val="center"/>
          </w:tcPr>
          <w:p>
            <w:pPr>
              <w:pStyle w:val="TableNumber"/>
            </w:pPr>
            <w:r>
              <w:t>+0.99%</w:t>
            </w:r>
          </w:p>
        </w:tc>
        <w:tc>
          <w:tcPr>
            <w:tcW w:w="1100" w:type="dxa"/>
            <w:vAlign w:val="center"/>
          </w:tcPr>
          <w:p>
            <w:pPr>
              <w:pStyle w:val="TableNumber"/>
            </w:pPr>
            <w:r>
              <w:t>2.92</w:t>
            </w:r>
          </w:p>
        </w:tc>
        <w:tc>
          <w:tcPr>
            <w:tcW w:w="1250" w:type="dxa"/>
            <w:vAlign w:val="center"/>
          </w:tcPr>
          <w:p>
            <w:pPr>
              <w:pStyle w:val="TableNumber"/>
            </w:pPr>
            <w:r>
              <w:t>-26.3%</w:t>
            </w:r>
          </w:p>
        </w:tc>
        <w:tc>
          <w:tcPr>
            <w:tcW w:w="1450" w:type="dxa"/>
            <w:vAlign w:val="center"/>
          </w:tcPr>
          <w:p>
            <w:pPr>
              <w:pStyle w:val="TableNumber"/>
            </w:pPr>
            <w:r>
              <w:t>0.435</w:t>
            </w:r>
          </w:p>
        </w:tc>
        <w:tc>
          <w:tcPr>
            <w:tcW w:w="1310" w:type="dxa"/>
            <w:vAlign w:val="center"/>
          </w:tcPr>
          <w:p>
            <w:pPr>
              <w:pStyle w:val="TableNumber"/>
            </w:pPr>
            <w:r>
              <w:t>155</w:t>
            </w:r>
          </w:p>
        </w:tc>
      </w:tr>
      <w:tr>
        <w:trPr>
          <w:cantSplit/>
        </w:trPr>
        <w:tc>
          <w:tcPr>
            <w:tcW w:w="550" w:type="dxa"/>
            <w:vAlign w:val="center"/>
          </w:tcPr>
          <w:p>
            <w:pPr>
              <w:pStyle w:val="TableText"/>
            </w:pPr>
            <w:r>
              <w:t>4d</w:t>
            </w:r>
          </w:p>
        </w:tc>
        <w:tc>
          <w:tcPr>
            <w:tcW w:w="1150" w:type="dxa"/>
            <w:vAlign w:val="center"/>
          </w:tcPr>
          <w:p>
            <w:pPr>
              <w:pStyle w:val="TableNumber"/>
            </w:pPr>
            <w:r>
              <w:t>0.0704</w:t>
            </w:r>
          </w:p>
        </w:tc>
        <w:tc>
          <w:tcPr>
            <w:tcW w:w="1050" w:type="dxa"/>
            <w:vAlign w:val="center"/>
          </w:tcPr>
          <w:p>
            <w:pPr>
              <w:pStyle w:val="TableNumber"/>
            </w:pPr>
            <w:r>
              <w:t>0.430</w:t>
            </w:r>
          </w:p>
        </w:tc>
        <w:tc>
          <w:tcPr>
            <w:tcW w:w="1500" w:type="dxa"/>
            <w:vAlign w:val="center"/>
          </w:tcPr>
          <w:p>
            <w:pPr>
              <w:pStyle w:val="TableNumber"/>
            </w:pPr>
            <w:r>
              <w:t>+1.12%</w:t>
            </w:r>
          </w:p>
        </w:tc>
        <w:tc>
          <w:tcPr>
            <w:tcW w:w="1100" w:type="dxa"/>
            <w:vAlign w:val="center"/>
          </w:tcPr>
          <w:p>
            <w:pPr>
              <w:pStyle w:val="TableNumber"/>
            </w:pPr>
            <w:r>
              <w:t>2.37</w:t>
            </w:r>
          </w:p>
        </w:tc>
        <w:tc>
          <w:tcPr>
            <w:tcW w:w="1250" w:type="dxa"/>
            <w:vAlign w:val="center"/>
          </w:tcPr>
          <w:p>
            <w:pPr>
              <w:pStyle w:val="TableNumber"/>
            </w:pPr>
            <w:r>
              <w:t>-34.2%</w:t>
            </w:r>
          </w:p>
        </w:tc>
        <w:tc>
          <w:tcPr>
            <w:tcW w:w="1450" w:type="dxa"/>
            <w:vAlign w:val="center"/>
          </w:tcPr>
          <w:p>
            <w:pPr>
              <w:pStyle w:val="TableNumber"/>
            </w:pPr>
            <w:r>
              <w:t>0.428</w:t>
            </w:r>
          </w:p>
        </w:tc>
        <w:tc>
          <w:tcPr>
            <w:tcW w:w="1310" w:type="dxa"/>
            <w:vAlign w:val="center"/>
          </w:tcPr>
          <w:p>
            <w:pPr>
              <w:pStyle w:val="TableNumber"/>
            </w:pPr>
            <w:r>
              <w:t>155</w:t>
            </w:r>
          </w:p>
        </w:tc>
      </w:tr>
      <w:tr>
        <w:trPr>
          <w:cantSplit/>
        </w:trPr>
        <w:tc>
          <w:tcPr>
            <w:tcW w:w="550" w:type="dxa"/>
            <w:vAlign w:val="center"/>
          </w:tcPr>
          <w:p>
            <w:pPr>
              <w:pStyle w:val="TableText"/>
            </w:pPr>
            <w:r>
              <w:t>5d</w:t>
            </w:r>
          </w:p>
        </w:tc>
        <w:tc>
          <w:tcPr>
            <w:tcW w:w="1150" w:type="dxa"/>
            <w:vAlign w:val="center"/>
          </w:tcPr>
          <w:p>
            <w:pPr>
              <w:pStyle w:val="TableNumber"/>
            </w:pPr>
            <w:r>
              <w:t>0.0759</w:t>
            </w:r>
          </w:p>
        </w:tc>
        <w:tc>
          <w:tcPr>
            <w:tcW w:w="1050" w:type="dxa"/>
            <w:vAlign w:val="center"/>
          </w:tcPr>
          <w:p>
            <w:pPr>
              <w:pStyle w:val="TableNumber"/>
            </w:pPr>
            <w:r>
              <w:t>0.457</w:t>
            </w:r>
          </w:p>
        </w:tc>
        <w:tc>
          <w:tcPr>
            <w:tcW w:w="1500" w:type="dxa"/>
            <w:vAlign w:val="center"/>
          </w:tcPr>
          <w:p>
            <w:pPr>
              <w:pStyle w:val="TableNumber"/>
            </w:pPr>
            <w:r>
              <w:t>+1.28%</w:t>
            </w:r>
          </w:p>
        </w:tc>
        <w:tc>
          <w:tcPr>
            <w:tcW w:w="1100" w:type="dxa"/>
            <w:vAlign w:val="center"/>
          </w:tcPr>
          <w:p>
            <w:pPr>
              <w:pStyle w:val="TableNumber"/>
            </w:pPr>
            <w:r>
              <w:t>2.23</w:t>
            </w:r>
          </w:p>
        </w:tc>
        <w:tc>
          <w:tcPr>
            <w:tcW w:w="1250" w:type="dxa"/>
            <w:vAlign w:val="center"/>
          </w:tcPr>
          <w:p>
            <w:pPr>
              <w:pStyle w:val="TableNumber"/>
            </w:pPr>
            <w:r>
              <w:t>-39.3%</w:t>
            </w:r>
          </w:p>
        </w:tc>
        <w:tc>
          <w:tcPr>
            <w:tcW w:w="1450" w:type="dxa"/>
            <w:vAlign w:val="center"/>
          </w:tcPr>
          <w:p>
            <w:pPr>
              <w:pStyle w:val="TableNumber"/>
            </w:pPr>
            <w:r>
              <w:t>0.421</w:t>
            </w:r>
          </w:p>
        </w:tc>
        <w:tc>
          <w:tcPr>
            <w:tcW w:w="1310" w:type="dxa"/>
            <w:vAlign w:val="center"/>
          </w:tcPr>
          <w:p>
            <w:pPr>
              <w:pStyle w:val="TableNumber"/>
            </w:pPr>
            <w:r>
              <w:t>155</w:t>
            </w:r>
          </w:p>
        </w:tc>
      </w:tr>
      <w:tr>
        <w:trPr>
          <w:cantSplit/>
        </w:trPr>
        <w:tc>
          <w:tcPr>
            <w:tcW w:w="550" w:type="dxa"/>
            <w:vAlign w:val="center"/>
          </w:tcPr>
          <w:p>
            <w:pPr>
              <w:pStyle w:val="TableText"/>
            </w:pPr>
            <w:r>
              <w:t>6d</w:t>
            </w:r>
          </w:p>
        </w:tc>
        <w:tc>
          <w:tcPr>
            <w:tcW w:w="1150" w:type="dxa"/>
            <w:vAlign w:val="center"/>
          </w:tcPr>
          <w:p>
            <w:pPr>
              <w:pStyle w:val="TableNumber"/>
            </w:pPr>
            <w:r>
              <w:t>0.0679</w:t>
            </w:r>
          </w:p>
        </w:tc>
        <w:tc>
          <w:tcPr>
            <w:tcW w:w="1050" w:type="dxa"/>
            <w:vAlign w:val="center"/>
          </w:tcPr>
          <w:p>
            <w:pPr>
              <w:pStyle w:val="TableNumber"/>
            </w:pPr>
            <w:r>
              <w:t>0.385</w:t>
            </w:r>
          </w:p>
        </w:tc>
        <w:tc>
          <w:tcPr>
            <w:tcW w:w="1500" w:type="dxa"/>
            <w:vAlign w:val="center"/>
          </w:tcPr>
          <w:p>
            <w:pPr>
              <w:pStyle w:val="TableNumber"/>
            </w:pPr>
            <w:r>
              <w:t>+1.23%</w:t>
            </w:r>
          </w:p>
        </w:tc>
        <w:tc>
          <w:tcPr>
            <w:tcW w:w="1100" w:type="dxa"/>
            <w:vAlign w:val="center"/>
          </w:tcPr>
          <w:p>
            <w:pPr>
              <w:pStyle w:val="TableNumber"/>
            </w:pPr>
            <w:r>
              <w:t>1.72</w:t>
            </w:r>
          </w:p>
        </w:tc>
        <w:tc>
          <w:tcPr>
            <w:tcW w:w="1250" w:type="dxa"/>
            <w:vAlign w:val="center"/>
          </w:tcPr>
          <w:p>
            <w:pPr>
              <w:pStyle w:val="TableNumber"/>
            </w:pPr>
            <w:r>
              <w:t>-44.7%</w:t>
            </w:r>
          </w:p>
        </w:tc>
        <w:tc>
          <w:tcPr>
            <w:tcW w:w="1450" w:type="dxa"/>
            <w:vAlign w:val="center"/>
          </w:tcPr>
          <w:p>
            <w:pPr>
              <w:pStyle w:val="TableNumber"/>
            </w:pPr>
            <w:r>
              <w:t>0.426</w:t>
            </w:r>
          </w:p>
        </w:tc>
        <w:tc>
          <w:tcPr>
            <w:tcW w:w="1310" w:type="dxa"/>
            <w:vAlign w:val="center"/>
          </w:tcPr>
          <w:p>
            <w:pPr>
              <w:pStyle w:val="TableNumber"/>
            </w:pPr>
            <w:r>
              <w:t>155</w:t>
            </w:r>
          </w:p>
        </w:tc>
      </w:tr>
      <w:tr>
        <w:trPr>
          <w:cantSplit/>
        </w:trPr>
        <w:tc>
          <w:tcPr>
            <w:tcW w:w="550" w:type="dxa"/>
            <w:vAlign w:val="center"/>
          </w:tcPr>
          <w:p>
            <w:pPr>
              <w:pStyle w:val="TableText"/>
            </w:pPr>
            <w:r>
              <w:t>7d</w:t>
            </w:r>
          </w:p>
        </w:tc>
        <w:tc>
          <w:tcPr>
            <w:tcW w:w="1150" w:type="dxa"/>
            <w:vAlign w:val="center"/>
          </w:tcPr>
          <w:p>
            <w:pPr>
              <w:pStyle w:val="TableNumber"/>
            </w:pPr>
            <w:r>
              <w:t>0.0676</w:t>
            </w:r>
          </w:p>
        </w:tc>
        <w:tc>
          <w:tcPr>
            <w:tcW w:w="1050" w:type="dxa"/>
            <w:vAlign w:val="center"/>
          </w:tcPr>
          <w:p>
            <w:pPr>
              <w:pStyle w:val="TableNumber"/>
            </w:pPr>
            <w:r>
              <w:t>0.379</w:t>
            </w:r>
          </w:p>
        </w:tc>
        <w:tc>
          <w:tcPr>
            <w:tcW w:w="1500" w:type="dxa"/>
            <w:vAlign w:val="center"/>
          </w:tcPr>
          <w:p>
            <w:pPr>
              <w:pStyle w:val="TableNumber"/>
            </w:pPr>
            <w:r>
              <w:t>+1.72%</w:t>
            </w:r>
          </w:p>
        </w:tc>
        <w:tc>
          <w:tcPr>
            <w:tcW w:w="1100" w:type="dxa"/>
            <w:vAlign w:val="center"/>
          </w:tcPr>
          <w:p>
            <w:pPr>
              <w:pStyle w:val="TableNumber"/>
            </w:pPr>
            <w:r>
              <w:t>2.05</w:t>
            </w:r>
          </w:p>
        </w:tc>
        <w:tc>
          <w:tcPr>
            <w:tcW w:w="1250" w:type="dxa"/>
            <w:vAlign w:val="center"/>
          </w:tcPr>
          <w:p>
            <w:pPr>
              <w:pStyle w:val="TableNumber"/>
            </w:pPr>
            <w:r>
              <w:t>-40.6%</w:t>
            </w:r>
          </w:p>
        </w:tc>
        <w:tc>
          <w:tcPr>
            <w:tcW w:w="1450" w:type="dxa"/>
            <w:vAlign w:val="center"/>
          </w:tcPr>
          <w:p>
            <w:pPr>
              <w:pStyle w:val="TableNumber"/>
            </w:pPr>
            <w:r>
              <w:t>0.413</w:t>
            </w:r>
          </w:p>
        </w:tc>
        <w:tc>
          <w:tcPr>
            <w:tcW w:w="1310" w:type="dxa"/>
            <w:vAlign w:val="center"/>
          </w:tcPr>
          <w:p>
            <w:pPr>
              <w:pStyle w:val="TableNumber"/>
            </w:pPr>
            <w:r>
              <w:t>155</w:t>
            </w:r>
          </w:p>
        </w:tc>
      </w:tr>
      <w:tr>
        <w:trPr>
          <w:cantSplit/>
        </w:trPr>
        <w:tc>
          <w:tcPr>
            <w:tcW w:w="550" w:type="dxa"/>
            <w:vAlign w:val="center"/>
          </w:tcPr>
          <w:p>
            <w:pPr>
              <w:pStyle w:val="TableText"/>
            </w:pPr>
            <w:r>
              <w:t>8d</w:t>
            </w:r>
          </w:p>
        </w:tc>
        <w:tc>
          <w:tcPr>
            <w:tcW w:w="1150" w:type="dxa"/>
            <w:vAlign w:val="center"/>
          </w:tcPr>
          <w:p>
            <w:pPr>
              <w:pStyle w:val="TableNumber"/>
            </w:pPr>
            <w:r>
              <w:t>0.0569</w:t>
            </w:r>
          </w:p>
        </w:tc>
        <w:tc>
          <w:tcPr>
            <w:tcW w:w="1050" w:type="dxa"/>
            <w:vAlign w:val="center"/>
          </w:tcPr>
          <w:p>
            <w:pPr>
              <w:pStyle w:val="TableNumber"/>
            </w:pPr>
            <w:r>
              <w:t>0.300</w:t>
            </w:r>
          </w:p>
        </w:tc>
        <w:tc>
          <w:tcPr>
            <w:tcW w:w="1500" w:type="dxa"/>
            <w:vAlign w:val="center"/>
          </w:tcPr>
          <w:p>
            <w:pPr>
              <w:pStyle w:val="TableNumber"/>
            </w:pPr>
            <w:r>
              <w:t>+1.86%</w:t>
            </w:r>
          </w:p>
        </w:tc>
        <w:tc>
          <w:tcPr>
            <w:tcW w:w="1100" w:type="dxa"/>
            <w:vAlign w:val="center"/>
          </w:tcPr>
          <w:p>
            <w:pPr>
              <w:pStyle w:val="TableNumber"/>
            </w:pPr>
            <w:r>
              <w:t>1.90</w:t>
            </w:r>
          </w:p>
        </w:tc>
        <w:tc>
          <w:tcPr>
            <w:tcW w:w="1250" w:type="dxa"/>
            <w:vAlign w:val="center"/>
          </w:tcPr>
          <w:p>
            <w:pPr>
              <w:pStyle w:val="TableNumber"/>
            </w:pPr>
            <w:r>
              <w:t>-46.1%</w:t>
            </w:r>
          </w:p>
        </w:tc>
        <w:tc>
          <w:tcPr>
            <w:tcW w:w="1450" w:type="dxa"/>
            <w:vAlign w:val="center"/>
          </w:tcPr>
          <w:p>
            <w:pPr>
              <w:pStyle w:val="TableNumber"/>
            </w:pPr>
            <w:r>
              <w:t>0.419</w:t>
            </w:r>
          </w:p>
        </w:tc>
        <w:tc>
          <w:tcPr>
            <w:tcW w:w="1310" w:type="dxa"/>
            <w:vAlign w:val="center"/>
          </w:tcPr>
          <w:p>
            <w:pPr>
              <w:pStyle w:val="TableNumber"/>
            </w:pPr>
            <w:r>
              <w:t>155</w:t>
            </w:r>
          </w:p>
        </w:tc>
      </w:tr>
      <w:tr>
        <w:trPr>
          <w:cantSplit/>
        </w:trPr>
        <w:tc>
          <w:tcPr>
            <w:tcW w:w="550" w:type="dxa"/>
            <w:vAlign w:val="center"/>
          </w:tcPr>
          <w:p>
            <w:pPr>
              <w:pStyle w:val="TableText"/>
            </w:pPr>
            <w:r>
              <w:t>9d</w:t>
            </w:r>
          </w:p>
        </w:tc>
        <w:tc>
          <w:tcPr>
            <w:tcW w:w="1150" w:type="dxa"/>
            <w:vAlign w:val="center"/>
          </w:tcPr>
          <w:p>
            <w:pPr>
              <w:pStyle w:val="TableNumber"/>
            </w:pPr>
            <w:r>
              <w:t>0.0610</w:t>
            </w:r>
          </w:p>
        </w:tc>
        <w:tc>
          <w:tcPr>
            <w:tcW w:w="1050" w:type="dxa"/>
            <w:vAlign w:val="center"/>
          </w:tcPr>
          <w:p>
            <w:pPr>
              <w:pStyle w:val="TableNumber"/>
            </w:pPr>
            <w:r>
              <w:t>0.318</w:t>
            </w:r>
          </w:p>
        </w:tc>
        <w:tc>
          <w:tcPr>
            <w:tcW w:w="1500" w:type="dxa"/>
            <w:vAlign w:val="center"/>
          </w:tcPr>
          <w:p>
            <w:pPr>
              <w:pStyle w:val="TableNumber"/>
            </w:pPr>
            <w:r>
              <w:t>+2.17%</w:t>
            </w:r>
          </w:p>
        </w:tc>
        <w:tc>
          <w:tcPr>
            <w:tcW w:w="1100" w:type="dxa"/>
            <w:vAlign w:val="center"/>
          </w:tcPr>
          <w:p>
            <w:pPr>
              <w:pStyle w:val="TableNumber"/>
            </w:pPr>
            <w:r>
              <w:t>1.99</w:t>
            </w:r>
          </w:p>
        </w:tc>
        <w:tc>
          <w:tcPr>
            <w:tcW w:w="1250" w:type="dxa"/>
            <w:vAlign w:val="center"/>
          </w:tcPr>
          <w:p>
            <w:pPr>
              <w:pStyle w:val="TableNumber"/>
            </w:pPr>
            <w:r>
              <w:t>-47.9%</w:t>
            </w:r>
          </w:p>
        </w:tc>
        <w:tc>
          <w:tcPr>
            <w:tcW w:w="1450" w:type="dxa"/>
            <w:vAlign w:val="center"/>
          </w:tcPr>
          <w:p>
            <w:pPr>
              <w:pStyle w:val="TableNumber"/>
            </w:pPr>
            <w:r>
              <w:t>0.416</w:t>
            </w:r>
          </w:p>
        </w:tc>
        <w:tc>
          <w:tcPr>
            <w:tcW w:w="1310" w:type="dxa"/>
            <w:vAlign w:val="center"/>
          </w:tcPr>
          <w:p>
            <w:pPr>
              <w:pStyle w:val="TableNumber"/>
            </w:pPr>
            <w:r>
              <w:t>155</w:t>
            </w:r>
          </w:p>
        </w:tc>
      </w:tr>
      <w:tr>
        <w:trPr>
          <w:cantSplit/>
        </w:trPr>
        <w:tc>
          <w:tcPr>
            <w:tcW w:w="550" w:type="dxa"/>
            <w:vAlign w:val="center"/>
          </w:tcPr>
          <w:p>
            <w:pPr>
              <w:pStyle w:val="TableText"/>
            </w:pPr>
            <w:r>
              <w:t>10d</w:t>
            </w:r>
          </w:p>
        </w:tc>
        <w:tc>
          <w:tcPr>
            <w:tcW w:w="1150" w:type="dxa"/>
            <w:vAlign w:val="center"/>
          </w:tcPr>
          <w:p>
            <w:pPr>
              <w:pStyle w:val="TableNumber"/>
            </w:pPr>
            <w:r>
              <w:t>0.0630</w:t>
            </w:r>
          </w:p>
        </w:tc>
        <w:tc>
          <w:tcPr>
            <w:tcW w:w="1050" w:type="dxa"/>
            <w:vAlign w:val="center"/>
          </w:tcPr>
          <w:p>
            <w:pPr>
              <w:pStyle w:val="TableNumber"/>
            </w:pPr>
            <w:r>
              <w:t>0.339</w:t>
            </w:r>
          </w:p>
        </w:tc>
        <w:tc>
          <w:tcPr>
            <w:tcW w:w="1500" w:type="dxa"/>
            <w:vAlign w:val="center"/>
          </w:tcPr>
          <w:p>
            <w:pPr>
              <w:pStyle w:val="TableNumber"/>
            </w:pPr>
            <w:r>
              <w:t>+2.56%</w:t>
            </w:r>
          </w:p>
        </w:tc>
        <w:tc>
          <w:tcPr>
            <w:tcW w:w="1100" w:type="dxa"/>
            <w:vAlign w:val="center"/>
          </w:tcPr>
          <w:p>
            <w:pPr>
              <w:pStyle w:val="TableNumber"/>
            </w:pPr>
            <w:r>
              <w:t>2.08</w:t>
            </w:r>
          </w:p>
        </w:tc>
        <w:tc>
          <w:tcPr>
            <w:tcW w:w="1250" w:type="dxa"/>
            <w:vAlign w:val="center"/>
          </w:tcPr>
          <w:p>
            <w:pPr>
              <w:pStyle w:val="TableNumber"/>
            </w:pPr>
            <w:r>
              <w:t>-48.3%</w:t>
            </w:r>
          </w:p>
        </w:tc>
        <w:tc>
          <w:tcPr>
            <w:tcW w:w="1450" w:type="dxa"/>
            <w:vAlign w:val="center"/>
          </w:tcPr>
          <w:p>
            <w:pPr>
              <w:pStyle w:val="TableNumber"/>
            </w:pPr>
            <w:r>
              <w:t>0.420</w:t>
            </w:r>
          </w:p>
        </w:tc>
        <w:tc>
          <w:tcPr>
            <w:tcW w:w="1310" w:type="dxa"/>
            <w:vAlign w:val="center"/>
          </w:tcPr>
          <w:p>
            <w:pPr>
              <w:pStyle w:val="TableNumber"/>
            </w:pPr>
            <w:r>
              <w:t>155</w:t>
            </w:r>
          </w:p>
        </w:tc>
      </w:tr>
      <w:tr>
        <w:trPr>
          <w:cantSplit/>
        </w:trPr>
        <w:tc>
          <w:tcPr>
            <w:tcW w:w="550" w:type="dxa"/>
            <w:vAlign w:val="center"/>
          </w:tcPr>
          <w:p>
            <w:pPr>
              <w:pStyle w:val="TableText"/>
            </w:pPr>
            <w:r>
              <w:t>11d</w:t>
            </w:r>
          </w:p>
        </w:tc>
        <w:tc>
          <w:tcPr>
            <w:tcW w:w="1150" w:type="dxa"/>
            <w:vAlign w:val="center"/>
          </w:tcPr>
          <w:p>
            <w:pPr>
              <w:pStyle w:val="TableNumber"/>
            </w:pPr>
            <w:r>
              <w:t>0.0610</w:t>
            </w:r>
          </w:p>
        </w:tc>
        <w:tc>
          <w:tcPr>
            <w:tcW w:w="1050" w:type="dxa"/>
            <w:vAlign w:val="center"/>
          </w:tcPr>
          <w:p>
            <w:pPr>
              <w:pStyle w:val="TableNumber"/>
            </w:pPr>
            <w:r>
              <w:t>0.328</w:t>
            </w:r>
          </w:p>
        </w:tc>
        <w:tc>
          <w:tcPr>
            <w:tcW w:w="1500" w:type="dxa"/>
            <w:vAlign w:val="center"/>
          </w:tcPr>
          <w:p>
            <w:pPr>
              <w:pStyle w:val="TableNumber"/>
            </w:pPr>
            <w:r>
              <w:t>+2.75%</w:t>
            </w:r>
          </w:p>
        </w:tc>
        <w:tc>
          <w:tcPr>
            <w:tcW w:w="1100" w:type="dxa"/>
            <w:vAlign w:val="center"/>
          </w:tcPr>
          <w:p>
            <w:pPr>
              <w:pStyle w:val="TableNumber"/>
            </w:pPr>
            <w:r>
              <w:t>2.03</w:t>
            </w:r>
          </w:p>
        </w:tc>
        <w:tc>
          <w:tcPr>
            <w:tcW w:w="1250" w:type="dxa"/>
            <w:vAlign w:val="center"/>
          </w:tcPr>
          <w:p>
            <w:pPr>
              <w:pStyle w:val="TableNumber"/>
            </w:pPr>
            <w:r>
              <w:t>-49.7%</w:t>
            </w:r>
          </w:p>
        </w:tc>
        <w:tc>
          <w:tcPr>
            <w:tcW w:w="1450" w:type="dxa"/>
            <w:vAlign w:val="center"/>
          </w:tcPr>
          <w:p>
            <w:pPr>
              <w:pStyle w:val="TableNumber"/>
            </w:pPr>
            <w:r>
              <w:t>0.411</w:t>
            </w:r>
          </w:p>
        </w:tc>
        <w:tc>
          <w:tcPr>
            <w:tcW w:w="1310" w:type="dxa"/>
            <w:vAlign w:val="center"/>
          </w:tcPr>
          <w:p>
            <w:pPr>
              <w:pStyle w:val="TableNumber"/>
            </w:pPr>
            <w:r>
              <w:t>155</w:t>
            </w:r>
          </w:p>
        </w:tc>
      </w:tr>
      <w:tr>
        <w:trPr>
          <w:cantSplit/>
        </w:trPr>
        <w:tc>
          <w:tcPr>
            <w:tcW w:w="550" w:type="dxa"/>
            <w:vAlign w:val="center"/>
          </w:tcPr>
          <w:p>
            <w:pPr>
              <w:pStyle w:val="TableText"/>
            </w:pPr>
            <w:r>
              <w:t>12d</w:t>
            </w:r>
          </w:p>
        </w:tc>
        <w:tc>
          <w:tcPr>
            <w:tcW w:w="1150" w:type="dxa"/>
            <w:vAlign w:val="center"/>
          </w:tcPr>
          <w:p>
            <w:pPr>
              <w:pStyle w:val="TableNumber"/>
            </w:pPr>
            <w:r>
              <w:t>0.0593</w:t>
            </w:r>
          </w:p>
        </w:tc>
        <w:tc>
          <w:tcPr>
            <w:tcW w:w="1050" w:type="dxa"/>
            <w:vAlign w:val="center"/>
          </w:tcPr>
          <w:p>
            <w:pPr>
              <w:pStyle w:val="TableNumber"/>
            </w:pPr>
            <w:r>
              <w:t>0.323</w:t>
            </w:r>
          </w:p>
        </w:tc>
        <w:tc>
          <w:tcPr>
            <w:tcW w:w="1500" w:type="dxa"/>
            <w:vAlign w:val="center"/>
          </w:tcPr>
          <w:p>
            <w:pPr>
              <w:pStyle w:val="TableNumber"/>
            </w:pPr>
            <w:r>
              <w:t>+2.75%</w:t>
            </w:r>
          </w:p>
        </w:tc>
        <w:tc>
          <w:tcPr>
            <w:tcW w:w="1100" w:type="dxa"/>
            <w:vAlign w:val="center"/>
          </w:tcPr>
          <w:p>
            <w:pPr>
              <w:pStyle w:val="TableNumber"/>
            </w:pPr>
            <w:r>
              <w:t>1.89</w:t>
            </w:r>
          </w:p>
        </w:tc>
        <w:tc>
          <w:tcPr>
            <w:tcW w:w="1250" w:type="dxa"/>
            <w:vAlign w:val="center"/>
          </w:tcPr>
          <w:p>
            <w:pPr>
              <w:pStyle w:val="TableNumber"/>
            </w:pPr>
            <w:r>
              <w:t>-54.8%</w:t>
            </w:r>
          </w:p>
        </w:tc>
        <w:tc>
          <w:tcPr>
            <w:tcW w:w="1450" w:type="dxa"/>
            <w:vAlign w:val="center"/>
          </w:tcPr>
          <w:p>
            <w:pPr>
              <w:pStyle w:val="TableNumber"/>
            </w:pPr>
            <w:r>
              <w:t>0.408</w:t>
            </w:r>
          </w:p>
        </w:tc>
        <w:tc>
          <w:tcPr>
            <w:tcW w:w="1310" w:type="dxa"/>
            <w:vAlign w:val="center"/>
          </w:tcPr>
          <w:p>
            <w:pPr>
              <w:pStyle w:val="TableNumber"/>
            </w:pPr>
            <w:r>
              <w:t>155</w:t>
            </w:r>
          </w:p>
        </w:tc>
      </w:tr>
      <w:tr>
        <w:trPr>
          <w:cantSplit/>
        </w:trPr>
        <w:tc>
          <w:tcPr>
            <w:tcW w:w="550" w:type="dxa"/>
            <w:vAlign w:val="center"/>
          </w:tcPr>
          <w:p>
            <w:pPr>
              <w:pStyle w:val="TableText"/>
            </w:pPr>
            <w:r>
              <w:t>13d</w:t>
            </w:r>
          </w:p>
        </w:tc>
        <w:tc>
          <w:tcPr>
            <w:tcW w:w="1150" w:type="dxa"/>
            <w:vAlign w:val="center"/>
          </w:tcPr>
          <w:p>
            <w:pPr>
              <w:pStyle w:val="TableNumber"/>
            </w:pPr>
            <w:r>
              <w:t>0.0464</w:t>
            </w:r>
          </w:p>
        </w:tc>
        <w:tc>
          <w:tcPr>
            <w:tcW w:w="1050" w:type="dxa"/>
            <w:vAlign w:val="center"/>
          </w:tcPr>
          <w:p>
            <w:pPr>
              <w:pStyle w:val="TableNumber"/>
            </w:pPr>
            <w:r>
              <w:t>0.245</w:t>
            </w:r>
          </w:p>
        </w:tc>
        <w:tc>
          <w:tcPr>
            <w:tcW w:w="1500" w:type="dxa"/>
            <w:vAlign w:val="center"/>
          </w:tcPr>
          <w:p>
            <w:pPr>
              <w:pStyle w:val="TableNumber"/>
            </w:pPr>
            <w:r>
              <w:t>+2.59%</w:t>
            </w:r>
          </w:p>
        </w:tc>
        <w:tc>
          <w:tcPr>
            <w:tcW w:w="1100" w:type="dxa"/>
            <w:vAlign w:val="center"/>
          </w:tcPr>
          <w:p>
            <w:pPr>
              <w:pStyle w:val="TableNumber"/>
            </w:pPr>
            <w:r>
              <w:t>1.63</w:t>
            </w:r>
          </w:p>
        </w:tc>
        <w:tc>
          <w:tcPr>
            <w:tcW w:w="1250" w:type="dxa"/>
            <w:vAlign w:val="center"/>
          </w:tcPr>
          <w:p>
            <w:pPr>
              <w:pStyle w:val="TableNumber"/>
            </w:pPr>
            <w:r>
              <w:t>-66.7%</w:t>
            </w:r>
          </w:p>
        </w:tc>
        <w:tc>
          <w:tcPr>
            <w:tcW w:w="1450" w:type="dxa"/>
            <w:vAlign w:val="center"/>
          </w:tcPr>
          <w:p>
            <w:pPr>
              <w:pStyle w:val="TableNumber"/>
            </w:pPr>
            <w:r>
              <w:t>0.402</w:t>
            </w:r>
          </w:p>
        </w:tc>
        <w:tc>
          <w:tcPr>
            <w:tcW w:w="1310" w:type="dxa"/>
            <w:vAlign w:val="center"/>
          </w:tcPr>
          <w:p>
            <w:pPr>
              <w:pStyle w:val="TableNumber"/>
            </w:pPr>
            <w:r>
              <w:t>155</w:t>
            </w:r>
          </w:p>
        </w:tc>
      </w:tr>
      <w:tr>
        <w:trPr>
          <w:cantSplit/>
        </w:trPr>
        <w:tc>
          <w:tcPr>
            <w:tcW w:w="550" w:type="dxa"/>
            <w:vAlign w:val="center"/>
          </w:tcPr>
          <w:p>
            <w:pPr>
              <w:pStyle w:val="TableText"/>
            </w:pPr>
            <w:r>
              <w:t>14d</w:t>
            </w:r>
          </w:p>
        </w:tc>
        <w:tc>
          <w:tcPr>
            <w:tcW w:w="1150" w:type="dxa"/>
            <w:vAlign w:val="center"/>
          </w:tcPr>
          <w:p>
            <w:pPr>
              <w:pStyle w:val="TableNumber"/>
            </w:pPr>
            <w:r>
              <w:t>0.0483</w:t>
            </w:r>
          </w:p>
        </w:tc>
        <w:tc>
          <w:tcPr>
            <w:tcW w:w="1050" w:type="dxa"/>
            <w:vAlign w:val="center"/>
          </w:tcPr>
          <w:p>
            <w:pPr>
              <w:pStyle w:val="TableNumber"/>
            </w:pPr>
            <w:r>
              <w:t>0.260</w:t>
            </w:r>
          </w:p>
        </w:tc>
        <w:tc>
          <w:tcPr>
            <w:tcW w:w="1500" w:type="dxa"/>
            <w:vAlign w:val="center"/>
          </w:tcPr>
          <w:p>
            <w:pPr>
              <w:pStyle w:val="TableNumber"/>
            </w:pPr>
            <w:r>
              <w:t>+2.74%</w:t>
            </w:r>
          </w:p>
        </w:tc>
        <w:tc>
          <w:tcPr>
            <w:tcW w:w="1100" w:type="dxa"/>
            <w:vAlign w:val="center"/>
          </w:tcPr>
          <w:p>
            <w:pPr>
              <w:pStyle w:val="TableNumber"/>
            </w:pPr>
            <w:r>
              <w:t>1.62</w:t>
            </w:r>
          </w:p>
        </w:tc>
        <w:tc>
          <w:tcPr>
            <w:tcW w:w="1250" w:type="dxa"/>
            <w:vAlign w:val="center"/>
          </w:tcPr>
          <w:p>
            <w:pPr>
              <w:pStyle w:val="TableNumber"/>
            </w:pPr>
            <w:r>
              <w:t>-66.7%</w:t>
            </w:r>
          </w:p>
        </w:tc>
        <w:tc>
          <w:tcPr>
            <w:tcW w:w="1450" w:type="dxa"/>
            <w:vAlign w:val="center"/>
          </w:tcPr>
          <w:p>
            <w:pPr>
              <w:pStyle w:val="TableNumber"/>
            </w:pPr>
            <w:r>
              <w:t>0.403</w:t>
            </w:r>
          </w:p>
        </w:tc>
        <w:tc>
          <w:tcPr>
            <w:tcW w:w="1310" w:type="dxa"/>
            <w:vAlign w:val="center"/>
          </w:tcPr>
          <w:p>
            <w:pPr>
              <w:pStyle w:val="TableNumber"/>
            </w:pPr>
            <w:r>
              <w:t>155</w:t>
            </w:r>
          </w:p>
        </w:tc>
      </w:tr>
    </w:tbl>
    <w:p>
      <w:pPr>
        <w:pStyle w:val="Lead"/>
      </w:pPr>
      <w:r>
        <w:t>綜合判讀：N-pinball 從 1 日 0.3748 降至 14 日 0.2921，q50 correlation 從 0.0507 升至 0.1065；但 coverage 在長 horizon 多低於 80%，MDD 由 −15.4% 深至 −66.7%。模型的分布誤差與橫斷面排序有廣泛優勢，資金路徑風險卻隨 horizon 明顯增加。</w:t>
      </w:r>
    </w:p>
    <w:p>
      <w:pPr>
        <w:pStyle w:val="11"/>
      </w:pPr>
      <w:r>
        <w:t>10. 目前不適用的舊指標</w:t>
      </w:r>
    </w:p>
    <w:tbl>
      <w:tblPr>
        <w:tblStyle w:val="BenchmarkTable"/>
        <w:tblW w:w="9360" w:type="dxa"/>
        <w:tblLayout w:type="fixed"/>
      </w:tblPr>
      <w:tblGrid>
        <w:gridCol w:w="2800"/>
        <w:gridCol w:w="3500"/>
        <w:gridCol w:w="3060"/>
      </w:tblGrid>
      <w:tr>
        <w:trPr>
          <w:tblHeader/>
        </w:trPr>
        <w:tc>
          <w:tcPr>
            <w:tcW w:w="2800" w:type="dxa"/>
            <w:shd w:val="clear" w:fill="DCE6F1"/>
            <w:vAlign w:val="center"/>
          </w:tcPr>
          <w:p>
            <w:pPr>
              <w:pStyle w:val="TableHeader"/>
            </w:pPr>
            <w:r>
              <w:t>舊指標／說法</w:t>
            </w:r>
          </w:p>
        </w:tc>
        <w:tc>
          <w:tcPr>
            <w:tcW w:w="3500" w:type="dxa"/>
            <w:shd w:val="clear" w:fill="DCE6F1"/>
            <w:vAlign w:val="center"/>
          </w:tcPr>
          <w:p>
            <w:pPr>
              <w:pStyle w:val="TableHeader"/>
            </w:pPr>
            <w:r>
              <w:t>為何不適用</w:t>
            </w:r>
          </w:p>
        </w:tc>
        <w:tc>
          <w:tcPr>
            <w:tcW w:w="3060" w:type="dxa"/>
            <w:shd w:val="clear" w:fill="DCE6F1"/>
            <w:vAlign w:val="center"/>
          </w:tcPr>
          <w:p>
            <w:pPr>
              <w:pStyle w:val="TableHeader"/>
            </w:pPr>
            <w:r>
              <w:t>目前應看什麼</w:t>
            </w:r>
          </w:p>
        </w:tc>
      </w:tr>
      <w:tr>
        <w:trPr>
          <w:cantSplit/>
        </w:trPr>
        <w:tc>
          <w:tcPr>
            <w:tcW w:w="2800" w:type="dxa"/>
            <w:vAlign w:val="center"/>
          </w:tcPr>
          <w:p>
            <w:pPr>
              <w:pStyle w:val="TableText"/>
            </w:pPr>
            <w:r>
              <w:t>accuracy、balanced accuracy、Macro-F1、MCC</w:t>
            </w:r>
          </w:p>
        </w:tc>
        <w:tc>
          <w:tcPr>
            <w:tcW w:w="3500" w:type="dxa"/>
            <w:vAlign w:val="center"/>
          </w:tcPr>
          <w:p>
            <w:pPr>
              <w:pStyle w:val="TableText"/>
            </w:pPr>
            <w:r>
              <w:t>模型沒有方向分類 head 或 class target；衍生 signal 不是訓練分類器</w:t>
            </w:r>
          </w:p>
        </w:tc>
        <w:tc>
          <w:tcPr>
            <w:tcW w:w="3060" w:type="dxa"/>
            <w:vAlign w:val="center"/>
          </w:tcPr>
          <w:p>
            <w:pPr>
              <w:pStyle w:val="TableText"/>
            </w:pPr>
            <w:r>
              <w:t>direction agreement 只看 q50 符號；不得冒充分類 accuracy</w:t>
            </w:r>
          </w:p>
        </w:tc>
      </w:tr>
      <w:tr>
        <w:trPr>
          <w:cantSplit/>
        </w:trPr>
        <w:tc>
          <w:tcPr>
            <w:tcW w:w="2800" w:type="dxa"/>
            <w:vAlign w:val="center"/>
          </w:tcPr>
          <w:p>
            <w:pPr>
              <w:pStyle w:val="TableText"/>
            </w:pPr>
            <w:r>
              <w:t>Brier score、ECE</w:t>
            </w:r>
          </w:p>
        </w:tc>
        <w:tc>
          <w:tcPr>
            <w:tcW w:w="3500" w:type="dxa"/>
            <w:vAlign w:val="center"/>
          </w:tcPr>
          <w:p>
            <w:pPr>
              <w:pStyle w:val="TableText"/>
            </w:pPr>
            <w:r>
              <w:t>模型沒有 calibrated class probabilities</w:t>
            </w:r>
          </w:p>
        </w:tc>
        <w:tc>
          <w:tcPr>
            <w:tcW w:w="3060" w:type="dxa"/>
            <w:vAlign w:val="center"/>
          </w:tcPr>
          <w:p>
            <w:pPr>
              <w:pStyle w:val="TableText"/>
            </w:pPr>
            <w:r>
              <w:t>q10/q50/q90 的 pinball、coverage 與 width</w:t>
            </w:r>
          </w:p>
        </w:tc>
      </w:tr>
      <w:tr>
        <w:trPr>
          <w:cantSplit/>
        </w:trPr>
        <w:tc>
          <w:tcPr>
            <w:tcW w:w="2800" w:type="dxa"/>
            <w:vAlign w:val="center"/>
          </w:tcPr>
          <w:p>
            <w:pPr>
              <w:pStyle w:val="TableText"/>
            </w:pPr>
            <w:r>
              <w:t>classification loss／loss weights</w:t>
            </w:r>
          </w:p>
        </w:tc>
        <w:tc>
          <w:tcPr>
            <w:tcW w:w="3500" w:type="dxa"/>
            <w:vAlign w:val="center"/>
          </w:tcPr>
          <w:p>
            <w:pPr>
              <w:pStyle w:val="TableText"/>
            </w:pPr>
            <w:r>
              <w:t>唯一 alpha objective 是 scale-normalized pinball</w:t>
            </w:r>
          </w:p>
        </w:tc>
        <w:tc>
          <w:tcPr>
            <w:tcW w:w="3060" w:type="dxa"/>
            <w:vAlign w:val="center"/>
          </w:tcPr>
          <w:p>
            <w:pPr>
              <w:pStyle w:val="TableText"/>
            </w:pPr>
            <w:r>
              <w:t>training loss 與 14 日 selection score</w:t>
            </w:r>
          </w:p>
        </w:tc>
      </w:tr>
      <w:tr>
        <w:trPr>
          <w:cantSplit/>
        </w:trPr>
        <w:tc>
          <w:tcPr>
            <w:tcW w:w="2800" w:type="dxa"/>
            <w:vAlign w:val="center"/>
          </w:tcPr>
          <w:p>
            <w:pPr>
              <w:pStyle w:val="TableText"/>
            </w:pPr>
            <w:r>
              <w:t>文字重疊、grounding、生成成功率</w:t>
            </w:r>
          </w:p>
        </w:tc>
        <w:tc>
          <w:tcPr>
            <w:tcW w:w="3500" w:type="dxa"/>
            <w:vAlign w:val="center"/>
          </w:tcPr>
          <w:p>
            <w:pPr>
              <w:pStyle w:val="TableText"/>
            </w:pPr>
            <w:r>
              <w:t>目前輸出契約只有數值 alpha quantiles</w:t>
            </w:r>
          </w:p>
        </w:tc>
        <w:tc>
          <w:tcPr>
            <w:tcW w:w="3060" w:type="dxa"/>
            <w:vAlign w:val="center"/>
          </w:tcPr>
          <w:p>
            <w:pPr>
              <w:pStyle w:val="TableText"/>
            </w:pPr>
            <w:r>
              <w:t>schema 5.0 數值輸出與 lifecycle</w:t>
            </w:r>
          </w:p>
        </w:tc>
      </w:tr>
      <w:tr>
        <w:trPr>
          <w:cantSplit/>
        </w:trPr>
        <w:tc>
          <w:tcPr>
            <w:tcW w:w="2800" w:type="dxa"/>
            <w:vAlign w:val="center"/>
          </w:tcPr>
          <w:p>
            <w:pPr>
              <w:pStyle w:val="TableText"/>
            </w:pPr>
            <w:r>
              <w:t>只評估 5 日</w:t>
            </w:r>
          </w:p>
        </w:tc>
        <w:tc>
          <w:tcPr>
            <w:tcW w:w="3500" w:type="dxa"/>
            <w:vAlign w:val="center"/>
          </w:tcPr>
          <w:p>
            <w:pPr>
              <w:pStyle w:val="TableText"/>
            </w:pPr>
            <w:r>
              <w:t>目前模型直接輸出 1–14 日，每日各有一組 q</w:t>
            </w:r>
          </w:p>
        </w:tc>
        <w:tc>
          <w:tcPr>
            <w:tcW w:w="3060" w:type="dxa"/>
            <w:vAlign w:val="center"/>
          </w:tcPr>
          <w:p>
            <w:pPr>
              <w:pStyle w:val="TableText"/>
            </w:pPr>
            <w:r>
              <w:t>14 日總分＋全部 per-horizon 與 cross-sectional 表</w:t>
            </w:r>
          </w:p>
        </w:tc>
      </w:tr>
      <w:tr>
        <w:trPr>
          <w:cantSplit/>
        </w:trPr>
        <w:tc>
          <w:tcPr>
            <w:tcW w:w="2800" w:type="dxa"/>
            <w:vAlign w:val="center"/>
          </w:tcPr>
          <w:p>
            <w:pPr>
              <w:pStyle w:val="TableText"/>
            </w:pPr>
            <w:r>
              <w:t>舊 1 日／20 日附屬診斷</w:t>
            </w:r>
          </w:p>
        </w:tc>
        <w:tc>
          <w:tcPr>
            <w:tcW w:w="3500" w:type="dxa"/>
            <w:vAlign w:val="center"/>
          </w:tcPr>
          <w:p>
            <w:pPr>
              <w:pStyle w:val="TableText"/>
            </w:pPr>
            <w:r>
              <w:t>目前正式 horizon 是 1–14 日</w:t>
            </w:r>
          </w:p>
        </w:tc>
        <w:tc>
          <w:tcPr>
            <w:tcW w:w="3060" w:type="dxa"/>
            <w:vAlign w:val="center"/>
          </w:tcPr>
          <w:p>
            <w:pPr>
              <w:pStyle w:val="TableText"/>
            </w:pPr>
            <w:r>
              <w:t>per_horizon/&lt;h&gt;d</w:t>
            </w:r>
          </w:p>
        </w:tc>
      </w:tr>
    </w:tbl>
    <w:p>
      <w:pPr>
        <w:pStyle w:val="11"/>
      </w:pPr>
      <w:r>
        <w:t>11. 一份報告應如何從頭讀到尾</w:t>
      </w:r>
    </w:p>
    <w:tbl>
      <w:tblPr>
        <w:tblStyle w:val="BenchmarkTable"/>
        <w:tblW w:w="9360" w:type="dxa"/>
        <w:tblLayout w:type="fixed"/>
      </w:tblPr>
      <w:tblGrid>
        <w:gridCol w:w="900"/>
        <w:gridCol w:w="2900"/>
        <w:gridCol w:w="5560"/>
      </w:tblGrid>
      <w:tr>
        <w:trPr>
          <w:tblHeader/>
        </w:trPr>
        <w:tc>
          <w:tcPr>
            <w:tcW w:w="900" w:type="dxa"/>
            <w:shd w:val="clear" w:fill="DCE6F1"/>
            <w:vAlign w:val="center"/>
          </w:tcPr>
          <w:p>
            <w:pPr>
              <w:pStyle w:val="TableHeader"/>
            </w:pPr>
            <w:r>
              <w:t>順序</w:t>
            </w:r>
          </w:p>
        </w:tc>
        <w:tc>
          <w:tcPr>
            <w:tcW w:w="2900" w:type="dxa"/>
            <w:shd w:val="clear" w:fill="DCE6F1"/>
            <w:vAlign w:val="center"/>
          </w:tcPr>
          <w:p>
            <w:pPr>
              <w:pStyle w:val="TableHeader"/>
            </w:pPr>
            <w:r>
              <w:t>動作</w:t>
            </w:r>
          </w:p>
        </w:tc>
        <w:tc>
          <w:tcPr>
            <w:tcW w:w="5560" w:type="dxa"/>
            <w:shd w:val="clear" w:fill="DCE6F1"/>
            <w:vAlign w:val="center"/>
          </w:tcPr>
          <w:p>
            <w:pPr>
              <w:pStyle w:val="TableHeader"/>
            </w:pPr>
            <w:r>
              <w:t>通過條件不是固定門檻，而是要回答</w:t>
            </w:r>
          </w:p>
        </w:tc>
      </w:tr>
      <w:tr>
        <w:trPr>
          <w:cantSplit/>
        </w:trPr>
        <w:tc>
          <w:tcPr>
            <w:tcW w:w="900" w:type="dxa"/>
            <w:vAlign w:val="center"/>
          </w:tcPr>
          <w:p>
            <w:pPr>
              <w:pStyle w:val="TableText"/>
            </w:pPr>
            <w:r>
              <w:t>1</w:t>
            </w:r>
          </w:p>
        </w:tc>
        <w:tc>
          <w:tcPr>
            <w:tcW w:w="2900" w:type="dxa"/>
            <w:vAlign w:val="center"/>
          </w:tcPr>
          <w:p>
            <w:pPr>
              <w:pStyle w:val="TableText"/>
            </w:pPr>
            <w:r>
              <w:t>確認 target、horizon、split、樣本數</w:t>
            </w:r>
          </w:p>
        </w:tc>
        <w:tc>
          <w:tcPr>
            <w:tcW w:w="5560" w:type="dxa"/>
            <w:vAlign w:val="center"/>
          </w:tcPr>
          <w:p>
            <w:pPr>
              <w:pStyle w:val="TableText"/>
            </w:pPr>
            <w:r>
              <w:t>是否確實是 benchmark-relative 1–14 日 validation，test 是否仍鎖定？</w:t>
            </w:r>
          </w:p>
        </w:tc>
      </w:tr>
      <w:tr>
        <w:trPr>
          <w:cantSplit/>
        </w:trPr>
        <w:tc>
          <w:tcPr>
            <w:tcW w:w="900" w:type="dxa"/>
            <w:vAlign w:val="center"/>
          </w:tcPr>
          <w:p>
            <w:pPr>
              <w:pStyle w:val="TableText"/>
            </w:pPr>
            <w:r>
              <w:t>2</w:t>
            </w:r>
          </w:p>
        </w:tc>
        <w:tc>
          <w:tcPr>
            <w:tcW w:w="2900" w:type="dxa"/>
            <w:vAlign w:val="center"/>
          </w:tcPr>
          <w:p>
            <w:pPr>
              <w:pStyle w:val="TableText"/>
            </w:pPr>
            <w:r>
              <w:t>看 selection score 與逐日 N-pinball</w:t>
            </w:r>
          </w:p>
        </w:tc>
        <w:tc>
          <w:tcPr>
            <w:tcW w:w="5560" w:type="dxa"/>
            <w:vAlign w:val="center"/>
          </w:tcPr>
          <w:p>
            <w:pPr>
              <w:pStyle w:val="TableText"/>
            </w:pPr>
            <w:r>
              <w:t>總體勝出是否由大多數 horizon 支持？</w:t>
            </w:r>
          </w:p>
        </w:tc>
      </w:tr>
      <w:tr>
        <w:trPr>
          <w:cantSplit/>
        </w:trPr>
        <w:tc>
          <w:tcPr>
            <w:tcW w:w="900" w:type="dxa"/>
            <w:vAlign w:val="center"/>
          </w:tcPr>
          <w:p>
            <w:pPr>
              <w:pStyle w:val="TableText"/>
            </w:pPr>
            <w:r>
              <w:t>3</w:t>
            </w:r>
          </w:p>
        </w:tc>
        <w:tc>
          <w:tcPr>
            <w:tcW w:w="2900" w:type="dxa"/>
            <w:vAlign w:val="center"/>
          </w:tcPr>
          <w:p>
            <w:pPr>
              <w:pStyle w:val="TableText"/>
            </w:pPr>
            <w:r>
              <w:t>看 q50 MAE、corr.、direction</w:t>
            </w:r>
          </w:p>
        </w:tc>
        <w:tc>
          <w:tcPr>
            <w:tcW w:w="5560" w:type="dxa"/>
            <w:vAlign w:val="center"/>
          </w:tcPr>
          <w:p>
            <w:pPr>
              <w:pStyle w:val="TableText"/>
            </w:pPr>
            <w:r>
              <w:t>中間預測的幅度、共變與符號是否一致支持模型？</w:t>
            </w:r>
          </w:p>
        </w:tc>
      </w:tr>
      <w:tr>
        <w:trPr>
          <w:cantSplit/>
        </w:trPr>
        <w:tc>
          <w:tcPr>
            <w:tcW w:w="900" w:type="dxa"/>
            <w:vAlign w:val="center"/>
          </w:tcPr>
          <w:p>
            <w:pPr>
              <w:pStyle w:val="TableText"/>
            </w:pPr>
            <w:r>
              <w:t>4</w:t>
            </w:r>
          </w:p>
        </w:tc>
        <w:tc>
          <w:tcPr>
            <w:tcW w:w="2900" w:type="dxa"/>
            <w:vAlign w:val="center"/>
          </w:tcPr>
          <w:p>
            <w:pPr>
              <w:pStyle w:val="TableText"/>
            </w:pPr>
            <w:r>
              <w:t>看 coverage、width、coverage error</w:t>
            </w:r>
          </w:p>
        </w:tc>
        <w:tc>
          <w:tcPr>
            <w:tcW w:w="5560" w:type="dxa"/>
            <w:vAlign w:val="center"/>
          </w:tcPr>
          <w:p>
            <w:pPr>
              <w:pStyle w:val="TableText"/>
            </w:pPr>
            <w:r>
              <w:t>區間是否接近 80%，又沒有靠過寬作弊？</w:t>
            </w:r>
          </w:p>
        </w:tc>
      </w:tr>
      <w:tr>
        <w:trPr>
          <w:cantSplit/>
        </w:trPr>
        <w:tc>
          <w:tcPr>
            <w:tcW w:w="900" w:type="dxa"/>
            <w:vAlign w:val="center"/>
          </w:tcPr>
          <w:p>
            <w:pPr>
              <w:pStyle w:val="TableText"/>
            </w:pPr>
            <w:r>
              <w:t>5</w:t>
            </w:r>
          </w:p>
        </w:tc>
        <w:tc>
          <w:tcPr>
            <w:tcW w:w="2900" w:type="dxa"/>
            <w:vAlign w:val="center"/>
          </w:tcPr>
          <w:p>
            <w:pPr>
              <w:pStyle w:val="TableText"/>
            </w:pPr>
            <w:r>
              <w:t>看 RankIC、ICIR、net、turnover</w:t>
            </w:r>
          </w:p>
        </w:tc>
        <w:tc>
          <w:tcPr>
            <w:tcW w:w="5560" w:type="dxa"/>
            <w:vAlign w:val="center"/>
          </w:tcPr>
          <w:p>
            <w:pPr>
              <w:pStyle w:val="TableText"/>
            </w:pPr>
            <w:r>
              <w:t>同日選股訊號是否穩定，扣簡化成本後是否仍為正？</w:t>
            </w:r>
          </w:p>
        </w:tc>
      </w:tr>
      <w:tr>
        <w:trPr>
          <w:cantSplit/>
        </w:trPr>
        <w:tc>
          <w:tcPr>
            <w:tcW w:w="900" w:type="dxa"/>
            <w:vAlign w:val="center"/>
          </w:tcPr>
          <w:p>
            <w:pPr>
              <w:pStyle w:val="TableText"/>
            </w:pPr>
            <w:r>
              <w:t>6</w:t>
            </w:r>
          </w:p>
        </w:tc>
        <w:tc>
          <w:tcPr>
            <w:tcW w:w="2900" w:type="dxa"/>
            <w:vAlign w:val="center"/>
          </w:tcPr>
          <w:p>
            <w:pPr>
              <w:pStyle w:val="TableText"/>
            </w:pPr>
            <w:r>
              <w:t>看 Sharpe 與 MDD</w:t>
            </w:r>
          </w:p>
        </w:tc>
        <w:tc>
          <w:tcPr>
            <w:tcW w:w="5560" w:type="dxa"/>
            <w:vAlign w:val="center"/>
          </w:tcPr>
          <w:p>
            <w:pPr>
              <w:pStyle w:val="TableText"/>
            </w:pPr>
            <w:r>
              <w:t>報酬波動比是否伴隨不可接受的資金回撤？</w:t>
            </w:r>
          </w:p>
        </w:tc>
      </w:tr>
      <w:tr>
        <w:trPr>
          <w:cantSplit/>
        </w:trPr>
        <w:tc>
          <w:tcPr>
            <w:tcW w:w="900" w:type="dxa"/>
            <w:vAlign w:val="center"/>
          </w:tcPr>
          <w:p>
            <w:pPr>
              <w:pStyle w:val="TableText"/>
            </w:pPr>
            <w:r>
              <w:t>7</w:t>
            </w:r>
          </w:p>
        </w:tc>
        <w:tc>
          <w:tcPr>
            <w:tcW w:w="2900" w:type="dxa"/>
            <w:vAlign w:val="center"/>
          </w:tcPr>
          <w:p>
            <w:pPr>
              <w:pStyle w:val="TableText"/>
            </w:pPr>
            <w:r>
              <w:t>看 provider、year、seed</w:t>
            </w:r>
          </w:p>
        </w:tc>
        <w:tc>
          <w:tcPr>
            <w:tcW w:w="5560" w:type="dxa"/>
            <w:vAlign w:val="center"/>
          </w:tcPr>
          <w:p>
            <w:pPr>
              <w:pStyle w:val="TableText"/>
            </w:pPr>
            <w:r>
              <w:t>表現是否只存在於單一年份、資料來源或單一 seed？</w:t>
            </w:r>
          </w:p>
        </w:tc>
      </w:tr>
      <w:tr>
        <w:trPr>
          <w:cantSplit/>
        </w:trPr>
        <w:tc>
          <w:tcPr>
            <w:tcW w:w="900" w:type="dxa"/>
            <w:vAlign w:val="center"/>
          </w:tcPr>
          <w:p>
            <w:pPr>
              <w:pStyle w:val="TableText"/>
            </w:pPr>
            <w:r>
              <w:t>8</w:t>
            </w:r>
          </w:p>
        </w:tc>
        <w:tc>
          <w:tcPr>
            <w:tcW w:w="2900" w:type="dxa"/>
            <w:vAlign w:val="center"/>
          </w:tcPr>
          <w:p>
            <w:pPr>
              <w:pStyle w:val="TableText"/>
            </w:pPr>
            <w:r>
              <w:t>確認證據邊界</w:t>
            </w:r>
          </w:p>
        </w:tc>
        <w:tc>
          <w:tcPr>
            <w:tcW w:w="5560" w:type="dxa"/>
            <w:vAlign w:val="center"/>
          </w:tcPr>
          <w:p>
            <w:pPr>
              <w:pStyle w:val="TableText"/>
            </w:pPr>
            <w:r>
              <w:t>是否只足以進 Stage 2，而不是被誤寫成可部署？</w:t>
            </w:r>
          </w:p>
        </w:tc>
      </w:tr>
    </w:tbl>
    <w:p>
      <w:pPr>
        <w:pStyle w:val="21"/>
      </w:pPr>
      <w:r>
        <w:t>常見錯誤翻譯</w:t>
      </w:r>
    </w:p>
    <w:tbl>
      <w:tblPr>
        <w:tblStyle w:val="BenchmarkTable"/>
        <w:tblW w:w="9360" w:type="dxa"/>
        <w:tblLayout w:type="fixed"/>
      </w:tblPr>
      <w:tblGrid>
        <w:gridCol w:w="4200"/>
        <w:gridCol w:w="5160"/>
      </w:tblGrid>
      <w:tr>
        <w:trPr>
          <w:tblHeader/>
        </w:trPr>
        <w:tc>
          <w:tcPr>
            <w:tcW w:w="4200" w:type="dxa"/>
            <w:shd w:val="clear" w:fill="DCE6F1"/>
            <w:vAlign w:val="center"/>
          </w:tcPr>
          <w:p>
            <w:pPr>
              <w:pStyle w:val="TableHeader"/>
            </w:pPr>
            <w:r>
              <w:t>錯誤說法</w:t>
            </w:r>
          </w:p>
        </w:tc>
        <w:tc>
          <w:tcPr>
            <w:tcW w:w="5160" w:type="dxa"/>
            <w:shd w:val="clear" w:fill="DCE6F1"/>
            <w:vAlign w:val="center"/>
          </w:tcPr>
          <w:p>
            <w:pPr>
              <w:pStyle w:val="TableHeader"/>
            </w:pPr>
            <w:r>
              <w:t>正確說法</w:t>
            </w:r>
          </w:p>
        </w:tc>
      </w:tr>
      <w:tr>
        <w:trPr>
          <w:cantSplit/>
        </w:trPr>
        <w:tc>
          <w:tcPr>
            <w:tcW w:w="4200" w:type="dxa"/>
            <w:vAlign w:val="center"/>
          </w:tcPr>
          <w:p>
            <w:pPr>
              <w:pStyle w:val="TableText"/>
            </w:pPr>
            <w:r>
              <w:t>q90=0.25，所以有 90% 機率上漲 25%</w:t>
            </w:r>
          </w:p>
        </w:tc>
        <w:tc>
          <w:tcPr>
            <w:tcW w:w="5160" w:type="dxa"/>
            <w:vAlign w:val="center"/>
          </w:tcPr>
          <w:p>
            <w:pPr>
              <w:pStyle w:val="TableText"/>
            </w:pPr>
            <w:r>
              <w:t>q90 是相對 benchmark alpha 的偏上位置；不是機率敘述</w:t>
            </w:r>
          </w:p>
        </w:tc>
      </w:tr>
      <w:tr>
        <w:trPr>
          <w:cantSplit/>
        </w:trPr>
        <w:tc>
          <w:tcPr>
            <w:tcW w:w="4200" w:type="dxa"/>
            <w:vAlign w:val="center"/>
          </w:tcPr>
          <w:p>
            <w:pPr>
              <w:pStyle w:val="TableText"/>
            </w:pPr>
            <w:r>
              <w:t>score 改善 6.49%，所以多賺 6.49%</w:t>
            </w:r>
          </w:p>
        </w:tc>
        <w:tc>
          <w:tcPr>
            <w:tcW w:w="5160" w:type="dxa"/>
            <w:vAlign w:val="center"/>
          </w:tcPr>
          <w:p>
            <w:pPr>
              <w:pStyle w:val="TableText"/>
            </w:pPr>
            <w:r>
              <w:t>14 日 normalized pinball error 降低 6.49%；報酬另看 net diagnostics</w:t>
            </w:r>
          </w:p>
        </w:tc>
      </w:tr>
      <w:tr>
        <w:trPr>
          <w:cantSplit/>
        </w:trPr>
        <w:tc>
          <w:tcPr>
            <w:tcW w:w="4200" w:type="dxa"/>
            <w:vAlign w:val="center"/>
          </w:tcPr>
          <w:p>
            <w:pPr>
              <w:pStyle w:val="TableText"/>
            </w:pPr>
            <w:r>
              <w:t>coverage 100%，所以模型最準</w:t>
            </w:r>
          </w:p>
        </w:tc>
        <w:tc>
          <w:tcPr>
            <w:tcW w:w="5160" w:type="dxa"/>
            <w:vAlign w:val="center"/>
          </w:tcPr>
          <w:p>
            <w:pPr>
              <w:pStyle w:val="TableText"/>
            </w:pPr>
            <w:r>
              <w:t>可能只是區間過寬；必須一起看 width</w:t>
            </w:r>
          </w:p>
        </w:tc>
      </w:tr>
      <w:tr>
        <w:trPr>
          <w:cantSplit/>
        </w:trPr>
        <w:tc>
          <w:tcPr>
            <w:tcW w:w="4200" w:type="dxa"/>
            <w:vAlign w:val="center"/>
          </w:tcPr>
          <w:p>
            <w:pPr>
              <w:pStyle w:val="TableText"/>
            </w:pPr>
            <w:r>
              <w:t>RankIC 0.08，所以報酬 8%</w:t>
            </w:r>
          </w:p>
        </w:tc>
        <w:tc>
          <w:tcPr>
            <w:tcW w:w="5160" w:type="dxa"/>
            <w:vAlign w:val="center"/>
          </w:tcPr>
          <w:p>
            <w:pPr>
              <w:pStyle w:val="TableText"/>
            </w:pPr>
            <w:r>
              <w:t>RankIC 是同日 ranks 的 correlation；沒有報酬單位</w:t>
            </w:r>
          </w:p>
        </w:tc>
      </w:tr>
      <w:tr>
        <w:trPr>
          <w:cantSplit/>
        </w:trPr>
        <w:tc>
          <w:tcPr>
            <w:tcW w:w="4200" w:type="dxa"/>
            <w:vAlign w:val="center"/>
          </w:tcPr>
          <w:p>
            <w:pPr>
              <w:pStyle w:val="TableText"/>
            </w:pPr>
            <w:r>
              <w:t>Sharpe 3，所以可以上線</w:t>
            </w:r>
          </w:p>
        </w:tc>
        <w:tc>
          <w:tcPr>
            <w:tcW w:w="5160" w:type="dxa"/>
            <w:vAlign w:val="center"/>
          </w:tcPr>
          <w:p>
            <w:pPr>
              <w:pStyle w:val="TableText"/>
            </w:pPr>
            <w:r>
              <w:t>仍缺 test、多 seed、重疊修正與完整市場成本</w:t>
            </w:r>
          </w:p>
        </w:tc>
      </w:tr>
      <w:tr>
        <w:trPr>
          <w:cantSplit/>
        </w:trPr>
        <w:tc>
          <w:tcPr>
            <w:tcW w:w="4200" w:type="dxa"/>
            <w:vAlign w:val="center"/>
          </w:tcPr>
          <w:p>
            <w:pPr>
              <w:pStyle w:val="TableText"/>
            </w:pPr>
            <w:r>
              <w:t>bearish 97%，所以 97% 會跌</w:t>
            </w:r>
          </w:p>
        </w:tc>
        <w:tc>
          <w:tcPr>
            <w:tcW w:w="5160" w:type="dxa"/>
            <w:vAlign w:val="center"/>
          </w:tcPr>
          <w:p>
            <w:pPr>
              <w:pStyle w:val="TableText"/>
            </w:pPr>
            <w:r>
              <w:t>這是 θ=0 對 q50 的後處理標籤比例，不是概率</w:t>
            </w:r>
          </w:p>
        </w:tc>
      </w:tr>
    </w:tbl>
    <w:p>
      <w:pPr>
        <w:pStyle w:val="a"/>
        <w:spacing w:after="0"/>
      </w:pPr>
      <w:r>
        <w:br w:type="page"/>
      </w:r>
    </w:p>
    <w:p>
      <w:pPr>
        <w:pStyle w:val="11"/>
      </w:pPr>
      <w:r>
        <w:t>附錄 A｜公式速查</w:t>
      </w:r>
    </w:p>
    <w:tbl>
      <w:tblPr>
        <w:tblStyle w:val="BenchmarkTable"/>
        <w:tblW w:w="9360" w:type="dxa"/>
        <w:tblLayout w:type="fixed"/>
      </w:tblPr>
      <w:tblGrid>
        <w:gridCol w:w="2200"/>
        <w:gridCol w:w="4500"/>
        <w:gridCol w:w="2660"/>
      </w:tblGrid>
      <w:tr>
        <w:trPr>
          <w:tblHeader/>
        </w:trPr>
        <w:tc>
          <w:tcPr>
            <w:tcW w:w="2200" w:type="dxa"/>
            <w:shd w:val="clear" w:fill="DCE6F1"/>
            <w:vAlign w:val="center"/>
          </w:tcPr>
          <w:p>
            <w:pPr>
              <w:pStyle w:val="TableHeader"/>
            </w:pPr>
            <w:r>
              <w:t>指標</w:t>
            </w:r>
          </w:p>
        </w:tc>
        <w:tc>
          <w:tcPr>
            <w:tcW w:w="4500" w:type="dxa"/>
            <w:shd w:val="clear" w:fill="DCE6F1"/>
            <w:vAlign w:val="center"/>
          </w:tcPr>
          <w:p>
            <w:pPr>
              <w:pStyle w:val="TableHeader"/>
            </w:pPr>
            <w:r>
              <w:t>公式</w:t>
            </w:r>
          </w:p>
        </w:tc>
        <w:tc>
          <w:tcPr>
            <w:tcW w:w="2660" w:type="dxa"/>
            <w:shd w:val="clear" w:fill="DCE6F1"/>
            <w:vAlign w:val="center"/>
          </w:tcPr>
          <w:p>
            <w:pPr>
              <w:pStyle w:val="TableHeader"/>
            </w:pPr>
            <w:r>
              <w:t>單位／理想方向</w:t>
            </w:r>
          </w:p>
        </w:tc>
      </w:tr>
      <w:tr>
        <w:trPr>
          <w:cantSplit/>
        </w:trPr>
        <w:tc>
          <w:tcPr>
            <w:tcW w:w="2200" w:type="dxa"/>
            <w:vAlign w:val="center"/>
          </w:tcPr>
          <w:p>
            <w:pPr>
              <w:pStyle w:val="TableText"/>
            </w:pPr>
            <w:r>
              <w:t>Target alpha</w:t>
            </w:r>
          </w:p>
        </w:tc>
        <w:tc>
          <w:tcPr>
            <w:tcW w:w="4500" w:type="dxa"/>
            <w:vAlign w:val="center"/>
          </w:tcPr>
          <w:p>
            <w:pPr>
              <w:pStyle w:val="TableText"/>
            </w:pPr>
            <w:r>
              <w:t>ln(asset gross/benchmark gross)</w:t>
            </w:r>
          </w:p>
        </w:tc>
        <w:tc>
          <w:tcPr>
            <w:tcW w:w="2660" w:type="dxa"/>
            <w:vAlign w:val="center"/>
          </w:tcPr>
          <w:p>
            <w:pPr>
              <w:pStyle w:val="TableText"/>
            </w:pPr>
            <w:r>
              <w:t>log alpha；正=跑贏</w:t>
            </w:r>
          </w:p>
        </w:tc>
      </w:tr>
      <w:tr>
        <w:trPr>
          <w:cantSplit/>
        </w:trPr>
        <w:tc>
          <w:tcPr>
            <w:tcW w:w="2200" w:type="dxa"/>
            <w:vAlign w:val="center"/>
          </w:tcPr>
          <w:p>
            <w:pPr>
              <w:pStyle w:val="TableText"/>
            </w:pPr>
            <w:r>
              <w:t>Pinball</w:t>
            </w:r>
          </w:p>
        </w:tc>
        <w:tc>
          <w:tcPr>
            <w:tcW w:w="4500" w:type="dxa"/>
            <w:vAlign w:val="center"/>
          </w:tcPr>
          <w:p>
            <w:pPr>
              <w:pStyle w:val="TableText"/>
            </w:pPr>
            <w:r>
              <w:t>mean max(τe,(τ−1)e), e=y−q̂τ</w:t>
            </w:r>
          </w:p>
        </w:tc>
        <w:tc>
          <w:tcPr>
            <w:tcW w:w="2660" w:type="dxa"/>
            <w:vAlign w:val="center"/>
          </w:tcPr>
          <w:p>
            <w:pPr>
              <w:pStyle w:val="TableText"/>
            </w:pPr>
            <w:r>
              <w:t>log alpha；低</w:t>
            </w:r>
          </w:p>
        </w:tc>
      </w:tr>
      <w:tr>
        <w:trPr>
          <w:cantSplit/>
        </w:trPr>
        <w:tc>
          <w:tcPr>
            <w:tcW w:w="2200" w:type="dxa"/>
            <w:vAlign w:val="center"/>
          </w:tcPr>
          <w:p>
            <w:pPr>
              <w:pStyle w:val="TableText"/>
            </w:pPr>
            <w:r>
              <w:t>N-pinball</w:t>
            </w:r>
          </w:p>
        </w:tc>
        <w:tc>
          <w:tcPr>
            <w:tcW w:w="4500" w:type="dxa"/>
            <w:vAlign w:val="center"/>
          </w:tcPr>
          <w:p>
            <w:pPr>
              <w:pStyle w:val="TableText"/>
            </w:pPr>
            <w:r>
              <w:t>pinball/sₕ</w:t>
            </w:r>
          </w:p>
        </w:tc>
        <w:tc>
          <w:tcPr>
            <w:tcW w:w="2660" w:type="dxa"/>
            <w:vAlign w:val="center"/>
          </w:tcPr>
          <w:p>
            <w:pPr>
              <w:pStyle w:val="TableText"/>
            </w:pPr>
            <w:r>
              <w:t>scale-adjusted；低</w:t>
            </w:r>
          </w:p>
        </w:tc>
      </w:tr>
      <w:tr>
        <w:trPr>
          <w:cantSplit/>
        </w:trPr>
        <w:tc>
          <w:tcPr>
            <w:tcW w:w="2200" w:type="dxa"/>
            <w:vAlign w:val="center"/>
          </w:tcPr>
          <w:p>
            <w:pPr>
              <w:pStyle w:val="TableText"/>
            </w:pPr>
            <w:r>
              <w:t>Selection score</w:t>
            </w:r>
          </w:p>
        </w:tc>
        <w:tc>
          <w:tcPr>
            <w:tcW w:w="4500" w:type="dxa"/>
            <w:vAlign w:val="center"/>
          </w:tcPr>
          <w:p>
            <w:pPr>
              <w:pStyle w:val="TableText"/>
            </w:pPr>
            <w:r>
              <w:t>meanₕ N-pinballₕ, h=1…14</w:t>
            </w:r>
          </w:p>
        </w:tc>
        <w:tc>
          <w:tcPr>
            <w:tcW w:w="2660" w:type="dxa"/>
            <w:vAlign w:val="center"/>
          </w:tcPr>
          <w:p>
            <w:pPr>
              <w:pStyle w:val="TableText"/>
            </w:pPr>
            <w:r>
              <w:t>無量綱；低</w:t>
            </w:r>
          </w:p>
        </w:tc>
      </w:tr>
      <w:tr>
        <w:trPr>
          <w:cantSplit/>
        </w:trPr>
        <w:tc>
          <w:tcPr>
            <w:tcW w:w="2200" w:type="dxa"/>
            <w:vAlign w:val="center"/>
          </w:tcPr>
          <w:p>
            <w:pPr>
              <w:pStyle w:val="TableText"/>
            </w:pPr>
            <w:r>
              <w:t>q50 MAE</w:t>
            </w:r>
          </w:p>
        </w:tc>
        <w:tc>
          <w:tcPr>
            <w:tcW w:w="4500" w:type="dxa"/>
            <w:vAlign w:val="center"/>
          </w:tcPr>
          <w:p>
            <w:pPr>
              <w:pStyle w:val="TableText"/>
            </w:pPr>
            <w:r>
              <w:t>mean |y−q50|</w:t>
            </w:r>
          </w:p>
        </w:tc>
        <w:tc>
          <w:tcPr>
            <w:tcW w:w="2660" w:type="dxa"/>
            <w:vAlign w:val="center"/>
          </w:tcPr>
          <w:p>
            <w:pPr>
              <w:pStyle w:val="TableText"/>
            </w:pPr>
            <w:r>
              <w:t>log alpha；低</w:t>
            </w:r>
          </w:p>
        </w:tc>
      </w:tr>
      <w:tr>
        <w:trPr>
          <w:cantSplit/>
        </w:trPr>
        <w:tc>
          <w:tcPr>
            <w:tcW w:w="2200" w:type="dxa"/>
            <w:vAlign w:val="center"/>
          </w:tcPr>
          <w:p>
            <w:pPr>
              <w:pStyle w:val="TableText"/>
            </w:pPr>
            <w:r>
              <w:t>N-MAE</w:t>
            </w:r>
          </w:p>
        </w:tc>
        <w:tc>
          <w:tcPr>
            <w:tcW w:w="4500" w:type="dxa"/>
            <w:vAlign w:val="center"/>
          </w:tcPr>
          <w:p>
            <w:pPr>
              <w:pStyle w:val="TableText"/>
            </w:pPr>
            <w:r>
              <w:t>MAE/sₕ</w:t>
            </w:r>
          </w:p>
        </w:tc>
        <w:tc>
          <w:tcPr>
            <w:tcW w:w="2660" w:type="dxa"/>
            <w:vAlign w:val="center"/>
          </w:tcPr>
          <w:p>
            <w:pPr>
              <w:pStyle w:val="TableText"/>
            </w:pPr>
            <w:r>
              <w:t>scale-adjusted；低</w:t>
            </w:r>
          </w:p>
        </w:tc>
      </w:tr>
      <w:tr>
        <w:trPr>
          <w:cantSplit/>
        </w:trPr>
        <w:tc>
          <w:tcPr>
            <w:tcW w:w="2200" w:type="dxa"/>
            <w:vAlign w:val="center"/>
          </w:tcPr>
          <w:p>
            <w:pPr>
              <w:pStyle w:val="TableText"/>
            </w:pPr>
            <w:r>
              <w:t>Correlation</w:t>
            </w:r>
          </w:p>
        </w:tc>
        <w:tc>
          <w:tcPr>
            <w:tcW w:w="4500" w:type="dxa"/>
            <w:vAlign w:val="center"/>
          </w:tcPr>
          <w:p>
            <w:pPr>
              <w:pStyle w:val="TableText"/>
            </w:pPr>
            <w:r>
              <w:t>Pearson corr(y,q50)</w:t>
            </w:r>
          </w:p>
        </w:tc>
        <w:tc>
          <w:tcPr>
            <w:tcW w:w="2660" w:type="dxa"/>
            <w:vAlign w:val="center"/>
          </w:tcPr>
          <w:p>
            <w:pPr>
              <w:pStyle w:val="TableText"/>
            </w:pPr>
            <w:r>
              <w:t>−1…1；通常高</w:t>
            </w:r>
          </w:p>
        </w:tc>
      </w:tr>
      <w:tr>
        <w:trPr>
          <w:cantSplit/>
        </w:trPr>
        <w:tc>
          <w:tcPr>
            <w:tcW w:w="2200" w:type="dxa"/>
            <w:vAlign w:val="center"/>
          </w:tcPr>
          <w:p>
            <w:pPr>
              <w:pStyle w:val="TableText"/>
            </w:pPr>
            <w:r>
              <w:t>Direction</w:t>
            </w:r>
          </w:p>
        </w:tc>
        <w:tc>
          <w:tcPr>
            <w:tcW w:w="4500" w:type="dxa"/>
            <w:vAlign w:val="center"/>
          </w:tcPr>
          <w:p>
            <w:pPr>
              <w:pStyle w:val="TableText"/>
            </w:pPr>
            <w:r>
              <w:t>mean[sign(y)=sign(q50)]</w:t>
            </w:r>
          </w:p>
        </w:tc>
        <w:tc>
          <w:tcPr>
            <w:tcW w:w="2660" w:type="dxa"/>
            <w:vAlign w:val="center"/>
          </w:tcPr>
          <w:p>
            <w:pPr>
              <w:pStyle w:val="TableText"/>
            </w:pPr>
            <w:r>
              <w:t>0…1；通常高</w:t>
            </w:r>
          </w:p>
        </w:tc>
      </w:tr>
      <w:tr>
        <w:trPr>
          <w:cantSplit/>
        </w:trPr>
        <w:tc>
          <w:tcPr>
            <w:tcW w:w="2200" w:type="dxa"/>
            <w:vAlign w:val="center"/>
          </w:tcPr>
          <w:p>
            <w:pPr>
              <w:pStyle w:val="TableText"/>
            </w:pPr>
            <w:r>
              <w:t>Coverage</w:t>
            </w:r>
          </w:p>
        </w:tc>
        <w:tc>
          <w:tcPr>
            <w:tcW w:w="4500" w:type="dxa"/>
            <w:vAlign w:val="center"/>
          </w:tcPr>
          <w:p>
            <w:pPr>
              <w:pStyle w:val="TableText"/>
            </w:pPr>
            <w:r>
              <w:t>mean[q10≤y≤q90]</w:t>
            </w:r>
          </w:p>
        </w:tc>
        <w:tc>
          <w:tcPr>
            <w:tcW w:w="2660" w:type="dxa"/>
            <w:vAlign w:val="center"/>
          </w:tcPr>
          <w:p>
            <w:pPr>
              <w:pStyle w:val="TableText"/>
            </w:pPr>
            <w:r>
              <w:t>目標約 0.80</w:t>
            </w:r>
          </w:p>
        </w:tc>
      </w:tr>
      <w:tr>
        <w:trPr>
          <w:cantSplit/>
        </w:trPr>
        <w:tc>
          <w:tcPr>
            <w:tcW w:w="2200" w:type="dxa"/>
            <w:vAlign w:val="center"/>
          </w:tcPr>
          <w:p>
            <w:pPr>
              <w:pStyle w:val="TableText"/>
            </w:pPr>
            <w:r>
              <w:t>Width</w:t>
            </w:r>
          </w:p>
        </w:tc>
        <w:tc>
          <w:tcPr>
            <w:tcW w:w="4500" w:type="dxa"/>
            <w:vAlign w:val="center"/>
          </w:tcPr>
          <w:p>
            <w:pPr>
              <w:pStyle w:val="TableText"/>
            </w:pPr>
            <w:r>
              <w:t>mean(q90−q10)</w:t>
            </w:r>
          </w:p>
        </w:tc>
        <w:tc>
          <w:tcPr>
            <w:tcW w:w="2660" w:type="dxa"/>
            <w:vAlign w:val="center"/>
          </w:tcPr>
          <w:p>
            <w:pPr>
              <w:pStyle w:val="TableText"/>
            </w:pPr>
            <w:r>
              <w:t>log alpha；在相同 coverage 下窄</w:t>
            </w:r>
          </w:p>
        </w:tc>
      </w:tr>
      <w:tr>
        <w:trPr>
          <w:cantSplit/>
        </w:trPr>
        <w:tc>
          <w:tcPr>
            <w:tcW w:w="2200" w:type="dxa"/>
            <w:vAlign w:val="center"/>
          </w:tcPr>
          <w:p>
            <w:pPr>
              <w:pStyle w:val="TableText"/>
            </w:pPr>
            <w:r>
              <w:t>Coverage error</w:t>
            </w:r>
          </w:p>
        </w:tc>
        <w:tc>
          <w:tcPr>
            <w:tcW w:w="4500" w:type="dxa"/>
            <w:vAlign w:val="center"/>
          </w:tcPr>
          <w:p>
            <w:pPr>
              <w:pStyle w:val="TableText"/>
            </w:pPr>
            <w:r>
              <w:t>|coverage−0.80|</w:t>
            </w:r>
          </w:p>
        </w:tc>
        <w:tc>
          <w:tcPr>
            <w:tcW w:w="2660" w:type="dxa"/>
            <w:vAlign w:val="center"/>
          </w:tcPr>
          <w:p>
            <w:pPr>
              <w:pStyle w:val="TableText"/>
            </w:pPr>
            <w:r>
              <w:t>0…1；低</w:t>
            </w:r>
          </w:p>
        </w:tc>
      </w:tr>
      <w:tr>
        <w:trPr>
          <w:cantSplit/>
        </w:trPr>
        <w:tc>
          <w:tcPr>
            <w:tcW w:w="2200" w:type="dxa"/>
            <w:vAlign w:val="center"/>
          </w:tcPr>
          <w:p>
            <w:pPr>
              <w:pStyle w:val="TableText"/>
            </w:pPr>
            <w:r>
              <w:t>RankIC</w:t>
            </w:r>
          </w:p>
        </w:tc>
        <w:tc>
          <w:tcPr>
            <w:tcW w:w="4500" w:type="dxa"/>
            <w:vAlign w:val="center"/>
          </w:tcPr>
          <w:p>
            <w:pPr>
              <w:pStyle w:val="TableText"/>
            </w:pPr>
            <w:r>
              <w:t>mean_d corr(rank y,rank q50)</w:t>
            </w:r>
          </w:p>
        </w:tc>
        <w:tc>
          <w:tcPr>
            <w:tcW w:w="2660" w:type="dxa"/>
            <w:vAlign w:val="center"/>
          </w:tcPr>
          <w:p>
            <w:pPr>
              <w:pStyle w:val="TableText"/>
            </w:pPr>
            <w:r>
              <w:t>−1…1；高</w:t>
            </w:r>
          </w:p>
        </w:tc>
      </w:tr>
      <w:tr>
        <w:trPr>
          <w:cantSplit/>
        </w:trPr>
        <w:tc>
          <w:tcPr>
            <w:tcW w:w="2200" w:type="dxa"/>
            <w:vAlign w:val="center"/>
          </w:tcPr>
          <w:p>
            <w:pPr>
              <w:pStyle w:val="TableText"/>
            </w:pPr>
            <w:r>
              <w:t>ICIR</w:t>
            </w:r>
          </w:p>
        </w:tc>
        <w:tc>
          <w:tcPr>
            <w:tcW w:w="4500" w:type="dxa"/>
            <w:vAlign w:val="center"/>
          </w:tcPr>
          <w:p>
            <w:pPr>
              <w:pStyle w:val="TableText"/>
            </w:pPr>
            <w:r>
              <w:t>mean(IC_d)/sample std(IC_d)</w:t>
            </w:r>
          </w:p>
        </w:tc>
        <w:tc>
          <w:tcPr>
            <w:tcW w:w="2660" w:type="dxa"/>
            <w:vAlign w:val="center"/>
          </w:tcPr>
          <w:p>
            <w:pPr>
              <w:pStyle w:val="TableText"/>
            </w:pPr>
            <w:r>
              <w:t>無年化；高</w:t>
            </w:r>
          </w:p>
        </w:tc>
      </w:tr>
      <w:tr>
        <w:trPr>
          <w:cantSplit/>
        </w:trPr>
        <w:tc>
          <w:tcPr>
            <w:tcW w:w="2200" w:type="dxa"/>
            <w:vAlign w:val="center"/>
          </w:tcPr>
          <w:p>
            <w:pPr>
              <w:pStyle w:val="TableText"/>
            </w:pPr>
            <w:r>
              <w:t>Turnover</w:t>
            </w:r>
          </w:p>
        </w:tc>
        <w:tc>
          <w:tcPr>
            <w:tcW w:w="4500" w:type="dxa"/>
            <w:vAlign w:val="center"/>
          </w:tcPr>
          <w:p>
            <w:pPr>
              <w:pStyle w:val="TableText"/>
            </w:pPr>
            <w:r>
              <w:t>Σ|w_d−w_{d−1}|</w:t>
            </w:r>
          </w:p>
        </w:tc>
        <w:tc>
          <w:tcPr>
            <w:tcW w:w="2660" w:type="dxa"/>
            <w:vAlign w:val="center"/>
          </w:tcPr>
          <w:p>
            <w:pPr>
              <w:pStyle w:val="TableText"/>
            </w:pPr>
            <w:r>
              <w:t>權重變動；配合成本</w:t>
            </w:r>
          </w:p>
        </w:tc>
      </w:tr>
      <w:tr>
        <w:trPr>
          <w:cantSplit/>
        </w:trPr>
        <w:tc>
          <w:tcPr>
            <w:tcW w:w="2200" w:type="dxa"/>
            <w:vAlign w:val="center"/>
          </w:tcPr>
          <w:p>
            <w:pPr>
              <w:pStyle w:val="TableText"/>
            </w:pPr>
            <w:r>
              <w:t>Net log return</w:t>
            </w:r>
          </w:p>
        </w:tc>
        <w:tc>
          <w:tcPr>
            <w:tcW w:w="4500" w:type="dxa"/>
            <w:vAlign w:val="center"/>
          </w:tcPr>
          <w:p>
            <w:pPr>
              <w:pStyle w:val="TableText"/>
            </w:pPr>
            <w:r>
              <w:t>long mean−short mean−turnover×0.001</w:t>
            </w:r>
          </w:p>
        </w:tc>
        <w:tc>
          <w:tcPr>
            <w:tcW w:w="2660" w:type="dxa"/>
            <w:vAlign w:val="center"/>
          </w:tcPr>
          <w:p>
            <w:pPr>
              <w:pStyle w:val="TableText"/>
            </w:pPr>
            <w:r>
              <w:t>log spread；高</w:t>
            </w:r>
          </w:p>
        </w:tc>
      </w:tr>
      <w:tr>
        <w:trPr>
          <w:cantSplit/>
        </w:trPr>
        <w:tc>
          <w:tcPr>
            <w:tcW w:w="2200" w:type="dxa"/>
            <w:vAlign w:val="center"/>
          </w:tcPr>
          <w:p>
            <w:pPr>
              <w:pStyle w:val="TableText"/>
            </w:pPr>
            <w:r>
              <w:t>Wealth</w:t>
            </w:r>
          </w:p>
        </w:tc>
        <w:tc>
          <w:tcPr>
            <w:tcW w:w="4500" w:type="dxa"/>
            <w:vAlign w:val="center"/>
          </w:tcPr>
          <w:p>
            <w:pPr>
              <w:pStyle w:val="TableText"/>
            </w:pPr>
            <w:r>
              <w:t>exp(cumsum(net log return))</w:t>
            </w:r>
          </w:p>
        </w:tc>
        <w:tc>
          <w:tcPr>
            <w:tcW w:w="2660" w:type="dxa"/>
            <w:vAlign w:val="center"/>
          </w:tcPr>
          <w:p>
            <w:pPr>
              <w:pStyle w:val="TableText"/>
            </w:pPr>
            <w:r>
              <w:t>資金指數；高</w:t>
            </w:r>
          </w:p>
        </w:tc>
      </w:tr>
      <w:tr>
        <w:trPr>
          <w:cantSplit/>
        </w:trPr>
        <w:tc>
          <w:tcPr>
            <w:tcW w:w="2200" w:type="dxa"/>
            <w:vAlign w:val="center"/>
          </w:tcPr>
          <w:p>
            <w:pPr>
              <w:pStyle w:val="TableText"/>
            </w:pPr>
            <w:r>
              <w:t>MDD</w:t>
            </w:r>
          </w:p>
        </w:tc>
        <w:tc>
          <w:tcPr>
            <w:tcW w:w="4500" w:type="dxa"/>
            <w:vAlign w:val="center"/>
          </w:tcPr>
          <w:p>
            <w:pPr>
              <w:pStyle w:val="TableText"/>
            </w:pPr>
            <w:r>
              <w:t>min(wealth/running peak−1)</w:t>
            </w:r>
          </w:p>
        </w:tc>
        <w:tc>
          <w:tcPr>
            <w:tcW w:w="2660" w:type="dxa"/>
            <w:vAlign w:val="center"/>
          </w:tcPr>
          <w:p>
            <w:pPr>
              <w:pStyle w:val="TableText"/>
            </w:pPr>
            <w:r>
              <w:t>≤0；接近 0</w:t>
            </w:r>
          </w:p>
        </w:tc>
      </w:tr>
      <w:tr>
        <w:trPr>
          <w:cantSplit/>
        </w:trPr>
        <w:tc>
          <w:tcPr>
            <w:tcW w:w="2200" w:type="dxa"/>
            <w:vAlign w:val="center"/>
          </w:tcPr>
          <w:p>
            <w:pPr>
              <w:pStyle w:val="TableText"/>
            </w:pPr>
            <w:r>
              <w:t>Sharpe</w:t>
            </w:r>
          </w:p>
        </w:tc>
        <w:tc>
          <w:tcPr>
            <w:tcW w:w="4500" w:type="dxa"/>
            <w:vAlign w:val="center"/>
          </w:tcPr>
          <w:p>
            <w:pPr>
              <w:pStyle w:val="TableText"/>
            </w:pPr>
            <w:r>
              <w:t>mean(net)/std(net)×sqrt(252/h)</w:t>
            </w:r>
          </w:p>
        </w:tc>
        <w:tc>
          <w:tcPr>
            <w:tcW w:w="2660" w:type="dxa"/>
            <w:vAlign w:val="center"/>
          </w:tcPr>
          <w:p>
            <w:pPr>
              <w:pStyle w:val="TableText"/>
            </w:pPr>
            <w:r>
              <w:t>風險調整；高但需修正</w:t>
            </w:r>
          </w:p>
        </w:tc>
      </w:tr>
    </w:tbl>
    <w:p>
      <w:pPr>
        <w:pStyle w:val="11"/>
      </w:pPr>
      <w:r>
        <w:t>附錄 B｜程式與 artifact 來源</w:t>
      </w:r>
    </w:p>
    <w:tbl>
      <w:tblPr>
        <w:tblStyle w:val="BenchmarkTable"/>
        <w:tblW w:w="9360" w:type="dxa"/>
        <w:tblLayout w:type="fixed"/>
      </w:tblPr>
      <w:tblGrid>
        <w:gridCol w:w="3900"/>
        <w:gridCol w:w="5460"/>
      </w:tblGrid>
      <w:tr>
        <w:trPr>
          <w:tblHeader/>
        </w:trPr>
        <w:tc>
          <w:tcPr>
            <w:tcW w:w="3900" w:type="dxa"/>
            <w:shd w:val="clear" w:fill="DCE6F1"/>
            <w:vAlign w:val="center"/>
          </w:tcPr>
          <w:p>
            <w:pPr>
              <w:pStyle w:val="TableHeader"/>
            </w:pPr>
            <w:r>
              <w:t>來源</w:t>
            </w:r>
          </w:p>
        </w:tc>
        <w:tc>
          <w:tcPr>
            <w:tcW w:w="5460" w:type="dxa"/>
            <w:shd w:val="clear" w:fill="DCE6F1"/>
            <w:vAlign w:val="center"/>
          </w:tcPr>
          <w:p>
            <w:pPr>
              <w:pStyle w:val="TableHeader"/>
            </w:pPr>
            <w:r>
              <w:t>本手冊用來確認什麼</w:t>
            </w:r>
          </w:p>
        </w:tc>
      </w:tr>
      <w:tr>
        <w:trPr>
          <w:cantSplit/>
        </w:trPr>
        <w:tc>
          <w:tcPr>
            <w:tcW w:w="3900" w:type="dxa"/>
            <w:vAlign w:val="center"/>
          </w:tcPr>
          <w:p>
            <w:pPr>
              <w:pStyle w:val="TableText"/>
            </w:pPr>
            <w:r>
              <w:t>src/stock_forecasting/data/dataset.py</w:t>
            </w:r>
          </w:p>
        </w:tc>
        <w:tc>
          <w:tcPr>
            <w:tcW w:w="5460" w:type="dxa"/>
            <w:vAlign w:val="center"/>
          </w:tcPr>
          <w:p>
            <w:pPr>
              <w:pStyle w:val="TableText"/>
            </w:pPr>
            <w:r>
              <w:t>entry／exit、benchmark-relative adjusted log-return target</w:t>
            </w:r>
          </w:p>
        </w:tc>
      </w:tr>
      <w:tr>
        <w:trPr>
          <w:cantSplit/>
        </w:trPr>
        <w:tc>
          <w:tcPr>
            <w:tcW w:w="3900" w:type="dxa"/>
            <w:vAlign w:val="center"/>
          </w:tcPr>
          <w:p>
            <w:pPr>
              <w:pStyle w:val="TableText"/>
            </w:pPr>
            <w:r>
              <w:t>src/stock_forecasting/models/forecast.py</w:t>
            </w:r>
          </w:p>
        </w:tc>
        <w:tc>
          <w:tcPr>
            <w:tcW w:w="5460" w:type="dxa"/>
            <w:vAlign w:val="center"/>
          </w:tcPr>
          <w:p>
            <w:pPr>
              <w:pStyle w:val="TableText"/>
            </w:pPr>
            <w:r>
              <w:t>ordered q10/q50/q90 與 scale-normalized training loss</w:t>
            </w:r>
          </w:p>
        </w:tc>
      </w:tr>
      <w:tr>
        <w:trPr>
          <w:cantSplit/>
        </w:trPr>
        <w:tc>
          <w:tcPr>
            <w:tcW w:w="3900" w:type="dxa"/>
            <w:vAlign w:val="center"/>
          </w:tcPr>
          <w:p>
            <w:pPr>
              <w:pStyle w:val="TableText"/>
            </w:pPr>
            <w:r>
              <w:t>src/stock_forecasting/metrics.py</w:t>
            </w:r>
          </w:p>
        </w:tc>
        <w:tc>
          <w:tcPr>
            <w:tcW w:w="5460" w:type="dxa"/>
            <w:vAlign w:val="center"/>
          </w:tcPr>
          <w:p>
            <w:pPr>
              <w:pStyle w:val="TableText"/>
            </w:pPr>
            <w:r>
              <w:t>全部 forecast、signal、RankIC、turnover、net、wealth、MDD、Sharpe 公式</w:t>
            </w:r>
          </w:p>
        </w:tc>
      </w:tr>
      <w:tr>
        <w:trPr>
          <w:cantSplit/>
        </w:trPr>
        <w:tc>
          <w:tcPr>
            <w:tcW w:w="3900" w:type="dxa"/>
            <w:vAlign w:val="center"/>
          </w:tcPr>
          <w:p>
            <w:pPr>
              <w:pStyle w:val="TableText"/>
            </w:pPr>
            <w:r>
              <w:t>src/stock_forecasting/training.py</w:t>
            </w:r>
          </w:p>
        </w:tc>
        <w:tc>
          <w:tcPr>
            <w:tcW w:w="5460" w:type="dxa"/>
            <w:vAlign w:val="center"/>
          </w:tcPr>
          <w:p>
            <w:pPr>
              <w:pStyle w:val="TableText"/>
            </w:pPr>
            <w:r>
              <w:t>train-only robust scale、evaluate_loader、subgroup 與 lifecycle</w:t>
            </w:r>
          </w:p>
        </w:tc>
      </w:tr>
      <w:tr>
        <w:trPr>
          <w:cantSplit/>
        </w:trPr>
        <w:tc>
          <w:tcPr>
            <w:tcW w:w="3900" w:type="dxa"/>
            <w:vAlign w:val="center"/>
          </w:tcPr>
          <w:p>
            <w:pPr>
              <w:pStyle w:val="TableText"/>
            </w:pPr>
            <w:r>
              <w:t>src/stock_forecasting/validation_benchmark.py</w:t>
            </w:r>
          </w:p>
        </w:tc>
        <w:tc>
          <w:tcPr>
            <w:tcW w:w="5460" w:type="dxa"/>
            <w:vAlign w:val="center"/>
          </w:tcPr>
          <w:p>
            <w:pPr>
              <w:pStyle w:val="TableText"/>
            </w:pPr>
            <w:r>
              <w:t>seed aggregation、comparison row、leaderboard 與 test policy</w:t>
            </w:r>
          </w:p>
        </w:tc>
      </w:tr>
      <w:tr>
        <w:trPr>
          <w:cantSplit/>
        </w:trPr>
        <w:tc>
          <w:tcPr>
            <w:tcW w:w="3900" w:type="dxa"/>
            <w:vAlign w:val="center"/>
          </w:tcPr>
          <w:p>
            <w:pPr>
              <w:pStyle w:val="TableText"/>
            </w:pPr>
            <w:r>
              <w:t>src/stock_forecasting/cli/infer.py</w:t>
            </w:r>
          </w:p>
        </w:tc>
        <w:tc>
          <w:tcPr>
            <w:tcW w:w="5460" w:type="dxa"/>
            <w:vAlign w:val="center"/>
          </w:tcPr>
          <w:p>
            <w:pPr>
              <w:pStyle w:val="TableText"/>
            </w:pPr>
            <w:r>
              <w:t>schema 5.0 inference payload 與 derived signal</w:t>
            </w:r>
          </w:p>
        </w:tc>
      </w:tr>
      <w:tr>
        <w:trPr>
          <w:cantSplit/>
        </w:trPr>
        <w:tc>
          <w:tcPr>
            <w:tcW w:w="3900" w:type="dxa"/>
            <w:vAlign w:val="center"/>
          </w:tcPr>
          <w:p>
            <w:pPr>
              <w:pStyle w:val="TableText"/>
            </w:pPr>
            <w:r>
              <w:t>artifacts/runpod/run-20260903T140429Z-1247813592</w:t>
            </w:r>
          </w:p>
        </w:tc>
        <w:tc>
          <w:tcPr>
            <w:tcW w:w="5460" w:type="dxa"/>
            <w:vAlign w:val="center"/>
          </w:tcPr>
          <w:p>
            <w:pPr>
              <w:pStyle w:val="TableText"/>
            </w:pPr>
            <w:r>
              <w:t>本手冊所有本次 run 數值</w:t>
            </w:r>
          </w:p>
        </w:tc>
      </w:tr>
    </w:tbl>
    <w:p>
      <w:pPr>
        <w:pStyle w:val="Note"/>
      </w:pPr>
      <w:r>
        <w:t>若 quantiles、horizons、target、scale、成本、分桶規則或 schema 版本改變，公式與數值便不能直接與本手冊 leaderboard 混排；必須建立新的 evaluation contract。</w:t>
      </w:r>
    </w:p>
    <w:p>
      <w:pPr>
        <w:pStyle w:val="a"/>
        <w:spacing w:after="0"/>
      </w:pPr>
      <w:r>
        <w:br w:type="page"/>
      </w:r>
    </w:p>
    <w:p>
      <w:pPr>
        <w:pStyle w:val="Kicker"/>
      </w:pPr>
      <w:r>
        <w:t>MODEL METRICS REFERENCE GUIDE</w:t>
      </w:r>
    </w:p>
    <w:p>
      <w:pPr>
        <w:pStyle w:val="ReportTitle"/>
      </w:pPr>
      <w:r>
        <w:t>Understand the Stock Meaning Before the Formula</w:t>
      </w:r>
    </w:p>
    <w:p>
      <w:pPr>
        <w:pStyle w:val="1"/>
      </w:pPr>
      <w:r>
        <w:t>1-to-14-Day Benchmark-Relative Alpha | schema 5.0</w:t>
      </w:r>
    </w:p>
    <w:p>
      <w:pPr>
        <w:pStyle w:val="Metadata"/>
      </w:pPr>
      <w:r>
        <w:t>Worked-example data: run-20260903T140429Z-1247813592</w:t>
      </w:r>
    </w:p>
    <w:p>
      <w:pPr>
        <w:pStyle w:val="Metadata"/>
      </w:pPr>
      <w:r>
        <w:t>Updated: 2026-09-05 | Written for first-time readers of quantitative model reports</w:t>
      </w:r>
    </w:p>
    <w:p>
      <w:pPr>
        <w:pStyle w:val="Lead"/>
      </w:pPr>
      <w:r>
        <w:t>This guide does not treat jargon as an explanation. Every metric first answers what it means for a stock, then gives a concrete market example, the exact formula, the preferred direction, the current 1-to-14-day result, and the conclusion that the metric cannot support. The model emits all 14 holding horizons at once; day five is only one row.</w:t>
      </w:r>
    </w:p>
    <w:p>
      <w:pPr>
        <w:pStyle w:val="11"/>
      </w:pPr>
      <w:r>
        <w:t>0. One-page beginner map</w:t>
      </w:r>
    </w:p>
    <w:p>
      <w:pPr>
        <w:pStyle w:val="Decision"/>
        <w:keepNext/>
        <w:spacing w:after="80"/>
      </w:pPr>
      <w:r>
        <w:t>Table 1 | Translate metric names into stock questions</w:t>
      </w:r>
    </w:p>
    <w:tbl>
      <w:tblPr>
        <w:tblStyle w:val="BenchmarkTable"/>
        <w:tblW w:w="9360" w:type="dxa"/>
        <w:tblLayout w:type="fixed"/>
      </w:tblPr>
      <w:tblGrid>
        <w:gridCol w:w="2500"/>
        <w:gridCol w:w="2200"/>
        <w:gridCol w:w="3020"/>
        <w:gridCol w:w="1640"/>
      </w:tblGrid>
      <w:tr>
        <w:trPr>
          <w:tblHeader/>
        </w:trPr>
        <w:tc>
          <w:tcPr>
            <w:tcW w:w="2500" w:type="dxa"/>
            <w:shd w:val="clear" w:fill="DCE6F1"/>
            <w:vAlign w:val="center"/>
          </w:tcPr>
          <w:p>
            <w:pPr>
              <w:pStyle w:val="TableHeader"/>
            </w:pPr>
            <w:r>
              <w:t>What you actually want to know</w:t>
            </w:r>
          </w:p>
        </w:tc>
        <w:tc>
          <w:tcPr>
            <w:tcW w:w="2200" w:type="dxa"/>
            <w:shd w:val="clear" w:fill="DCE6F1"/>
            <w:vAlign w:val="center"/>
          </w:tcPr>
          <w:p>
            <w:pPr>
              <w:pStyle w:val="TableHeader"/>
            </w:pPr>
            <w:r>
              <w:t>Metric</w:t>
            </w:r>
          </w:p>
        </w:tc>
        <w:tc>
          <w:tcPr>
            <w:tcW w:w="3020" w:type="dxa"/>
            <w:shd w:val="clear" w:fill="DCE6F1"/>
            <w:vAlign w:val="center"/>
          </w:tcPr>
          <w:p>
            <w:pPr>
              <w:pStyle w:val="TableHeader"/>
            </w:pPr>
            <w:r>
              <w:t>Plain meaning</w:t>
            </w:r>
          </w:p>
        </w:tc>
        <w:tc>
          <w:tcPr>
            <w:tcW w:w="1640" w:type="dxa"/>
            <w:shd w:val="clear" w:fill="DCE6F1"/>
            <w:vAlign w:val="center"/>
          </w:tcPr>
          <w:p>
            <w:pPr>
              <w:pStyle w:val="TableHeader"/>
            </w:pPr>
            <w:r>
              <w:t>Must also read</w:t>
            </w:r>
          </w:p>
        </w:tc>
      </w:tr>
      <w:tr>
        <w:trPr>
          <w:cantSplit/>
        </w:trPr>
        <w:tc>
          <w:tcPr>
            <w:tcW w:w="2500" w:type="dxa"/>
            <w:vAlign w:val="center"/>
          </w:tcPr>
          <w:p>
            <w:pPr>
              <w:pStyle w:val="TableText"/>
            </w:pPr>
            <w:r>
              <w:t>What does the model predict?</w:t>
            </w:r>
          </w:p>
        </w:tc>
        <w:tc>
          <w:tcPr>
            <w:tcW w:w="2200" w:type="dxa"/>
            <w:vAlign w:val="center"/>
          </w:tcPr>
          <w:p>
            <w:pPr>
              <w:pStyle w:val="TableText"/>
            </w:pPr>
            <w:r>
              <w:t>q10 / q50 / q90</w:t>
            </w:r>
          </w:p>
        </w:tc>
        <w:tc>
          <w:tcPr>
            <w:tcW w:w="3020" w:type="dxa"/>
            <w:vAlign w:val="center"/>
          </w:tcPr>
          <w:p>
            <w:pPr>
              <w:pStyle w:val="TableText"/>
            </w:pPr>
            <w:r>
              <w:t>Pessimistic, middle, and optimistic alpha versus a benchmark; not a price target</w:t>
            </w:r>
          </w:p>
        </w:tc>
        <w:tc>
          <w:tcPr>
            <w:tcW w:w="1640" w:type="dxa"/>
            <w:vAlign w:val="center"/>
          </w:tcPr>
          <w:p>
            <w:pPr>
              <w:pStyle w:val="TableText"/>
            </w:pPr>
            <w:r>
              <w:t>Horizon and log-return unit</w:t>
            </w:r>
          </w:p>
        </w:tc>
      </w:tr>
      <w:tr>
        <w:trPr>
          <w:cantSplit/>
        </w:trPr>
        <w:tc>
          <w:tcPr>
            <w:tcW w:w="2500" w:type="dxa"/>
            <w:vAlign w:val="center"/>
          </w:tcPr>
          <w:p>
            <w:pPr>
              <w:pStyle w:val="TableText"/>
            </w:pPr>
            <w:r>
              <w:t>Is the full distribution better than alternatives?</w:t>
            </w:r>
          </w:p>
        </w:tc>
        <w:tc>
          <w:tcPr>
            <w:tcW w:w="2200" w:type="dxa"/>
            <w:vAlign w:val="center"/>
          </w:tcPr>
          <w:p>
            <w:pPr>
              <w:pStyle w:val="TableText"/>
            </w:pPr>
            <w:r>
              <w:t>Normalized pinball / selection score</w:t>
            </w:r>
          </w:p>
        </w:tc>
        <w:tc>
          <w:tcPr>
            <w:tcW w:w="3020" w:type="dxa"/>
            <w:vAlign w:val="center"/>
          </w:tcPr>
          <w:p>
            <w:pPr>
              <w:pStyle w:val="TableText"/>
            </w:pPr>
            <w:r>
              <w:t>How badly quantiles are positioned; lower is better</w:t>
            </w:r>
          </w:p>
        </w:tc>
        <w:tc>
          <w:tcPr>
            <w:tcW w:w="1640" w:type="dxa"/>
            <w:vAlign w:val="center"/>
          </w:tcPr>
          <w:p>
            <w:pPr>
              <w:pStyle w:val="TableText"/>
            </w:pPr>
            <w:r>
              <w:t>Every day from 1 to 14</w:t>
            </w:r>
          </w:p>
        </w:tc>
      </w:tr>
      <w:tr>
        <w:trPr>
          <w:cantSplit/>
        </w:trPr>
        <w:tc>
          <w:tcPr>
            <w:tcW w:w="2500" w:type="dxa"/>
            <w:vAlign w:val="center"/>
          </w:tcPr>
          <w:p>
            <w:pPr>
              <w:pStyle w:val="TableText"/>
            </w:pPr>
            <w:r>
              <w:t>How far is the middle answer from reality?</w:t>
            </w:r>
          </w:p>
        </w:tc>
        <w:tc>
          <w:tcPr>
            <w:tcW w:w="2200" w:type="dxa"/>
            <w:vAlign w:val="center"/>
          </w:tcPr>
          <w:p>
            <w:pPr>
              <w:pStyle w:val="TableText"/>
            </w:pPr>
            <w:r>
              <w:t>q50 MAE / N-MAE</w:t>
            </w:r>
          </w:p>
        </w:tc>
        <w:tc>
          <w:tcPr>
            <w:tcW w:w="3020" w:type="dxa"/>
            <w:vAlign w:val="center"/>
          </w:tcPr>
          <w:p>
            <w:pPr>
              <w:pStyle w:val="TableText"/>
            </w:pPr>
            <w:r>
              <w:t>Average q50 miss distance</w:t>
            </w:r>
          </w:p>
        </w:tc>
        <w:tc>
          <w:tcPr>
            <w:tcW w:w="1640" w:type="dxa"/>
            <w:vAlign w:val="center"/>
          </w:tcPr>
          <w:p>
            <w:pPr>
              <w:pStyle w:val="TableText"/>
            </w:pPr>
            <w:r>
              <w:t>Correlation and direction</w:t>
            </w:r>
          </w:p>
        </w:tc>
      </w:tr>
      <w:tr>
        <w:trPr>
          <w:cantSplit/>
        </w:trPr>
        <w:tc>
          <w:tcPr>
            <w:tcW w:w="2500" w:type="dxa"/>
            <w:vAlign w:val="center"/>
          </w:tcPr>
          <w:p>
            <w:pPr>
              <w:pStyle w:val="TableText"/>
            </w:pPr>
            <w:r>
              <w:t>Is the pessimistic-to-optimistic range credible?</w:t>
            </w:r>
          </w:p>
        </w:tc>
        <w:tc>
          <w:tcPr>
            <w:tcW w:w="2200" w:type="dxa"/>
            <w:vAlign w:val="center"/>
          </w:tcPr>
          <w:p>
            <w:pPr>
              <w:pStyle w:val="TableText"/>
            </w:pPr>
            <w:r>
              <w:t>Coverage / width</w:t>
            </w:r>
          </w:p>
        </w:tc>
        <w:tc>
          <w:tcPr>
            <w:tcW w:w="3020" w:type="dxa"/>
            <w:vAlign w:val="center"/>
          </w:tcPr>
          <w:p>
            <w:pPr>
              <w:pStyle w:val="TableText"/>
            </w:pPr>
            <w:r>
              <w:t>How often truth falls inside q10–q90 and how wide it is</w:t>
            </w:r>
          </w:p>
        </w:tc>
        <w:tc>
          <w:tcPr>
            <w:tcW w:w="1640" w:type="dxa"/>
            <w:vAlign w:val="center"/>
          </w:tcPr>
          <w:p>
            <w:pPr>
              <w:pStyle w:val="TableText"/>
            </w:pPr>
            <w:r>
              <w:t>Coverage error</w:t>
            </w:r>
          </w:p>
        </w:tc>
      </w:tr>
      <w:tr>
        <w:trPr>
          <w:cantSplit/>
        </w:trPr>
        <w:tc>
          <w:tcPr>
            <w:tcW w:w="2500" w:type="dxa"/>
            <w:vAlign w:val="center"/>
          </w:tcPr>
          <w:p>
            <w:pPr>
              <w:pStyle w:val="TableText"/>
            </w:pPr>
            <w:r>
              <w:t>Can the model rank stronger stocks on the same date?</w:t>
            </w:r>
          </w:p>
        </w:tc>
        <w:tc>
          <w:tcPr>
            <w:tcW w:w="2200" w:type="dxa"/>
            <w:vAlign w:val="center"/>
          </w:tcPr>
          <w:p>
            <w:pPr>
              <w:pStyle w:val="TableText"/>
            </w:pPr>
            <w:r>
              <w:t>RankIC / ICIR</w:t>
            </w:r>
          </w:p>
        </w:tc>
        <w:tc>
          <w:tcPr>
            <w:tcW w:w="3020" w:type="dxa"/>
            <w:vAlign w:val="center"/>
          </w:tcPr>
          <w:p>
            <w:pPr>
              <w:pStyle w:val="TableText"/>
            </w:pPr>
            <w:r>
              <w:t>Whether forecast and realized ranks align and remain stable</w:t>
            </w:r>
          </w:p>
        </w:tc>
        <w:tc>
          <w:tcPr>
            <w:tcW w:w="1640" w:type="dxa"/>
            <w:vAlign w:val="center"/>
          </w:tcPr>
          <w:p>
            <w:pPr>
              <w:pStyle w:val="TableText"/>
            </w:pPr>
            <w:r>
              <w:t>Long/short and turnover</w:t>
            </w:r>
          </w:p>
        </w:tc>
      </w:tr>
      <w:tr>
        <w:trPr>
          <w:cantSplit/>
        </w:trPr>
        <w:tc>
          <w:tcPr>
            <w:tcW w:w="2500" w:type="dxa"/>
            <w:vAlign w:val="center"/>
          </w:tcPr>
          <w:p>
            <w:pPr>
              <w:pStyle w:val="TableText"/>
            </w:pPr>
            <w:r>
              <w:t>Can the diagnostic capital path be tolerated?</w:t>
            </w:r>
          </w:p>
        </w:tc>
        <w:tc>
          <w:tcPr>
            <w:tcW w:w="2200" w:type="dxa"/>
            <w:vAlign w:val="center"/>
          </w:tcPr>
          <w:p>
            <w:pPr>
              <w:pStyle w:val="TableText"/>
            </w:pPr>
            <w:r>
              <w:t>Net return / Sharpe / MDD</w:t>
            </w:r>
          </w:p>
        </w:tc>
        <w:tc>
          <w:tcPr>
            <w:tcW w:w="3020" w:type="dxa"/>
            <w:vAlign w:val="center"/>
          </w:tcPr>
          <w:p>
            <w:pPr>
              <w:pStyle w:val="TableText"/>
            </w:pPr>
            <w:r>
              <w:t>After-cost return, return-to-variability, and deepest drawdown</w:t>
            </w:r>
          </w:p>
        </w:tc>
        <w:tc>
          <w:tcPr>
            <w:tcW w:w="1640" w:type="dxa"/>
            <w:vAlign w:val="center"/>
          </w:tcPr>
          <w:p>
            <w:pPr>
              <w:pStyle w:val="TableText"/>
            </w:pPr>
            <w:r>
              <w:t>Test, slippage, borrow, capacity</w:t>
            </w:r>
          </w:p>
        </w:tc>
      </w:tr>
    </w:tbl>
    <w:p>
      <w:pPr>
        <w:pStyle w:val="a"/>
      </w:pPr>
      <w:r>
        <w:t>One-sentence result: the equal-weight 14-horizon selection score is 0.314759, rank 1 of 13. RankIC and net Sharpe are positive at all 14 horizons, but maximum drawdown deteriorates from about -15.4% at day 1 to -66.7% at day 14. Distribution and ranking results merit further validation; they do not establish tradability.</w:t>
      </w:r>
    </w:p>
    <w:p>
      <w:pPr>
        <w:pStyle w:val="11"/>
      </w:pPr>
      <w:r>
        <w:t>1. The model predicts alpha versus a benchmark, not a stock price</w:t>
      </w:r>
    </w:p>
    <w:p>
      <w:pPr>
        <w:pStyle w:val="31"/>
      </w:pPr>
      <w:r>
        <w:t>1.1 Target alpha / realized y</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From the next common trading-day open through the close of common holding day h, did the stock earn more or less than its benchmark? Positive means outperformance; negative means underperformance.</w:t>
            </w:r>
          </w:p>
        </w:tc>
      </w:tr>
      <w:tr>
        <w:trPr>
          <w:cantSplit/>
        </w:trPr>
        <w:tc>
          <w:tcPr>
            <w:tcW w:w="1900" w:type="dxa"/>
            <w:vAlign w:val="center"/>
          </w:tcPr>
          <w:p>
            <w:pPr>
              <w:pStyle w:val="TableText"/>
            </w:pPr>
            <w:r>
              <w:t>Stock-market example</w:t>
            </w:r>
          </w:p>
        </w:tc>
        <w:tc>
          <w:tcPr>
            <w:tcW w:w="7460" w:type="dxa"/>
            <w:vAlign w:val="center"/>
          </w:tcPr>
          <w:p>
            <w:pPr>
              <w:pStyle w:val="TableText"/>
            </w:pPr>
            <w:r>
              <w:t>Asset adjusted gross return=1.06 and benchmark=1.02. The stock rose about 6% while the benchmark rose about 2%. The evaluated target is y=ln(1.06/1.02)=0.03847; exp(y)−1=3.92% on the relative gross-ratio scale. It is not a $3.92 price target.</w:t>
            </w:r>
          </w:p>
        </w:tc>
      </w:tr>
      <w:tr>
        <w:trPr>
          <w:cantSplit/>
        </w:trPr>
        <w:tc>
          <w:tcPr>
            <w:tcW w:w="1900" w:type="dxa"/>
            <w:vAlign w:val="center"/>
          </w:tcPr>
          <w:p>
            <w:pPr>
              <w:pStyle w:val="TableText"/>
            </w:pPr>
            <w:r>
              <w:t>Exact calculation</w:t>
            </w:r>
          </w:p>
        </w:tc>
        <w:tc>
          <w:tcPr>
            <w:tcW w:w="7460" w:type="dxa"/>
            <w:vAlign w:val="center"/>
          </w:tcPr>
          <w:p>
            <w:pPr>
              <w:pStyle w:val="TableText"/>
            </w:pPr>
            <w:r>
              <w:t>yᵢ,ₕ=ln(asset adjusted grossᵢ,ₕ)−ln(benchmark adjusted grossᵢ,ₕ)=ln(asset gross/benchmark gross). The signal forms after the day-t close, entry uses the next common raw regular-session open, and exit uses the raw close of common holding day h.</w:t>
            </w:r>
          </w:p>
        </w:tc>
      </w:tr>
      <w:tr>
        <w:trPr>
          <w:cantSplit/>
        </w:trPr>
        <w:tc>
          <w:tcPr>
            <w:tcW w:w="1900" w:type="dxa"/>
            <w:vAlign w:val="center"/>
          </w:tcPr>
          <w:p>
            <w:pPr>
              <w:pStyle w:val="TableText"/>
            </w:pPr>
            <w:r>
              <w:t>How to read it</w:t>
            </w:r>
          </w:p>
        </w:tc>
        <w:tc>
          <w:tcPr>
            <w:tcW w:w="7460" w:type="dxa"/>
            <w:vAlign w:val="center"/>
          </w:tcPr>
          <w:p>
            <w:pPr>
              <w:pStyle w:val="TableText"/>
            </w:pPr>
            <w:r>
              <w:t>y&gt;0 means relative strength, y&lt;0 relative weakness, and y=0 benchmark matching. A log alpha of 0.05 converts to exp(0.05)−1=5.13% relative gross ratio.</w:t>
            </w:r>
          </w:p>
        </w:tc>
      </w:tr>
      <w:tr>
        <w:trPr>
          <w:cantSplit/>
        </w:trPr>
        <w:tc>
          <w:tcPr>
            <w:tcW w:w="1900" w:type="dxa"/>
            <w:vAlign w:val="center"/>
          </w:tcPr>
          <w:p>
            <w:pPr>
              <w:pStyle w:val="TableText"/>
            </w:pPr>
            <w:r>
              <w:t>Current run</w:t>
            </w:r>
          </w:p>
        </w:tc>
        <w:tc>
          <w:tcPr>
            <w:tcW w:w="7460" w:type="dxa"/>
            <w:vAlign w:val="center"/>
          </w:tcPr>
          <w:p>
            <w:pPr>
              <w:pStyle w:val="TableText"/>
            </w:pPr>
            <w:r>
              <w:t>The validation split has 20,000 samples. Every sample has 14 targets, one for each horizon from 1d through 14d.</w:t>
            </w:r>
          </w:p>
        </w:tc>
      </w:tr>
      <w:tr>
        <w:trPr>
          <w:cantSplit/>
        </w:trPr>
        <w:tc>
          <w:tcPr>
            <w:tcW w:w="1900" w:type="dxa"/>
            <w:vAlign w:val="center"/>
          </w:tcPr>
          <w:p>
            <w:pPr>
              <w:pStyle w:val="TableText"/>
            </w:pPr>
            <w:r>
              <w:t>Do not conclude</w:t>
            </w:r>
          </w:p>
        </w:tc>
        <w:tc>
          <w:tcPr>
            <w:tcW w:w="7460" w:type="dxa"/>
            <w:vAlign w:val="center"/>
          </w:tcPr>
          <w:p>
            <w:pPr>
              <w:pStyle w:val="TableText"/>
            </w:pPr>
            <w:r>
              <w:t>It is not absolute stock return, valuation, a price target, EPS growth, or the direct subtraction of two simple returns.</w:t>
            </w:r>
          </w:p>
        </w:tc>
      </w:tr>
      <w:tr>
        <w:trPr>
          <w:cantSplit/>
        </w:trPr>
        <w:tc>
          <w:tcPr>
            <w:tcW w:w="1900" w:type="dxa"/>
            <w:vAlign w:val="center"/>
          </w:tcPr>
          <w:p>
            <w:pPr>
              <w:pStyle w:val="TableText"/>
            </w:pPr>
            <w:r>
              <w:t>Read together with</w:t>
            </w:r>
          </w:p>
        </w:tc>
        <w:tc>
          <w:tcPr>
            <w:tcW w:w="7460" w:type="dxa"/>
            <w:vAlign w:val="center"/>
          </w:tcPr>
          <w:p>
            <w:pPr>
              <w:pStyle w:val="TableText"/>
            </w:pPr>
            <w:r>
              <w:t>Every q value, MAE, raw pinball, and interval width uses this benchmark-relative log-return unit.</w:t>
            </w:r>
          </w:p>
        </w:tc>
      </w:tr>
    </w:tbl>
    <w:p>
      <w:pPr>
        <w:pStyle w:val="31"/>
      </w:pPr>
      <w:r>
        <w:t>1.2 Horizon / holding days 1 through 14</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The same stock receives 14 separate answers today: one for holding day 1, another for day 2, and so on through day 14. The model is not a five-day-only forecaster.</w:t>
            </w:r>
          </w:p>
        </w:tc>
      </w:tr>
      <w:tr>
        <w:trPr>
          <w:cantSplit/>
        </w:trPr>
        <w:tc>
          <w:tcPr>
            <w:tcW w:w="1900" w:type="dxa"/>
            <w:vAlign w:val="center"/>
          </w:tcPr>
          <w:p>
            <w:pPr>
              <w:pStyle w:val="TableText"/>
            </w:pPr>
            <w:r>
              <w:t>Stock-market example</w:t>
            </w:r>
          </w:p>
        </w:tc>
        <w:tc>
          <w:tcPr>
            <w:tcW w:w="7460" w:type="dxa"/>
            <w:vAlign w:val="center"/>
          </w:tcPr>
          <w:p>
            <w:pPr>
              <w:pStyle w:val="TableText"/>
            </w:pPr>
            <w:r>
              <w:t>A stock may have q50 near zero at day 1 because of short-term noise, positive alpha at day 7, and a much wider q10–q90 range at day 14. These are different holding-period questions; day 5 cannot stand in for all of them.</w:t>
            </w:r>
          </w:p>
        </w:tc>
      </w:tr>
      <w:tr>
        <w:trPr>
          <w:cantSplit/>
        </w:trPr>
        <w:tc>
          <w:tcPr>
            <w:tcW w:w="1900" w:type="dxa"/>
            <w:vAlign w:val="center"/>
          </w:tcPr>
          <w:p>
            <w:pPr>
              <w:pStyle w:val="TableText"/>
            </w:pPr>
            <w:r>
              <w:t>Exact calculation</w:t>
            </w:r>
          </w:p>
        </w:tc>
        <w:tc>
          <w:tcPr>
            <w:tcW w:w="7460" w:type="dxa"/>
            <w:vAlign w:val="center"/>
          </w:tcPr>
          <w:p>
            <w:pPr>
              <w:pStyle w:val="TableText"/>
            </w:pPr>
            <w:r>
              <w:t>alpha_quantiles has shape [batch,14,3]. Dimension two maps indices 0–13 to 1d–14d; the final dimension is q10, q50, q90. Metrics are computed separately by horizon before the selection score averages all 14 equally.</w:t>
            </w:r>
          </w:p>
        </w:tc>
      </w:tr>
      <w:tr>
        <w:trPr>
          <w:cantSplit/>
        </w:trPr>
        <w:tc>
          <w:tcPr>
            <w:tcW w:w="1900" w:type="dxa"/>
            <w:vAlign w:val="center"/>
          </w:tcPr>
          <w:p>
            <w:pPr>
              <w:pStyle w:val="TableText"/>
            </w:pPr>
            <w:r>
              <w:t>How to read it</w:t>
            </w:r>
          </w:p>
        </w:tc>
        <w:tc>
          <w:tcPr>
            <w:tcW w:w="7460" w:type="dxa"/>
            <w:vAlign w:val="center"/>
          </w:tcPr>
          <w:p>
            <w:pPr>
              <w:pStyle w:val="TableText"/>
            </w:pPr>
            <w:r>
              <w:t>Use the all-horizon score to select a model, verify breadth row by row, and use the selected horizon's forecast, calibration, ranking, Sharpe, MDD, and turnover to assess a holding period.</w:t>
            </w:r>
          </w:p>
        </w:tc>
      </w:tr>
      <w:tr>
        <w:trPr>
          <w:cantSplit/>
        </w:trPr>
        <w:tc>
          <w:tcPr>
            <w:tcW w:w="1900" w:type="dxa"/>
            <w:vAlign w:val="center"/>
          </w:tcPr>
          <w:p>
            <w:pPr>
              <w:pStyle w:val="TableText"/>
            </w:pPr>
            <w:r>
              <w:t>Current run</w:t>
            </w:r>
          </w:p>
        </w:tc>
        <w:tc>
          <w:tcPr>
            <w:tcW w:w="7460" w:type="dxa"/>
            <w:vAlign w:val="center"/>
          </w:tcPr>
          <w:p>
            <w:pPr>
              <w:pStyle w:val="TableText"/>
            </w:pPr>
            <w:r>
              <w:t>Normalized pinball ranks second at day 1 and first at every day from 2 through 14. The aggregate advantage is not a five-day artifact.</w:t>
            </w:r>
          </w:p>
        </w:tc>
      </w:tr>
      <w:tr>
        <w:trPr>
          <w:cantSplit/>
        </w:trPr>
        <w:tc>
          <w:tcPr>
            <w:tcW w:w="1900" w:type="dxa"/>
            <w:vAlign w:val="center"/>
          </w:tcPr>
          <w:p>
            <w:pPr>
              <w:pStyle w:val="TableText"/>
            </w:pPr>
            <w:r>
              <w:t>Do not conclude</w:t>
            </w:r>
          </w:p>
        </w:tc>
        <w:tc>
          <w:tcPr>
            <w:tcW w:w="7460" w:type="dxa"/>
            <w:vAlign w:val="center"/>
          </w:tcPr>
          <w:p>
            <w:pPr>
              <w:pStyle w:val="TableText"/>
            </w:pPr>
            <w:r>
              <w:t>primary_5d is a legacy monitoring path. Its selection_score still covers all days 1–14. Do not reduce the model report to day 5 merely because that path contains 5d.</w:t>
            </w:r>
          </w:p>
        </w:tc>
      </w:tr>
    </w:tbl>
    <w:p>
      <w:pPr>
        <w:pStyle w:val="21"/>
      </w:pPr>
      <w:r>
        <w:t>1.3 q10, q50, and q90 through stock examples</w:t>
      </w:r>
    </w:p>
    <w:p>
      <w:pPr>
        <w:pStyle w:val="a"/>
      </w:pPr>
      <w:r>
        <w:t>Every q predicts benchmark-relative adjusted execution log return, not valuation, absolute price appreciation, a price target, or three class probabilities. Read q10 as a pessimistic outcome, q50 as the middle outcome, and q90 as an optimistic outcome.</w:t>
      </w:r>
    </w:p>
    <w:tbl>
      <w:tblPr>
        <w:tblStyle w:val="BenchmarkTable"/>
        <w:tblW w:w="9360" w:type="dxa"/>
        <w:tblLayout w:type="fixed"/>
      </w:tblPr>
      <w:tblGrid>
        <w:gridCol w:w="2020"/>
        <w:gridCol w:w="720"/>
        <w:gridCol w:w="720"/>
        <w:gridCol w:w="720"/>
        <w:gridCol w:w="3690"/>
        <w:gridCol w:w="1490"/>
      </w:tblGrid>
      <w:tr>
        <w:trPr>
          <w:tblHeader/>
        </w:trPr>
        <w:tc>
          <w:tcPr>
            <w:tcW w:w="2020" w:type="dxa"/>
            <w:shd w:val="clear" w:fill="DCE6F1"/>
            <w:vAlign w:val="center"/>
          </w:tcPr>
          <w:p>
            <w:pPr>
              <w:pStyle w:val="TableHeader"/>
            </w:pPr>
            <w:r>
              <w:t>Stock scenario</w:t>
            </w:r>
          </w:p>
        </w:tc>
        <w:tc>
          <w:tcPr>
            <w:tcW w:w="720" w:type="dxa"/>
            <w:shd w:val="clear" w:fill="DCE6F1"/>
            <w:vAlign w:val="center"/>
          </w:tcPr>
          <w:p>
            <w:pPr>
              <w:pStyle w:val="TableHeader"/>
            </w:pPr>
            <w:r>
              <w:t>q10</w:t>
            </w:r>
          </w:p>
        </w:tc>
        <w:tc>
          <w:tcPr>
            <w:tcW w:w="720" w:type="dxa"/>
            <w:shd w:val="clear" w:fill="DCE6F1"/>
            <w:vAlign w:val="center"/>
          </w:tcPr>
          <w:p>
            <w:pPr>
              <w:pStyle w:val="TableHeader"/>
            </w:pPr>
            <w:r>
              <w:t>q50</w:t>
            </w:r>
          </w:p>
        </w:tc>
        <w:tc>
          <w:tcPr>
            <w:tcW w:w="720" w:type="dxa"/>
            <w:shd w:val="clear" w:fill="DCE6F1"/>
            <w:vAlign w:val="center"/>
          </w:tcPr>
          <w:p>
            <w:pPr>
              <w:pStyle w:val="TableHeader"/>
            </w:pPr>
            <w:r>
              <w:t>q90</w:t>
            </w:r>
          </w:p>
        </w:tc>
        <w:tc>
          <w:tcPr>
            <w:tcW w:w="3690" w:type="dxa"/>
            <w:shd w:val="clear" w:fill="DCE6F1"/>
            <w:vAlign w:val="center"/>
          </w:tcPr>
          <w:p>
            <w:pPr>
              <w:pStyle w:val="TableHeader"/>
            </w:pPr>
            <w:r>
              <w:t>Plain reading</w:t>
            </w:r>
          </w:p>
        </w:tc>
        <w:tc>
          <w:tcPr>
            <w:tcW w:w="1490" w:type="dxa"/>
            <w:shd w:val="clear" w:fill="DCE6F1"/>
            <w:vAlign w:val="center"/>
          </w:tcPr>
          <w:p>
            <w:pPr>
              <w:pStyle w:val="TableHeader"/>
            </w:pPr>
            <w:r>
              <w:t>Derived label at theta=0</w:t>
            </w:r>
          </w:p>
        </w:tc>
      </w:tr>
      <w:tr>
        <w:trPr>
          <w:cantSplit/>
        </w:trPr>
        <w:tc>
          <w:tcPr>
            <w:tcW w:w="2020" w:type="dxa"/>
            <w:vAlign w:val="center"/>
          </w:tcPr>
          <w:p>
            <w:pPr>
              <w:pStyle w:val="TableText"/>
            </w:pPr>
            <w:r>
              <w:t>Stable market outperformer</w:t>
            </w:r>
          </w:p>
        </w:tc>
        <w:tc>
          <w:tcPr>
            <w:tcW w:w="720" w:type="dxa"/>
            <w:vAlign w:val="center"/>
          </w:tcPr>
          <w:p>
            <w:pPr>
              <w:pStyle w:val="TableText"/>
            </w:pPr>
            <w:r>
              <w:t>+0.02</w:t>
            </w:r>
          </w:p>
        </w:tc>
        <w:tc>
          <w:tcPr>
            <w:tcW w:w="720" w:type="dxa"/>
            <w:vAlign w:val="center"/>
          </w:tcPr>
          <w:p>
            <w:pPr>
              <w:pStyle w:val="TableText"/>
            </w:pPr>
            <w:r>
              <w:t>+0.05</w:t>
            </w:r>
          </w:p>
        </w:tc>
        <w:tc>
          <w:tcPr>
            <w:tcW w:w="720" w:type="dxa"/>
            <w:vAlign w:val="center"/>
          </w:tcPr>
          <w:p>
            <w:pPr>
              <w:pStyle w:val="TableText"/>
            </w:pPr>
            <w:r>
              <w:t>+0.09</w:t>
            </w:r>
          </w:p>
        </w:tc>
        <w:tc>
          <w:tcPr>
            <w:tcW w:w="3690" w:type="dxa"/>
            <w:vAlign w:val="center"/>
          </w:tcPr>
          <w:p>
            <w:pPr>
              <w:pStyle w:val="TableText"/>
            </w:pPr>
            <w:r>
              <w:t>Even the pessimistic outcome beats the benchmark; the middle implies about +5.13% relative gross ratio</w:t>
            </w:r>
          </w:p>
        </w:tc>
        <w:tc>
          <w:tcPr>
            <w:tcW w:w="1490" w:type="dxa"/>
            <w:vAlign w:val="center"/>
          </w:tcPr>
          <w:p>
            <w:pPr>
              <w:pStyle w:val="TableText"/>
            </w:pPr>
            <w:r>
              <w:t>strong_bullish</w:t>
            </w:r>
          </w:p>
        </w:tc>
      </w:tr>
      <w:tr>
        <w:trPr>
          <w:cantSplit/>
        </w:trPr>
        <w:tc>
          <w:tcPr>
            <w:tcW w:w="2020" w:type="dxa"/>
            <w:vAlign w:val="center"/>
          </w:tcPr>
          <w:p>
            <w:pPr>
              <w:pStyle w:val="TableText"/>
            </w:pPr>
            <w:r>
              <w:t>Weak low-priced stock</w:t>
            </w:r>
          </w:p>
        </w:tc>
        <w:tc>
          <w:tcPr>
            <w:tcW w:w="720" w:type="dxa"/>
            <w:vAlign w:val="center"/>
          </w:tcPr>
          <w:p>
            <w:pPr>
              <w:pStyle w:val="TableText"/>
            </w:pPr>
            <w:r>
              <w:t>−0.12</w:t>
            </w:r>
          </w:p>
        </w:tc>
        <w:tc>
          <w:tcPr>
            <w:tcW w:w="720" w:type="dxa"/>
            <w:vAlign w:val="center"/>
          </w:tcPr>
          <w:p>
            <w:pPr>
              <w:pStyle w:val="TableText"/>
            </w:pPr>
            <w:r>
              <w:t>−0.06</w:t>
            </w:r>
          </w:p>
        </w:tc>
        <w:tc>
          <w:tcPr>
            <w:tcW w:w="720" w:type="dxa"/>
            <w:vAlign w:val="center"/>
          </w:tcPr>
          <w:p>
            <w:pPr>
              <w:pStyle w:val="TableText"/>
            </w:pPr>
            <w:r>
              <w:t>−0.01</w:t>
            </w:r>
          </w:p>
        </w:tc>
        <w:tc>
          <w:tcPr>
            <w:tcW w:w="3690" w:type="dxa"/>
            <w:vAlign w:val="center"/>
          </w:tcPr>
          <w:p>
            <w:pPr>
              <w:pStyle w:val="TableText"/>
            </w:pPr>
            <w:r>
              <w:t>Even the optimistic outcome underperforms the benchmark</w:t>
            </w:r>
          </w:p>
        </w:tc>
        <w:tc>
          <w:tcPr>
            <w:tcW w:w="1490" w:type="dxa"/>
            <w:vAlign w:val="center"/>
          </w:tcPr>
          <w:p>
            <w:pPr>
              <w:pStyle w:val="TableText"/>
            </w:pPr>
            <w:r>
              <w:t>strong_bearish</w:t>
            </w:r>
          </w:p>
        </w:tc>
      </w:tr>
      <w:tr>
        <w:trPr>
          <w:cantSplit/>
        </w:trPr>
        <w:tc>
          <w:tcPr>
            <w:tcW w:w="2020" w:type="dxa"/>
            <w:vAlign w:val="center"/>
          </w:tcPr>
          <w:p>
            <w:pPr>
              <w:pStyle w:val="TableText"/>
            </w:pPr>
            <w:r>
              <w:t>Highly speculative stock</w:t>
            </w:r>
          </w:p>
        </w:tc>
        <w:tc>
          <w:tcPr>
            <w:tcW w:w="720" w:type="dxa"/>
            <w:vAlign w:val="center"/>
          </w:tcPr>
          <w:p>
            <w:pPr>
              <w:pStyle w:val="TableText"/>
            </w:pPr>
            <w:r>
              <w:t>−0.08</w:t>
            </w:r>
          </w:p>
        </w:tc>
        <w:tc>
          <w:tcPr>
            <w:tcW w:w="720" w:type="dxa"/>
            <w:vAlign w:val="center"/>
          </w:tcPr>
          <w:p>
            <w:pPr>
              <w:pStyle w:val="TableText"/>
            </w:pPr>
            <w:r>
              <w:t>−0.01</w:t>
            </w:r>
          </w:p>
        </w:tc>
        <w:tc>
          <w:tcPr>
            <w:tcW w:w="720" w:type="dxa"/>
            <w:vAlign w:val="center"/>
          </w:tcPr>
          <w:p>
            <w:pPr>
              <w:pStyle w:val="TableText"/>
            </w:pPr>
            <w:r>
              <w:t>+0.25</w:t>
            </w:r>
          </w:p>
        </w:tc>
        <w:tc>
          <w:tcPr>
            <w:tcW w:w="3690" w:type="dxa"/>
            <w:vAlign w:val="center"/>
          </w:tcPr>
          <w:p>
            <w:pPr>
              <w:pStyle w:val="TableText"/>
            </w:pPr>
            <w:r>
              <w:t>Downside and middle are weak, but the upper tail is large; possible upside is not high probability</w:t>
            </w:r>
          </w:p>
        </w:tc>
        <w:tc>
          <w:tcPr>
            <w:tcW w:w="1490" w:type="dxa"/>
            <w:vAlign w:val="center"/>
          </w:tcPr>
          <w:p>
            <w:pPr>
              <w:pStyle w:val="TableText"/>
            </w:pPr>
            <w:r>
              <w:t>bearish</w:t>
            </w:r>
          </w:p>
        </w:tc>
      </w:tr>
      <w:tr>
        <w:trPr>
          <w:cantSplit/>
        </w:trPr>
        <w:tc>
          <w:tcPr>
            <w:tcW w:w="2020" w:type="dxa"/>
            <w:vAlign w:val="center"/>
          </w:tcPr>
          <w:p>
            <w:pPr>
              <w:pStyle w:val="TableText"/>
            </w:pPr>
            <w:r>
              <w:t>Positive middle with downside risk</w:t>
            </w:r>
          </w:p>
        </w:tc>
        <w:tc>
          <w:tcPr>
            <w:tcW w:w="720" w:type="dxa"/>
            <w:vAlign w:val="center"/>
          </w:tcPr>
          <w:p>
            <w:pPr>
              <w:pStyle w:val="TableText"/>
            </w:pPr>
            <w:r>
              <w:t>−0.04</w:t>
            </w:r>
          </w:p>
        </w:tc>
        <w:tc>
          <w:tcPr>
            <w:tcW w:w="720" w:type="dxa"/>
            <w:vAlign w:val="center"/>
          </w:tcPr>
          <w:p>
            <w:pPr>
              <w:pStyle w:val="TableText"/>
            </w:pPr>
            <w:r>
              <w:t>+0.03</w:t>
            </w:r>
          </w:p>
        </w:tc>
        <w:tc>
          <w:tcPr>
            <w:tcW w:w="720" w:type="dxa"/>
            <w:vAlign w:val="center"/>
          </w:tcPr>
          <w:p>
            <w:pPr>
              <w:pStyle w:val="TableText"/>
            </w:pPr>
            <w:r>
              <w:t>+0.10</w:t>
            </w:r>
          </w:p>
        </w:tc>
        <w:tc>
          <w:tcPr>
            <w:tcW w:w="3690" w:type="dxa"/>
            <w:vAlign w:val="center"/>
          </w:tcPr>
          <w:p>
            <w:pPr>
              <w:pStyle w:val="TableText"/>
            </w:pPr>
            <w:r>
              <w:t>Typical outcome is positive, but the pessimistic case still underperforms</w:t>
            </w:r>
          </w:p>
        </w:tc>
        <w:tc>
          <w:tcPr>
            <w:tcW w:w="1490" w:type="dxa"/>
            <w:vAlign w:val="center"/>
          </w:tcPr>
          <w:p>
            <w:pPr>
              <w:pStyle w:val="TableText"/>
            </w:pPr>
            <w:r>
              <w:t>bullish</w:t>
            </w:r>
          </w:p>
        </w:tc>
      </w:tr>
      <w:tr>
        <w:trPr>
          <w:cantSplit/>
        </w:trPr>
        <w:tc>
          <w:tcPr>
            <w:tcW w:w="2020" w:type="dxa"/>
            <w:vAlign w:val="center"/>
          </w:tcPr>
          <w:p>
            <w:pPr>
              <w:pStyle w:val="TableText"/>
            </w:pPr>
            <w:r>
              <w:t>No middle direction</w:t>
            </w:r>
          </w:p>
        </w:tc>
        <w:tc>
          <w:tcPr>
            <w:tcW w:w="720" w:type="dxa"/>
            <w:vAlign w:val="center"/>
          </w:tcPr>
          <w:p>
            <w:pPr>
              <w:pStyle w:val="TableText"/>
            </w:pPr>
            <w:r>
              <w:t>−0.02</w:t>
            </w:r>
          </w:p>
        </w:tc>
        <w:tc>
          <w:tcPr>
            <w:tcW w:w="720" w:type="dxa"/>
            <w:vAlign w:val="center"/>
          </w:tcPr>
          <w:p>
            <w:pPr>
              <w:pStyle w:val="TableText"/>
            </w:pPr>
            <w:r>
              <w:t>0.00</w:t>
            </w:r>
          </w:p>
        </w:tc>
        <w:tc>
          <w:tcPr>
            <w:tcW w:w="720" w:type="dxa"/>
            <w:vAlign w:val="center"/>
          </w:tcPr>
          <w:p>
            <w:pPr>
              <w:pStyle w:val="TableText"/>
            </w:pPr>
            <w:r>
              <w:t>+0.04</w:t>
            </w:r>
          </w:p>
        </w:tc>
        <w:tc>
          <w:tcPr>
            <w:tcW w:w="3690" w:type="dxa"/>
            <w:vAlign w:val="center"/>
          </w:tcPr>
          <w:p>
            <w:pPr>
              <w:pStyle w:val="TableText"/>
            </w:pPr>
            <w:r>
              <w:t>The interval crosses zero and q50 is exactly zero</w:t>
            </w:r>
          </w:p>
        </w:tc>
        <w:tc>
          <w:tcPr>
            <w:tcW w:w="1490" w:type="dxa"/>
            <w:vAlign w:val="center"/>
          </w:tcPr>
          <w:p>
            <w:pPr>
              <w:pStyle w:val="TableText"/>
            </w:pPr>
            <w:r>
              <w:t>neutral</w:t>
            </w:r>
          </w:p>
        </w:tc>
      </w:tr>
    </w:tbl>
    <w:p>
      <w:pPr>
        <w:pStyle w:val="31"/>
      </w:pPr>
      <w:r>
        <w:t>1.4 Exact meaning of q10 / q50 / q90</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q10 is the model's lower outcome, q50 its middle outcome, and q90 its upper outcome for the same stock and horizon.</w:t>
            </w:r>
          </w:p>
        </w:tc>
      </w:tr>
      <w:tr>
        <w:trPr>
          <w:cantSplit/>
        </w:trPr>
        <w:tc>
          <w:tcPr>
            <w:tcW w:w="1900" w:type="dxa"/>
            <w:vAlign w:val="center"/>
          </w:tcPr>
          <w:p>
            <w:pPr>
              <w:pStyle w:val="TableText"/>
            </w:pPr>
            <w:r>
              <w:t>Stock-market example</w:t>
            </w:r>
          </w:p>
        </w:tc>
        <w:tc>
          <w:tcPr>
            <w:tcW w:w="7460" w:type="dxa"/>
            <w:vAlign w:val="center"/>
          </w:tcPr>
          <w:p>
            <w:pPr>
              <w:pStyle w:val="TableText"/>
            </w:pPr>
            <w:r>
              <w:t>For the speculative case q10=−0.08, q50=−0.01, q90=+0.25, the middle view slightly trails the market while the upper tail is very large. q90=+0.25 does not mean a 90% chance of gaining 25%.</w:t>
            </w:r>
          </w:p>
        </w:tc>
      </w:tr>
      <w:tr>
        <w:trPr>
          <w:cantSplit/>
        </w:trPr>
        <w:tc>
          <w:tcPr>
            <w:tcW w:w="1900" w:type="dxa"/>
            <w:vAlign w:val="center"/>
          </w:tcPr>
          <w:p>
            <w:pPr>
              <w:pStyle w:val="TableText"/>
            </w:pPr>
            <w:r>
              <w:t>Exact calculation</w:t>
            </w:r>
          </w:p>
        </w:tc>
        <w:tc>
          <w:tcPr>
            <w:tcW w:w="7460" w:type="dxa"/>
            <w:vAlign w:val="center"/>
          </w:tcPr>
          <w:p>
            <w:pPr>
              <w:pStyle w:val="TableText"/>
            </w:pPr>
            <w:r>
              <w:t>q̂ᵢ,ₕ(0.1), q̂ᵢ,ₕ(0.5), and q̂ᵢ,ₕ(0.9). The head produces q50 and positive softplus distances: q10=q50−positive and q90=q50+positive, enforcing q10≤q50≤q90.</w:t>
            </w:r>
          </w:p>
        </w:tc>
      </w:tr>
      <w:tr>
        <w:trPr>
          <w:cantSplit/>
        </w:trPr>
        <w:tc>
          <w:tcPr>
            <w:tcW w:w="1900" w:type="dxa"/>
            <w:vAlign w:val="center"/>
          </w:tcPr>
          <w:p>
            <w:pPr>
              <w:pStyle w:val="TableText"/>
            </w:pPr>
            <w:r>
              <w:t>How to read it</w:t>
            </w:r>
          </w:p>
        </w:tc>
        <w:tc>
          <w:tcPr>
            <w:tcW w:w="7460" w:type="dxa"/>
            <w:vAlign w:val="center"/>
          </w:tcPr>
          <w:p>
            <w:pPr>
              <w:pStyle w:val="TableText"/>
            </w:pPr>
            <w:r>
              <w:t>All q values positive means the full predicted range favors outperformance; all negative favors underperformance; crossing zero means directional uncertainty; q90 far above q50 indicates a long upper tail.</w:t>
            </w:r>
          </w:p>
        </w:tc>
      </w:tr>
      <w:tr>
        <w:trPr>
          <w:cantSplit/>
        </w:trPr>
        <w:tc>
          <w:tcPr>
            <w:tcW w:w="1900" w:type="dxa"/>
            <w:vAlign w:val="center"/>
          </w:tcPr>
          <w:p>
            <w:pPr>
              <w:pStyle w:val="TableText"/>
            </w:pPr>
            <w:r>
              <w:t>Current run</w:t>
            </w:r>
          </w:p>
        </w:tc>
        <w:tc>
          <w:tcPr>
            <w:tcW w:w="7460" w:type="dxa"/>
            <w:vAlign w:val="center"/>
          </w:tcPr>
          <w:p>
            <w:pPr>
              <w:pStyle w:val="TableText"/>
            </w:pPr>
            <w:r>
              <w:t>Every horizon has one triplet. At day 12, 97.27% of samples are labeled bearish at theta=0 but none strong_bearish, meaning most q50 values are negative while q90 remains at or above zero.</w:t>
            </w:r>
          </w:p>
        </w:tc>
      </w:tr>
      <w:tr>
        <w:trPr>
          <w:cantSplit/>
        </w:trPr>
        <w:tc>
          <w:tcPr>
            <w:tcW w:w="1900" w:type="dxa"/>
            <w:vAlign w:val="center"/>
          </w:tcPr>
          <w:p>
            <w:pPr>
              <w:pStyle w:val="TableText"/>
            </w:pPr>
            <w:r>
              <w:t>Do not conclude</w:t>
            </w:r>
          </w:p>
        </w:tc>
        <w:tc>
          <w:tcPr>
            <w:tcW w:w="7460" w:type="dxa"/>
            <w:vAlign w:val="center"/>
          </w:tcPr>
          <w:p>
            <w:pPr>
              <w:pStyle w:val="TableText"/>
            </w:pPr>
            <w:r>
              <w:t>q10 and q90 are not guaranteed bounds. q10 is not a 10% loss probability, and q90 is not a 90% gain probability. They are locations in the alpha-value distribution.</w:t>
            </w:r>
          </w:p>
        </w:tc>
      </w:tr>
      <w:tr>
        <w:trPr>
          <w:cantSplit/>
        </w:trPr>
        <w:tc>
          <w:tcPr>
            <w:tcW w:w="1900" w:type="dxa"/>
            <w:vAlign w:val="center"/>
          </w:tcPr>
          <w:p>
            <w:pPr>
              <w:pStyle w:val="TableText"/>
            </w:pPr>
            <w:r>
              <w:t>Read together with</w:t>
            </w:r>
          </w:p>
        </w:tc>
        <w:tc>
          <w:tcPr>
            <w:tcW w:w="7460" w:type="dxa"/>
            <w:vAlign w:val="center"/>
          </w:tcPr>
          <w:p>
            <w:pPr>
              <w:pStyle w:val="TableText"/>
            </w:pPr>
            <w:r>
              <w:t>Pinball evaluates quantile placement; coverage and width evaluate the q10–q90 interval.</w:t>
            </w:r>
          </w:p>
        </w:tc>
      </w:tr>
    </w:tbl>
    <w:p>
      <w:pPr>
        <w:pStyle w:val="11"/>
      </w:pPr>
      <w:r>
        <w:t>2. Distribution error: are all three q values useful?</w:t>
      </w:r>
    </w:p>
    <w:p>
      <w:pPr>
        <w:pStyle w:val="31"/>
      </w:pPr>
      <w:r>
        <w:t>2.1 Robust scale sₕ / the ruler for each horizon</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Estimate how widely alpha normally spreads at each holding period. Day 1 is usually tighter and day 14 wider. Separate rulers prevent long-horizon raw errors from dominating merely because their numbers are larger.</w:t>
            </w:r>
          </w:p>
        </w:tc>
      </w:tr>
      <w:tr>
        <w:trPr>
          <w:cantSplit/>
        </w:trPr>
        <w:tc>
          <w:tcPr>
            <w:tcW w:w="1900" w:type="dxa"/>
            <w:vAlign w:val="center"/>
          </w:tcPr>
          <w:p>
            <w:pPr>
              <w:pStyle w:val="TableText"/>
            </w:pPr>
            <w:r>
              <w:t>Stock-market example</w:t>
            </w:r>
          </w:p>
        </w:tc>
        <w:tc>
          <w:tcPr>
            <w:tcW w:w="7460" w:type="dxa"/>
            <w:vAlign w:val="center"/>
          </w:tcPr>
          <w:p>
            <w:pPr>
              <w:pStyle w:val="TableText"/>
            </w:pPr>
            <w:r>
              <w:t>Comparing a one-day alpha scale of 2% with a 14-day scale of 9% requires relative error. Missing by half of the usual move is comparable even when the raw percentage-point misses differ.</w:t>
            </w:r>
          </w:p>
        </w:tc>
      </w:tr>
      <w:tr>
        <w:trPr>
          <w:cantSplit/>
        </w:trPr>
        <w:tc>
          <w:tcPr>
            <w:tcW w:w="1900" w:type="dxa"/>
            <w:vAlign w:val="center"/>
          </w:tcPr>
          <w:p>
            <w:pPr>
              <w:pStyle w:val="TableText"/>
            </w:pPr>
            <w:r>
              <w:t>Exact calculation</w:t>
            </w:r>
          </w:p>
        </w:tc>
        <w:tc>
          <w:tcPr>
            <w:tcW w:w="7460" w:type="dxa"/>
            <w:vAlign w:val="center"/>
          </w:tcPr>
          <w:p>
            <w:pPr>
              <w:pStyle w:val="TableText"/>
            </w:pPr>
            <w:r>
              <w:t>Using train calibration labels only: IQRₕ=Q75−Q25; MADₕ=1.4826×median(|y−median(y)|); sₕ=max(IQRₕ,MADₕ,0.0001). This run samples 50,000 train labels with seed 42.</w:t>
            </w:r>
          </w:p>
        </w:tc>
      </w:tr>
      <w:tr>
        <w:trPr>
          <w:cantSplit/>
        </w:trPr>
        <w:tc>
          <w:tcPr>
            <w:tcW w:w="1900" w:type="dxa"/>
            <w:vAlign w:val="center"/>
          </w:tcPr>
          <w:p>
            <w:pPr>
              <w:pStyle w:val="TableText"/>
            </w:pPr>
            <w:r>
              <w:t>How to read it</w:t>
            </w:r>
          </w:p>
        </w:tc>
        <w:tc>
          <w:tcPr>
            <w:tcW w:w="7460" w:type="dxa"/>
            <w:vAlign w:val="center"/>
          </w:tcPr>
          <w:p>
            <w:pPr>
              <w:pStyle w:val="TableText"/>
            </w:pPr>
            <w:r>
              <w:t>A larger sₕ only means the train alpha distribution is more dispersed. It is a denominator, not a model score.</w:t>
            </w:r>
          </w:p>
        </w:tc>
      </w:tr>
      <w:tr>
        <w:trPr>
          <w:cantSplit/>
        </w:trPr>
        <w:tc>
          <w:tcPr>
            <w:tcW w:w="1900" w:type="dxa"/>
            <w:vAlign w:val="center"/>
          </w:tcPr>
          <w:p>
            <w:pPr>
              <w:pStyle w:val="TableText"/>
            </w:pPr>
            <w:r>
              <w:t>Current run</w:t>
            </w:r>
          </w:p>
        </w:tc>
        <w:tc>
          <w:tcPr>
            <w:tcW w:w="7460" w:type="dxa"/>
            <w:vAlign w:val="center"/>
          </w:tcPr>
          <w:p>
            <w:pPr>
              <w:pStyle w:val="TableText"/>
            </w:pPr>
            <w:r>
              <w:t>sₕ rises from 0.01868 at day 1 to 0.09131 at day 14; the 14-horizon range is 0.01868–0.09131.</w:t>
            </w:r>
          </w:p>
        </w:tc>
      </w:tr>
      <w:tr>
        <w:trPr>
          <w:cantSplit/>
        </w:trPr>
        <w:tc>
          <w:tcPr>
            <w:tcW w:w="1900" w:type="dxa"/>
            <w:vAlign w:val="center"/>
          </w:tcPr>
          <w:p>
            <w:pPr>
              <w:pStyle w:val="TableText"/>
            </w:pPr>
            <w:r>
              <w:t>Do not conclude</w:t>
            </w:r>
          </w:p>
        </w:tc>
        <w:tc>
          <w:tcPr>
            <w:tcW w:w="7460" w:type="dxa"/>
            <w:vAlign w:val="center"/>
          </w:tcPr>
          <w:p>
            <w:pPr>
              <w:pStyle w:val="TableText"/>
            </w:pPr>
            <w:r>
              <w:t>A larger scale does not mean a worse model. Do not re-estimate it after seeing validation or test; that changes the ruler and leaks information.</w:t>
            </w:r>
          </w:p>
        </w:tc>
      </w:tr>
      <w:tr>
        <w:trPr>
          <w:cantSplit/>
        </w:trPr>
        <w:tc>
          <w:tcPr>
            <w:tcW w:w="1900" w:type="dxa"/>
            <w:vAlign w:val="center"/>
          </w:tcPr>
          <w:p>
            <w:pPr>
              <w:pStyle w:val="TableText"/>
            </w:pPr>
            <w:r>
              <w:t>Read together with</w:t>
            </w:r>
          </w:p>
        </w:tc>
        <w:tc>
          <w:tcPr>
            <w:tcW w:w="7460" w:type="dxa"/>
            <w:vAlign w:val="center"/>
          </w:tcPr>
          <w:p>
            <w:pPr>
              <w:pStyle w:val="TableText"/>
            </w:pPr>
            <w:r>
              <w:t>Raw metrics preserve magnitude; normalized metrics use this ruler for horizon comparison.</w:t>
            </w:r>
          </w:p>
        </w:tc>
      </w:tr>
    </w:tbl>
    <w:p>
      <w:pPr>
        <w:pStyle w:val="31"/>
      </w:pPr>
      <w:r>
        <w:t>2.2 Raw pinball loss / cost of misplaced quantiles</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Checks whether pessimistic, middle, and optimistic forecast locations are positioned correctly. q90 forecasts are penalized heavily when reality often exceeds them; q10 forecasts are penalized heavily when reality falls below them.</w:t>
            </w:r>
          </w:p>
        </w:tc>
      </w:tr>
      <w:tr>
        <w:trPr>
          <w:cantSplit/>
        </w:trPr>
        <w:tc>
          <w:tcPr>
            <w:tcW w:w="1900" w:type="dxa"/>
            <w:vAlign w:val="center"/>
          </w:tcPr>
          <w:p>
            <w:pPr>
              <w:pStyle w:val="TableText"/>
            </w:pPr>
            <w:r>
              <w:t>Stock-market example</w:t>
            </w:r>
          </w:p>
        </w:tc>
        <w:tc>
          <w:tcPr>
            <w:tcW w:w="7460" w:type="dxa"/>
            <w:vAlign w:val="center"/>
          </w:tcPr>
          <w:p>
            <w:pPr>
              <w:pStyle w:val="TableText"/>
            </w:pPr>
            <w:r>
              <w:t>Realized y=0.04 and predicted (q10,q50,q90)=(−0.02,0.01,0.08). Losses are 0.1×0.06=0.006 for q10, 0.5×0.03=0.015 for q50, and 0.1×0.04=0.004 for q90. Their mean is 0.00833.</w:t>
            </w:r>
          </w:p>
        </w:tc>
      </w:tr>
      <w:tr>
        <w:trPr>
          <w:cantSplit/>
        </w:trPr>
        <w:tc>
          <w:tcPr>
            <w:tcW w:w="1900" w:type="dxa"/>
            <w:vAlign w:val="center"/>
          </w:tcPr>
          <w:p>
            <w:pPr>
              <w:pStyle w:val="TableText"/>
            </w:pPr>
            <w:r>
              <w:t>Exact calculation</w:t>
            </w:r>
          </w:p>
        </w:tc>
        <w:tc>
          <w:tcPr>
            <w:tcW w:w="7460" w:type="dxa"/>
            <w:vAlign w:val="center"/>
          </w:tcPr>
          <w:p>
            <w:pPr>
              <w:pStyle w:val="TableText"/>
            </w:pPr>
            <w:r>
              <w:t>Let e=y−q̂(τ); Lτ=max(τe,(τ−1)e), averaged over valid samples and τ∈{0.1,0.5,0.9}. Raw pinball is not divided by scale and retains the target's log-alpha unit.</w:t>
            </w:r>
          </w:p>
        </w:tc>
      </w:tr>
      <w:tr>
        <w:trPr>
          <w:cantSplit/>
        </w:trPr>
        <w:tc>
          <w:tcPr>
            <w:tcW w:w="1900" w:type="dxa"/>
            <w:vAlign w:val="center"/>
          </w:tcPr>
          <w:p>
            <w:pPr>
              <w:pStyle w:val="TableText"/>
            </w:pPr>
            <w:r>
              <w:t>How to read it</w:t>
            </w:r>
          </w:p>
        </w:tc>
        <w:tc>
          <w:tcPr>
            <w:tcW w:w="7460" w:type="dxa"/>
            <w:vAlign w:val="center"/>
          </w:tcPr>
          <w:p>
            <w:pPr>
              <w:pStyle w:val="TableText"/>
            </w:pPr>
            <w:r>
              <w:t>Lower is better and zero is perfect. Different horizon scales make raw pinball a magnitude diagnostic, not a fair standalone horizon ranking.</w:t>
            </w:r>
          </w:p>
        </w:tc>
      </w:tr>
      <w:tr>
        <w:trPr>
          <w:cantSplit/>
        </w:trPr>
        <w:tc>
          <w:tcPr>
            <w:tcW w:w="1900" w:type="dxa"/>
            <w:vAlign w:val="center"/>
          </w:tcPr>
          <w:p>
            <w:pPr>
              <w:pStyle w:val="TableText"/>
            </w:pPr>
            <w:r>
              <w:t>Current run</w:t>
            </w:r>
          </w:p>
        </w:tc>
        <w:tc>
          <w:tcPr>
            <w:tcW w:w="7460" w:type="dxa"/>
            <w:vAlign w:val="center"/>
          </w:tcPr>
          <w:p>
            <w:pPr>
              <w:pStyle w:val="TableText"/>
            </w:pPr>
            <w:r>
              <w:t>Raw pinball rises from 0.00700 at day 1 to 0.02667 at day 14, largely alongside the wider long-horizon alpha scale.</w:t>
            </w:r>
          </w:p>
        </w:tc>
      </w:tr>
      <w:tr>
        <w:trPr>
          <w:cantSplit/>
        </w:trPr>
        <w:tc>
          <w:tcPr>
            <w:tcW w:w="1900" w:type="dxa"/>
            <w:vAlign w:val="center"/>
          </w:tcPr>
          <w:p>
            <w:pPr>
              <w:pStyle w:val="TableText"/>
            </w:pPr>
            <w:r>
              <w:t>Do not conclude</w:t>
            </w:r>
          </w:p>
        </w:tc>
        <w:tc>
          <w:tcPr>
            <w:tcW w:w="7460" w:type="dxa"/>
            <w:vAlign w:val="center"/>
          </w:tcPr>
          <w:p>
            <w:pPr>
              <w:pStyle w:val="TableText"/>
            </w:pPr>
            <w:r>
              <w:t>It is not an error rate, hit rate, or return. A value of 0.02 does not mean a 2% prediction error rate.</w:t>
            </w:r>
          </w:p>
        </w:tc>
      </w:tr>
      <w:tr>
        <w:trPr>
          <w:cantSplit/>
        </w:trPr>
        <w:tc>
          <w:tcPr>
            <w:tcW w:w="1900" w:type="dxa"/>
            <w:vAlign w:val="center"/>
          </w:tcPr>
          <w:p>
            <w:pPr>
              <w:pStyle w:val="TableText"/>
            </w:pPr>
            <w:r>
              <w:t>Read together with</w:t>
            </w:r>
          </w:p>
        </w:tc>
        <w:tc>
          <w:tcPr>
            <w:tcW w:w="7460" w:type="dxa"/>
            <w:vAlign w:val="center"/>
          </w:tcPr>
          <w:p>
            <w:pPr>
              <w:pStyle w:val="TableText"/>
            </w:pPr>
            <w:r>
              <w:t>Normalized pinball, coverage, and width.</w:t>
            </w:r>
          </w:p>
        </w:tc>
      </w:tr>
    </w:tbl>
    <w:p>
      <w:pPr>
        <w:pStyle w:val="31"/>
      </w:pPr>
      <w:r>
        <w:t>2.3 Normalized pinball / one standard for days 1 through 14</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Divides each horizon's raw pinball by that horizon's typical alpha scale: how severe is the quantile-placement error relative to the holding period's normal dispersion?</w:t>
            </w:r>
          </w:p>
        </w:tc>
      </w:tr>
      <w:tr>
        <w:trPr>
          <w:cantSplit/>
        </w:trPr>
        <w:tc>
          <w:tcPr>
            <w:tcW w:w="1900" w:type="dxa"/>
            <w:vAlign w:val="center"/>
          </w:tcPr>
          <w:p>
            <w:pPr>
              <w:pStyle w:val="TableText"/>
            </w:pPr>
            <w:r>
              <w:t>Stock-market example</w:t>
            </w:r>
          </w:p>
        </w:tc>
        <w:tc>
          <w:tcPr>
            <w:tcW w:w="7460" w:type="dxa"/>
            <w:vAlign w:val="center"/>
          </w:tcPr>
          <w:p>
            <w:pPr>
              <w:pStyle w:val="TableText"/>
            </w:pPr>
            <w:r>
              <w:t>Horizon A has raw pinball 0.01 and scale 0.02, so normalized=0.50. Horizon B has raw 0.02 and scale 0.08, so normalized=0.25. B has the larger raw error but the smaller error relative to its typical scale.</w:t>
            </w:r>
          </w:p>
        </w:tc>
      </w:tr>
      <w:tr>
        <w:trPr>
          <w:cantSplit/>
        </w:trPr>
        <w:tc>
          <w:tcPr>
            <w:tcW w:w="1900" w:type="dxa"/>
            <w:vAlign w:val="center"/>
          </w:tcPr>
          <w:p>
            <w:pPr>
              <w:pStyle w:val="TableText"/>
            </w:pPr>
            <w:r>
              <w:t>Exact calculation</w:t>
            </w:r>
          </w:p>
        </w:tc>
        <w:tc>
          <w:tcPr>
            <w:tcW w:w="7460" w:type="dxa"/>
            <w:vAlign w:val="center"/>
          </w:tcPr>
          <w:p>
            <w:pPr>
              <w:pStyle w:val="TableText"/>
            </w:pPr>
            <w:r>
              <w:t>normalized pinballₕ=raw pinballₕ/sₕ. Training likewise divides horizon errors by sₕ before averaging finite targets and all three quantiles.</w:t>
            </w:r>
          </w:p>
        </w:tc>
      </w:tr>
      <w:tr>
        <w:trPr>
          <w:cantSplit/>
        </w:trPr>
        <w:tc>
          <w:tcPr>
            <w:tcW w:w="1900" w:type="dxa"/>
            <w:vAlign w:val="center"/>
          </w:tcPr>
          <w:p>
            <w:pPr>
              <w:pStyle w:val="TableText"/>
            </w:pPr>
            <w:r>
              <w:t>How to read it</w:t>
            </w:r>
          </w:p>
        </w:tc>
        <w:tc>
          <w:tcPr>
            <w:tcW w:w="7460" w:type="dxa"/>
            <w:vAlign w:val="center"/>
          </w:tcPr>
          <w:p>
            <w:pPr>
              <w:pStyle w:val="TableText"/>
            </w:pPr>
            <w:r>
              <w:t>Lower is better and horizons become approximately comparable. It is a weighted quantile error per typical scale, not accuracy.</w:t>
            </w:r>
          </w:p>
        </w:tc>
      </w:tr>
      <w:tr>
        <w:trPr>
          <w:cantSplit/>
        </w:trPr>
        <w:tc>
          <w:tcPr>
            <w:tcW w:w="1900" w:type="dxa"/>
            <w:vAlign w:val="center"/>
          </w:tcPr>
          <w:p>
            <w:pPr>
              <w:pStyle w:val="TableText"/>
            </w:pPr>
            <w:r>
              <w:t>Current run</w:t>
            </w:r>
          </w:p>
        </w:tc>
        <w:tc>
          <w:tcPr>
            <w:tcW w:w="7460" w:type="dxa"/>
            <w:vAlign w:val="center"/>
          </w:tcPr>
          <w:p>
            <w:pPr>
              <w:pStyle w:val="TableText"/>
            </w:pPr>
            <w:r>
              <w:t>Day 1 is 0.3748 (rank 2 of 13), day 7 0.3117 (rank 1), and day 14 0.2921 (rank 1); the range is 0.2921–0.3748.</w:t>
            </w:r>
          </w:p>
        </w:tc>
      </w:tr>
      <w:tr>
        <w:trPr>
          <w:cantSplit/>
        </w:trPr>
        <w:tc>
          <w:tcPr>
            <w:tcW w:w="1900" w:type="dxa"/>
            <w:vAlign w:val="center"/>
          </w:tcPr>
          <w:p>
            <w:pPr>
              <w:pStyle w:val="TableText"/>
            </w:pPr>
            <w:r>
              <w:t>Do not conclude</w:t>
            </w:r>
          </w:p>
        </w:tc>
        <w:tc>
          <w:tcPr>
            <w:tcW w:w="7460" w:type="dxa"/>
            <w:vAlign w:val="center"/>
          </w:tcPr>
          <w:p>
            <w:pPr>
              <w:pStyle w:val="TableText"/>
            </w:pPr>
            <w:r>
              <w:t>0.3148 cannot be converted into 68.52% accuracy or 31.48% expected return.</w:t>
            </w:r>
          </w:p>
        </w:tc>
      </w:tr>
      <w:tr>
        <w:trPr>
          <w:cantSplit/>
        </w:trPr>
        <w:tc>
          <w:tcPr>
            <w:tcW w:w="1900" w:type="dxa"/>
            <w:vAlign w:val="center"/>
          </w:tcPr>
          <w:p>
            <w:pPr>
              <w:pStyle w:val="TableText"/>
            </w:pPr>
            <w:r>
              <w:t>Read together with</w:t>
            </w:r>
          </w:p>
        </w:tc>
        <w:tc>
          <w:tcPr>
            <w:tcW w:w="7460" w:type="dxa"/>
            <w:vAlign w:val="center"/>
          </w:tcPr>
          <w:p>
            <w:pPr>
              <w:pStyle w:val="TableText"/>
            </w:pPr>
            <w:r>
              <w:t>Raw pinball for economic magnitude and selection score for the 14-horizon summary.</w:t>
            </w:r>
          </w:p>
        </w:tc>
      </w:tr>
    </w:tbl>
    <w:p>
      <w:pPr>
        <w:pStyle w:val="31"/>
      </w:pPr>
      <w:r>
        <w:t>2.4 Selection score / the 14-horizon checkpoint and model score</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Treats the 14 normalized-pinball values as 14 equally weighted tests. Lower means lower distribution error across the entire output contract.</w:t>
            </w:r>
          </w:p>
        </w:tc>
      </w:tr>
      <w:tr>
        <w:trPr>
          <w:cantSplit/>
        </w:trPr>
        <w:tc>
          <w:tcPr>
            <w:tcW w:w="1900" w:type="dxa"/>
            <w:vAlign w:val="center"/>
          </w:tcPr>
          <w:p>
            <w:pPr>
              <w:pStyle w:val="TableText"/>
            </w:pPr>
            <w:r>
              <w:t>Stock-market example</w:t>
            </w:r>
          </w:p>
        </w:tc>
        <w:tc>
          <w:tcPr>
            <w:tcW w:w="7460" w:type="dxa"/>
            <w:vAlign w:val="center"/>
          </w:tcPr>
          <w:p>
            <w:pPr>
              <w:pStyle w:val="TableText"/>
            </w:pPr>
            <w:r>
              <w:t>Three horizons with 0.20, 0.30, and 0.40 have a score of (0.20+0.30+0.40)/3=0.30. The project uses 14 horizons and does not secretly overweight day five.</w:t>
            </w:r>
          </w:p>
        </w:tc>
      </w:tr>
      <w:tr>
        <w:trPr>
          <w:cantSplit/>
        </w:trPr>
        <w:tc>
          <w:tcPr>
            <w:tcW w:w="1900" w:type="dxa"/>
            <w:vAlign w:val="center"/>
          </w:tcPr>
          <w:p>
            <w:pPr>
              <w:pStyle w:val="TableText"/>
            </w:pPr>
            <w:r>
              <w:t>Exact calculation</w:t>
            </w:r>
          </w:p>
        </w:tc>
        <w:tc>
          <w:tcPr>
            <w:tcW w:w="7460" w:type="dxa"/>
            <w:vAlign w:val="center"/>
          </w:tcPr>
          <w:p>
            <w:pPr>
              <w:pStyle w:val="TableText"/>
            </w:pPr>
            <w:r>
              <w:t>selection score=(1/14)×Σₕ₌₁¹⁴ normalized pinballₕ. Checkpoints and models sort ascending. RankIC, Sharpe, and coverage do not enter the formula.</w:t>
            </w:r>
          </w:p>
        </w:tc>
      </w:tr>
      <w:tr>
        <w:trPr>
          <w:cantSplit/>
        </w:trPr>
        <w:tc>
          <w:tcPr>
            <w:tcW w:w="1900" w:type="dxa"/>
            <w:vAlign w:val="center"/>
          </w:tcPr>
          <w:p>
            <w:pPr>
              <w:pStyle w:val="TableText"/>
            </w:pPr>
            <w:r>
              <w:t>How to read it</w:t>
            </w:r>
          </w:p>
        </w:tc>
        <w:tc>
          <w:tcPr>
            <w:tcW w:w="7460" w:type="dxa"/>
            <w:vAlign w:val="center"/>
          </w:tcPr>
          <w:p>
            <w:pPr>
              <w:pStyle w:val="TableText"/>
            </w:pPr>
            <w:r>
              <w:t>Lower is better for fixed-protocol validation selection. Always inspect each horizon so an average cannot hide a failed holding period.</w:t>
            </w:r>
          </w:p>
        </w:tc>
      </w:tr>
      <w:tr>
        <w:trPr>
          <w:cantSplit/>
        </w:trPr>
        <w:tc>
          <w:tcPr>
            <w:tcW w:w="1900" w:type="dxa"/>
            <w:vAlign w:val="center"/>
          </w:tcPr>
          <w:p>
            <w:pPr>
              <w:pStyle w:val="TableText"/>
            </w:pPr>
            <w:r>
              <w:t>Current run</w:t>
            </w:r>
          </w:p>
        </w:tc>
        <w:tc>
          <w:tcPr>
            <w:tcW w:w="7460" w:type="dxa"/>
            <w:vAlign w:val="center"/>
          </w:tcPr>
          <w:p>
            <w:pPr>
              <w:pStyle w:val="TableText"/>
            </w:pPr>
            <w:r>
              <w:t>Kronos scores 0.314759, rank 1 of 13, which is 6.49% below GRU at 0.336588.</w:t>
            </w:r>
          </w:p>
        </w:tc>
      </w:tr>
      <w:tr>
        <w:trPr>
          <w:cantSplit/>
        </w:trPr>
        <w:tc>
          <w:tcPr>
            <w:tcW w:w="1900" w:type="dxa"/>
            <w:vAlign w:val="center"/>
          </w:tcPr>
          <w:p>
            <w:pPr>
              <w:pStyle w:val="TableText"/>
            </w:pPr>
            <w:r>
              <w:t>Do not conclude</w:t>
            </w:r>
          </w:p>
        </w:tc>
        <w:tc>
          <w:tcPr>
            <w:tcW w:w="7460" w:type="dxa"/>
            <w:vAlign w:val="center"/>
          </w:tcPr>
          <w:p>
            <w:pPr>
              <w:pStyle w:val="TableText"/>
            </w:pPr>
            <w:r>
              <w:t>A 6.49% lower score means 6.49% lower error score, not 6.49% more return, 6.49 percentage points more hit rate, or 6.49% less risk.</w:t>
            </w:r>
          </w:p>
        </w:tc>
      </w:tr>
      <w:tr>
        <w:trPr>
          <w:cantSplit/>
        </w:trPr>
        <w:tc>
          <w:tcPr>
            <w:tcW w:w="1900" w:type="dxa"/>
            <w:vAlign w:val="center"/>
          </w:tcPr>
          <w:p>
            <w:pPr>
              <w:pStyle w:val="TableText"/>
            </w:pPr>
            <w:r>
              <w:t>Read together with</w:t>
            </w:r>
          </w:p>
        </w:tc>
        <w:tc>
          <w:tcPr>
            <w:tcW w:w="7460" w:type="dxa"/>
            <w:vAlign w:val="center"/>
          </w:tcPr>
          <w:p>
            <w:pPr>
              <w:pStyle w:val="TableText"/>
            </w:pPr>
            <w:r>
              <w:t>Per-horizon normalized pinball and separate ranking and portfolio-risk diagnostics.</w:t>
            </w:r>
          </w:p>
        </w:tc>
      </w:tr>
    </w:tbl>
    <w:p>
      <w:pPr>
        <w:pStyle w:val="11"/>
      </w:pPr>
      <w:r>
        <w:t>3. q50 point forecast: is the middle answer useful?</w:t>
      </w:r>
    </w:p>
    <w:p>
      <w:pPr>
        <w:pStyle w:val="31"/>
      </w:pPr>
      <w:r>
        <w:t>3.1 q50 MAE / average middle-forecast distance</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Looks only at q50 and asks how far the middle alpha forecast is from realized alpha on average.</w:t>
            </w:r>
          </w:p>
        </w:tc>
      </w:tr>
      <w:tr>
        <w:trPr>
          <w:cantSplit/>
        </w:trPr>
        <w:tc>
          <w:tcPr>
            <w:tcW w:w="1900" w:type="dxa"/>
            <w:vAlign w:val="center"/>
          </w:tcPr>
          <w:p>
            <w:pPr>
              <w:pStyle w:val="TableText"/>
            </w:pPr>
            <w:r>
              <w:t>Stock-market example</w:t>
            </w:r>
          </w:p>
        </w:tc>
        <w:tc>
          <w:tcPr>
            <w:tcW w:w="7460" w:type="dxa"/>
            <w:vAlign w:val="center"/>
          </w:tcPr>
          <w:p>
            <w:pPr>
              <w:pStyle w:val="TableText"/>
            </w:pPr>
            <w:r>
              <w:t>Realized y=[0.04,−0.02] and q50=[0.01,−0.03] have absolute errors 0.03 and 0.01, so MAE=(0.03+0.01)/2=0.02.</w:t>
            </w:r>
          </w:p>
        </w:tc>
      </w:tr>
      <w:tr>
        <w:trPr>
          <w:cantSplit/>
        </w:trPr>
        <w:tc>
          <w:tcPr>
            <w:tcW w:w="1900" w:type="dxa"/>
            <w:vAlign w:val="center"/>
          </w:tcPr>
          <w:p>
            <w:pPr>
              <w:pStyle w:val="TableText"/>
            </w:pPr>
            <w:r>
              <w:t>Exact calculation</w:t>
            </w:r>
          </w:p>
        </w:tc>
        <w:tc>
          <w:tcPr>
            <w:tcW w:w="7460" w:type="dxa"/>
            <w:vAlign w:val="center"/>
          </w:tcPr>
          <w:p>
            <w:pPr>
              <w:pStyle w:val="TableText"/>
            </w:pPr>
            <w:r>
              <w:t>median MAEₕ=meanᵢ|yᵢ,ₕ−q̂ᵢ,ₕ(0.5)|. The unit is benchmark-relative log return. exp(MAE)−1 can provide a rough gross-ratio magnitude while MAE itself remains in log units.</w:t>
            </w:r>
          </w:p>
        </w:tc>
      </w:tr>
      <w:tr>
        <w:trPr>
          <w:cantSplit/>
        </w:trPr>
        <w:tc>
          <w:tcPr>
            <w:tcW w:w="1900" w:type="dxa"/>
            <w:vAlign w:val="center"/>
          </w:tcPr>
          <w:p>
            <w:pPr>
              <w:pStyle w:val="TableText"/>
            </w:pPr>
            <w:r>
              <w:t>How to read it</w:t>
            </w:r>
          </w:p>
        </w:tc>
        <w:tc>
          <w:tcPr>
            <w:tcW w:w="7460" w:type="dxa"/>
            <w:vAlign w:val="center"/>
          </w:tcPr>
          <w:p>
            <w:pPr>
              <w:pStyle w:val="TableText"/>
            </w:pPr>
            <w:r>
              <w:t>Lower is better. It preserves raw magnitude and is intuitive, but it says nothing about q10 and q90.</w:t>
            </w:r>
          </w:p>
        </w:tc>
      </w:tr>
      <w:tr>
        <w:trPr>
          <w:cantSplit/>
        </w:trPr>
        <w:tc>
          <w:tcPr>
            <w:tcW w:w="1900" w:type="dxa"/>
            <w:vAlign w:val="center"/>
          </w:tcPr>
          <w:p>
            <w:pPr>
              <w:pStyle w:val="TableText"/>
            </w:pPr>
            <w:r>
              <w:t>Current run</w:t>
            </w:r>
          </w:p>
        </w:tc>
        <w:tc>
          <w:tcPr>
            <w:tcW w:w="7460" w:type="dxa"/>
            <w:vAlign w:val="center"/>
          </w:tcPr>
          <w:p>
            <w:pPr>
              <w:pStyle w:val="TableText"/>
            </w:pPr>
            <w:r>
              <w:t>Day-1 MAE=0.01962, roughly 1.98% gross-ratio magnitude; day 14 is 0.07854, roughly 8.17%.</w:t>
            </w:r>
          </w:p>
        </w:tc>
      </w:tr>
      <w:tr>
        <w:trPr>
          <w:cantSplit/>
        </w:trPr>
        <w:tc>
          <w:tcPr>
            <w:tcW w:w="1900" w:type="dxa"/>
            <w:vAlign w:val="center"/>
          </w:tcPr>
          <w:p>
            <w:pPr>
              <w:pStyle w:val="TableText"/>
            </w:pPr>
            <w:r>
              <w:t>Do not conclude</w:t>
            </w:r>
          </w:p>
        </w:tc>
        <w:tc>
          <w:tcPr>
            <w:tcW w:w="7460" w:type="dxa"/>
            <w:vAlign w:val="center"/>
          </w:tcPr>
          <w:p>
            <w:pPr>
              <w:pStyle w:val="TableText"/>
            </w:pPr>
            <w:r>
              <w:t>MAE is not directional hit rate. Every sign can be correct while magnitudes remain badly wrong.</w:t>
            </w:r>
          </w:p>
        </w:tc>
      </w:tr>
      <w:tr>
        <w:trPr>
          <w:cantSplit/>
        </w:trPr>
        <w:tc>
          <w:tcPr>
            <w:tcW w:w="1900" w:type="dxa"/>
            <w:vAlign w:val="center"/>
          </w:tcPr>
          <w:p>
            <w:pPr>
              <w:pStyle w:val="TableText"/>
            </w:pPr>
            <w:r>
              <w:t>Read together with</w:t>
            </w:r>
          </w:p>
        </w:tc>
        <w:tc>
          <w:tcPr>
            <w:tcW w:w="7460" w:type="dxa"/>
            <w:vAlign w:val="center"/>
          </w:tcPr>
          <w:p>
            <w:pPr>
              <w:pStyle w:val="TableText"/>
            </w:pPr>
            <w:r>
              <w:t>N-MAE for horizon comparison, correlation for co-movement, and direction for signs.</w:t>
            </w:r>
          </w:p>
        </w:tc>
      </w:tr>
    </w:tbl>
    <w:p>
      <w:pPr>
        <w:pStyle w:val="31"/>
      </w:pPr>
      <w:r>
        <w:t>3.2 Normalized q50 MAE / middle error in typical-scale units</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Asks how many robust-scale units the average absolute q50 miss represents for that horizon.</w:t>
            </w:r>
          </w:p>
        </w:tc>
      </w:tr>
      <w:tr>
        <w:trPr>
          <w:cantSplit/>
        </w:trPr>
        <w:tc>
          <w:tcPr>
            <w:tcW w:w="1900" w:type="dxa"/>
            <w:vAlign w:val="center"/>
          </w:tcPr>
          <w:p>
            <w:pPr>
              <w:pStyle w:val="TableText"/>
            </w:pPr>
            <w:r>
              <w:t>Stock-market example</w:t>
            </w:r>
          </w:p>
        </w:tc>
        <w:tc>
          <w:tcPr>
            <w:tcW w:w="7460" w:type="dxa"/>
            <w:vAlign w:val="center"/>
          </w:tcPr>
          <w:p>
            <w:pPr>
              <w:pStyle w:val="TableText"/>
            </w:pPr>
            <w:r>
              <w:t>MAE=0.02 and scale=0.04 give N-MAE=0.50. Another horizon with MAE=0.04 and scale=0.10 has N-MAE=0.40 and is better relative to its own dispersion.</w:t>
            </w:r>
          </w:p>
        </w:tc>
      </w:tr>
      <w:tr>
        <w:trPr>
          <w:cantSplit/>
        </w:trPr>
        <w:tc>
          <w:tcPr>
            <w:tcW w:w="1900" w:type="dxa"/>
            <w:vAlign w:val="center"/>
          </w:tcPr>
          <w:p>
            <w:pPr>
              <w:pStyle w:val="TableText"/>
            </w:pPr>
            <w:r>
              <w:t>Exact calculation</w:t>
            </w:r>
          </w:p>
        </w:tc>
        <w:tc>
          <w:tcPr>
            <w:tcW w:w="7460" w:type="dxa"/>
            <w:vAlign w:val="center"/>
          </w:tcPr>
          <w:p>
            <w:pPr>
              <w:pStyle w:val="TableText"/>
            </w:pPr>
            <w:r>
              <w:t>normalized median MAEₕ=median MAEₕ/sₕ.</w:t>
            </w:r>
          </w:p>
        </w:tc>
      </w:tr>
      <w:tr>
        <w:trPr>
          <w:cantSplit/>
        </w:trPr>
        <w:tc>
          <w:tcPr>
            <w:tcW w:w="1900" w:type="dxa"/>
            <w:vAlign w:val="center"/>
          </w:tcPr>
          <w:p>
            <w:pPr>
              <w:pStyle w:val="TableText"/>
            </w:pPr>
            <w:r>
              <w:t>How to read it</w:t>
            </w:r>
          </w:p>
        </w:tc>
        <w:tc>
          <w:tcPr>
            <w:tcW w:w="7460" w:type="dxa"/>
            <w:vAlign w:val="center"/>
          </w:tcPr>
          <w:p>
            <w:pPr>
              <w:pStyle w:val="TableText"/>
            </w:pPr>
            <w:r>
              <w:t>Lower is better across horizons. A value near 1 means an average q50 absolute miss near one robust scale; it does not mean 100% wrong.</w:t>
            </w:r>
          </w:p>
        </w:tc>
      </w:tr>
      <w:tr>
        <w:trPr>
          <w:cantSplit/>
        </w:trPr>
        <w:tc>
          <w:tcPr>
            <w:tcW w:w="1900" w:type="dxa"/>
            <w:vAlign w:val="center"/>
          </w:tcPr>
          <w:p>
            <w:pPr>
              <w:pStyle w:val="TableText"/>
            </w:pPr>
            <w:r>
              <w:t>Current run</w:t>
            </w:r>
          </w:p>
        </w:tc>
        <w:tc>
          <w:tcPr>
            <w:tcW w:w="7460" w:type="dxa"/>
            <w:vAlign w:val="center"/>
          </w:tcPr>
          <w:p>
            <w:pPr>
              <w:pStyle w:val="TableText"/>
            </w:pPr>
            <w:r>
              <w:t>Day 1 is 1.0508, day 7 0.9085, and day 14 0.8602.</w:t>
            </w:r>
          </w:p>
        </w:tc>
      </w:tr>
      <w:tr>
        <w:trPr>
          <w:cantSplit/>
        </w:trPr>
        <w:tc>
          <w:tcPr>
            <w:tcW w:w="1900" w:type="dxa"/>
            <w:vAlign w:val="center"/>
          </w:tcPr>
          <w:p>
            <w:pPr>
              <w:pStyle w:val="TableText"/>
            </w:pPr>
            <w:r>
              <w:t>Do not conclude</w:t>
            </w:r>
          </w:p>
        </w:tc>
        <w:tc>
          <w:tcPr>
            <w:tcW w:w="7460" w:type="dxa"/>
            <w:vAlign w:val="center"/>
          </w:tcPr>
          <w:p>
            <w:pPr>
              <w:pStyle w:val="TableText"/>
            </w:pPr>
            <w:r>
              <w:t>Do not call it normalized accuracy. It evaluates q50 only and cannot assess interval calibration.</w:t>
            </w:r>
          </w:p>
        </w:tc>
      </w:tr>
      <w:tr>
        <w:trPr>
          <w:cantSplit/>
        </w:trPr>
        <w:tc>
          <w:tcPr>
            <w:tcW w:w="1900" w:type="dxa"/>
            <w:vAlign w:val="center"/>
          </w:tcPr>
          <w:p>
            <w:pPr>
              <w:pStyle w:val="TableText"/>
            </w:pPr>
            <w:r>
              <w:t>Read together with</w:t>
            </w:r>
          </w:p>
        </w:tc>
        <w:tc>
          <w:tcPr>
            <w:tcW w:w="7460" w:type="dxa"/>
            <w:vAlign w:val="center"/>
          </w:tcPr>
          <w:p>
            <w:pPr>
              <w:pStyle w:val="TableText"/>
            </w:pPr>
            <w:r>
              <w:t>Raw q50 MAE and full q10/q50/q90 pinball.</w:t>
            </w:r>
          </w:p>
        </w:tc>
      </w:tr>
    </w:tbl>
    <w:p>
      <w:pPr>
        <w:pStyle w:val="31"/>
      </w:pPr>
      <w:r>
        <w:t>3.3 q50 Pearson correlation / do high forecasts accompany high outcomes?</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When q50 is higher for some samples, does realized alpha also tend to be higher?</w:t>
            </w:r>
          </w:p>
        </w:tc>
      </w:tr>
      <w:tr>
        <w:trPr>
          <w:cantSplit/>
        </w:trPr>
        <w:tc>
          <w:tcPr>
            <w:tcW w:w="1900" w:type="dxa"/>
            <w:vAlign w:val="center"/>
          </w:tcPr>
          <w:p>
            <w:pPr>
              <w:pStyle w:val="TableText"/>
            </w:pPr>
            <w:r>
              <w:t>Stock-market example</w:t>
            </w:r>
          </w:p>
        </w:tc>
        <w:tc>
          <w:tcPr>
            <w:tcW w:w="7460" w:type="dxa"/>
            <w:vAlign w:val="center"/>
          </w:tcPr>
          <w:p>
            <w:pPr>
              <w:pStyle w:val="TableText"/>
            </w:pPr>
            <w:r>
              <w:t>Forecasts [0.10,0.20,0.30] and outcomes [−0.02,0.00,0.02] can have correlation 1 because they move perfectly together, yet magnitude errors are large. Correlation measures co-movement, not calibration.</w:t>
            </w:r>
          </w:p>
        </w:tc>
      </w:tr>
      <w:tr>
        <w:trPr>
          <w:cantSplit/>
        </w:trPr>
        <w:tc>
          <w:tcPr>
            <w:tcW w:w="1900" w:type="dxa"/>
            <w:vAlign w:val="center"/>
          </w:tcPr>
          <w:p>
            <w:pPr>
              <w:pStyle w:val="TableText"/>
            </w:pPr>
            <w:r>
              <w:t>Exact calculation</w:t>
            </w:r>
          </w:p>
        </w:tc>
        <w:tc>
          <w:tcPr>
            <w:tcW w:w="7460" w:type="dxa"/>
            <w:vAlign w:val="center"/>
          </w:tcPr>
          <w:p>
            <w:pPr>
              <w:pStyle w:val="TableText"/>
            </w:pPr>
            <w:r>
              <w:t>corr(y,q50)=Σ[(y−ȳ)(q50−q̄50)]/sqrt(Σ(y−ȳ)²Σ(q50−q̄50)²). The code returns 0 if either sample standard deviation is zero or the result is non-finite.</w:t>
            </w:r>
          </w:p>
        </w:tc>
      </w:tr>
      <w:tr>
        <w:trPr>
          <w:cantSplit/>
        </w:trPr>
        <w:tc>
          <w:tcPr>
            <w:tcW w:w="1900" w:type="dxa"/>
            <w:vAlign w:val="center"/>
          </w:tcPr>
          <w:p>
            <w:pPr>
              <w:pStyle w:val="TableText"/>
            </w:pPr>
            <w:r>
              <w:t>How to read it</w:t>
            </w:r>
          </w:p>
        </w:tc>
        <w:tc>
          <w:tcPr>
            <w:tcW w:w="7460" w:type="dxa"/>
            <w:vAlign w:val="center"/>
          </w:tcPr>
          <w:p>
            <w:pPr>
              <w:pStyle w:val="TableText"/>
            </w:pPr>
            <w:r>
              <w:t>Near +1 is strong positive linear co-movement, zero is no linear relation, and negative is opposite movement. Useful financial alpha correlations can be far below one.</w:t>
            </w:r>
          </w:p>
        </w:tc>
      </w:tr>
      <w:tr>
        <w:trPr>
          <w:cantSplit/>
        </w:trPr>
        <w:tc>
          <w:tcPr>
            <w:tcW w:w="1900" w:type="dxa"/>
            <w:vAlign w:val="center"/>
          </w:tcPr>
          <w:p>
            <w:pPr>
              <w:pStyle w:val="TableText"/>
            </w:pPr>
            <w:r>
              <w:t>Current run</w:t>
            </w:r>
          </w:p>
        </w:tc>
        <w:tc>
          <w:tcPr>
            <w:tcW w:w="7460" w:type="dxa"/>
            <w:vAlign w:val="center"/>
          </w:tcPr>
          <w:p>
            <w:pPr>
              <w:pStyle w:val="TableText"/>
            </w:pPr>
            <w:r>
              <w:t>All 14 horizons are positive, ranging 0.0507–0.1065; day 1 is 0.0507 and day 14 0.1065.</w:t>
            </w:r>
          </w:p>
        </w:tc>
      </w:tr>
      <w:tr>
        <w:trPr>
          <w:cantSplit/>
        </w:trPr>
        <w:tc>
          <w:tcPr>
            <w:tcW w:w="1900" w:type="dxa"/>
            <w:vAlign w:val="center"/>
          </w:tcPr>
          <w:p>
            <w:pPr>
              <w:pStyle w:val="TableText"/>
            </w:pPr>
            <w:r>
              <w:t>Do not conclude</w:t>
            </w:r>
          </w:p>
        </w:tc>
        <w:tc>
          <w:tcPr>
            <w:tcW w:w="7460" w:type="dxa"/>
            <w:vAlign w:val="center"/>
          </w:tcPr>
          <w:p>
            <w:pPr>
              <w:pStyle w:val="TableText"/>
            </w:pPr>
            <w:r>
              <w:t>0.10 is not 10% return, 10% accuracy, or causality. Good correlation may coexist with severe level bias and poor MAE.</w:t>
            </w:r>
          </w:p>
        </w:tc>
      </w:tr>
      <w:tr>
        <w:trPr>
          <w:cantSplit/>
        </w:trPr>
        <w:tc>
          <w:tcPr>
            <w:tcW w:w="1900" w:type="dxa"/>
            <w:vAlign w:val="center"/>
          </w:tcPr>
          <w:p>
            <w:pPr>
              <w:pStyle w:val="TableText"/>
            </w:pPr>
            <w:r>
              <w:t>Read together with</w:t>
            </w:r>
          </w:p>
        </w:tc>
        <w:tc>
          <w:tcPr>
            <w:tcW w:w="7460" w:type="dxa"/>
            <w:vAlign w:val="center"/>
          </w:tcPr>
          <w:p>
            <w:pPr>
              <w:pStyle w:val="TableText"/>
            </w:pPr>
            <w:r>
              <w:t>MAE for magnitude, direction agreement for sign, and RankIC for same-date stock ranking.</w:t>
            </w:r>
          </w:p>
        </w:tc>
      </w:tr>
    </w:tbl>
    <w:p>
      <w:pPr>
        <w:pStyle w:val="31"/>
      </w:pPr>
      <w:r>
        <w:t>3.4 Direction agreement / sign hit rate versus the benchmark</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Ignores magnitude and asks whether q50 and realized y are both positive, both negative, or both exactly zero.</w:t>
            </w:r>
          </w:p>
        </w:tc>
      </w:tr>
      <w:tr>
        <w:trPr>
          <w:cantSplit/>
        </w:trPr>
        <w:tc>
          <w:tcPr>
            <w:tcW w:w="1900" w:type="dxa"/>
            <w:vAlign w:val="center"/>
          </w:tcPr>
          <w:p>
            <w:pPr>
              <w:pStyle w:val="TableText"/>
            </w:pPr>
            <w:r>
              <w:t>Stock-market example</w:t>
            </w:r>
          </w:p>
        </w:tc>
        <w:tc>
          <w:tcPr>
            <w:tcW w:w="7460" w:type="dxa"/>
            <w:vAlign w:val="center"/>
          </w:tcPr>
          <w:p>
            <w:pPr>
              <w:pStyle w:val="TableText"/>
            </w:pPr>
            <w:r>
              <w:t>True signs [+,−,0] and predicted signs [+,+,0] match twice, so direction agreement is 66.7%. A correct +0.1% and correct +10% each count as one match.</w:t>
            </w:r>
          </w:p>
        </w:tc>
      </w:tr>
      <w:tr>
        <w:trPr>
          <w:cantSplit/>
        </w:trPr>
        <w:tc>
          <w:tcPr>
            <w:tcW w:w="1900" w:type="dxa"/>
            <w:vAlign w:val="center"/>
          </w:tcPr>
          <w:p>
            <w:pPr>
              <w:pStyle w:val="TableText"/>
            </w:pPr>
            <w:r>
              <w:t>Exact calculation</w:t>
            </w:r>
          </w:p>
        </w:tc>
        <w:tc>
          <w:tcPr>
            <w:tcW w:w="7460" w:type="dxa"/>
            <w:vAlign w:val="center"/>
          </w:tcPr>
          <w:p>
            <w:pPr>
              <w:pStyle w:val="TableText"/>
            </w:pPr>
            <w:r>
              <w:t>meanᵢ[sign(yᵢ,ₕ)=sign(q50ᵢ,ₕ)] using numpy.sign. Zero matches only when both are exactly zero.</w:t>
            </w:r>
          </w:p>
        </w:tc>
      </w:tr>
      <w:tr>
        <w:trPr>
          <w:cantSplit/>
        </w:trPr>
        <w:tc>
          <w:tcPr>
            <w:tcW w:w="1900" w:type="dxa"/>
            <w:vAlign w:val="center"/>
          </w:tcPr>
          <w:p>
            <w:pPr>
              <w:pStyle w:val="TableText"/>
            </w:pPr>
            <w:r>
              <w:t>How to read it</w:t>
            </w:r>
          </w:p>
        </w:tc>
        <w:tc>
          <w:tcPr>
            <w:tcW w:w="7460" w:type="dxa"/>
            <w:vAlign w:val="center"/>
          </w:tcPr>
          <w:p>
            <w:pPr>
              <w:pStyle w:val="TableText"/>
            </w:pPr>
            <w:r>
              <w:t>Higher is generally better. About 50% is an intuitive binary-sign reference, but positive/negative base rates and exact zeros still matter.</w:t>
            </w:r>
          </w:p>
        </w:tc>
      </w:tr>
      <w:tr>
        <w:trPr>
          <w:cantSplit/>
        </w:trPr>
        <w:tc>
          <w:tcPr>
            <w:tcW w:w="1900" w:type="dxa"/>
            <w:vAlign w:val="center"/>
          </w:tcPr>
          <w:p>
            <w:pPr>
              <w:pStyle w:val="TableText"/>
            </w:pPr>
            <w:r>
              <w:t>Current run</w:t>
            </w:r>
          </w:p>
        </w:tc>
        <w:tc>
          <w:tcPr>
            <w:tcW w:w="7460" w:type="dxa"/>
            <w:vAlign w:val="center"/>
          </w:tcPr>
          <w:p>
            <w:pPr>
              <w:pStyle w:val="TableText"/>
            </w:pPr>
            <w:r>
              <w:t>The range is 49.40%–56.29%; 13 of 14 horizons exceed 50%. Day 1 is 49.40%, while day 12 is highest at 56.29%.</w:t>
            </w:r>
          </w:p>
        </w:tc>
      </w:tr>
      <w:tr>
        <w:trPr>
          <w:cantSplit/>
        </w:trPr>
        <w:tc>
          <w:tcPr>
            <w:tcW w:w="1900" w:type="dxa"/>
            <w:vAlign w:val="center"/>
          </w:tcPr>
          <w:p>
            <w:pPr>
              <w:pStyle w:val="TableText"/>
            </w:pPr>
            <w:r>
              <w:t>Do not conclude</w:t>
            </w:r>
          </w:p>
        </w:tc>
        <w:tc>
          <w:tcPr>
            <w:tcW w:w="7460" w:type="dxa"/>
            <w:vAlign w:val="center"/>
          </w:tcPr>
          <w:p>
            <w:pPr>
              <w:pStyle w:val="TableText"/>
            </w:pPr>
            <w:r>
              <w:t>This is not classifier accuracy: the model has no direction-classification head, class probabilities, or classification loss. It also does not prove ranking or profitability.</w:t>
            </w:r>
          </w:p>
        </w:tc>
      </w:tr>
      <w:tr>
        <w:trPr>
          <w:cantSplit/>
        </w:trPr>
        <w:tc>
          <w:tcPr>
            <w:tcW w:w="1900" w:type="dxa"/>
            <w:vAlign w:val="center"/>
          </w:tcPr>
          <w:p>
            <w:pPr>
              <w:pStyle w:val="TableText"/>
            </w:pPr>
            <w:r>
              <w:t>Read together with</w:t>
            </w:r>
          </w:p>
        </w:tc>
        <w:tc>
          <w:tcPr>
            <w:tcW w:w="7460" w:type="dxa"/>
            <w:vAlign w:val="center"/>
          </w:tcPr>
          <w:p>
            <w:pPr>
              <w:pStyle w:val="TableText"/>
            </w:pPr>
            <w:r>
              <w:t>Correlation, RankIC, and the realized sign base rate.</w:t>
            </w:r>
          </w:p>
        </w:tc>
      </w:tr>
    </w:tbl>
    <w:p>
      <w:pPr>
        <w:pStyle w:val="11"/>
      </w:pPr>
      <w:r>
        <w:t>4. q10–q90 interval: does uncertainty tell the truth?</w:t>
      </w:r>
    </w:p>
    <w:p>
      <w:pPr>
        <w:pStyle w:val="31"/>
      </w:pPr>
      <w:r>
        <w:t>4.1 Interval coverage / how often reality falls between q10 and q90</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Treat q10 through q90 as the model's central 80% interval and check the long-run share of realized alpha values that actually land inside.</w:t>
            </w:r>
          </w:p>
        </w:tc>
      </w:tr>
      <w:tr>
        <w:trPr>
          <w:cantSplit/>
        </w:trPr>
        <w:tc>
          <w:tcPr>
            <w:tcW w:w="1900" w:type="dxa"/>
            <w:vAlign w:val="center"/>
          </w:tcPr>
          <w:p>
            <w:pPr>
              <w:pStyle w:val="TableText"/>
            </w:pPr>
            <w:r>
              <w:t>Stock-market example</w:t>
            </w:r>
          </w:p>
        </w:tc>
        <w:tc>
          <w:tcPr>
            <w:tcW w:w="7460" w:type="dxa"/>
            <w:vAlign w:val="center"/>
          </w:tcPr>
          <w:p>
            <w:pPr>
              <w:pStyle w:val="TableText"/>
            </w:pPr>
            <w:r>
              <w:t>If 76 of 100 stock outcomes fall inside their own intervals, coverage is 76%, four percentage points below nominal 80%. The interval may be too narrow or its tails misplaced.</w:t>
            </w:r>
          </w:p>
        </w:tc>
      </w:tr>
      <w:tr>
        <w:trPr>
          <w:cantSplit/>
        </w:trPr>
        <w:tc>
          <w:tcPr>
            <w:tcW w:w="1900" w:type="dxa"/>
            <w:vAlign w:val="center"/>
          </w:tcPr>
          <w:p>
            <w:pPr>
              <w:pStyle w:val="TableText"/>
            </w:pPr>
            <w:r>
              <w:t>Exact calculation</w:t>
            </w:r>
          </w:p>
        </w:tc>
        <w:tc>
          <w:tcPr>
            <w:tcW w:w="7460" w:type="dxa"/>
            <w:vAlign w:val="center"/>
          </w:tcPr>
          <w:p>
            <w:pPr>
              <w:pStyle w:val="TableText"/>
            </w:pPr>
            <w:r>
              <w:t>coverageₕ=meanᵢ[q10ᵢ,ₕ≤yᵢ,ₕ≤q90ᵢ,ₕ], including equality. Nominal coverage=0.9−0.1=0.8.</w:t>
            </w:r>
          </w:p>
        </w:tc>
      </w:tr>
      <w:tr>
        <w:trPr>
          <w:cantSplit/>
        </w:trPr>
        <w:tc>
          <w:tcPr>
            <w:tcW w:w="1900" w:type="dxa"/>
            <w:vAlign w:val="center"/>
          </w:tcPr>
          <w:p>
            <w:pPr>
              <w:pStyle w:val="TableText"/>
            </w:pPr>
            <w:r>
              <w:t>How to read it</w:t>
            </w:r>
          </w:p>
        </w:tc>
        <w:tc>
          <w:tcPr>
            <w:tcW w:w="7460" w:type="dxa"/>
            <w:vAlign w:val="center"/>
          </w:tcPr>
          <w:p>
            <w:pPr>
              <w:pStyle w:val="TableText"/>
            </w:pPr>
            <w:r>
              <w:t>Near 80% is desirable. Much lower often means undercoverage; much higher may indicate excessive width. Higher is not automatically better.</w:t>
            </w:r>
          </w:p>
        </w:tc>
      </w:tr>
      <w:tr>
        <w:trPr>
          <w:cantSplit/>
        </w:trPr>
        <w:tc>
          <w:tcPr>
            <w:tcW w:w="1900" w:type="dxa"/>
            <w:vAlign w:val="center"/>
          </w:tcPr>
          <w:p>
            <w:pPr>
              <w:pStyle w:val="TableText"/>
            </w:pPr>
            <w:r>
              <w:t>Current run</w:t>
            </w:r>
          </w:p>
        </w:tc>
        <w:tc>
          <w:tcPr>
            <w:tcW w:w="7460" w:type="dxa"/>
            <w:vAlign w:val="center"/>
          </w:tcPr>
          <w:p>
            <w:pPr>
              <w:pStyle w:val="TableText"/>
            </w:pPr>
            <w:r>
              <w:t>Days 1–14 range from 76.05% to 83.59%. Day 1 is 83.59%, day 14 76.81%, and day 13 is lowest at 76.05%.</w:t>
            </w:r>
          </w:p>
        </w:tc>
      </w:tr>
      <w:tr>
        <w:trPr>
          <w:cantSplit/>
        </w:trPr>
        <w:tc>
          <w:tcPr>
            <w:tcW w:w="1900" w:type="dxa"/>
            <w:vAlign w:val="center"/>
          </w:tcPr>
          <w:p>
            <w:pPr>
              <w:pStyle w:val="TableText"/>
            </w:pPr>
            <w:r>
              <w:t>Do not conclude</w:t>
            </w:r>
          </w:p>
        </w:tc>
        <w:tc>
          <w:tcPr>
            <w:tcW w:w="7460" w:type="dxa"/>
            <w:vAlign w:val="center"/>
          </w:tcPr>
          <w:p>
            <w:pPr>
              <w:pStyle w:val="TableText"/>
            </w:pPr>
            <w:r>
              <w:t>Coverage of 100% is not proof of precision. A nearly unbounded interval could cover everything while conveying little information.</w:t>
            </w:r>
          </w:p>
        </w:tc>
      </w:tr>
      <w:tr>
        <w:trPr>
          <w:cantSplit/>
        </w:trPr>
        <w:tc>
          <w:tcPr>
            <w:tcW w:w="1900" w:type="dxa"/>
            <w:vAlign w:val="center"/>
          </w:tcPr>
          <w:p>
            <w:pPr>
              <w:pStyle w:val="TableText"/>
            </w:pPr>
            <w:r>
              <w:t>Read together with</w:t>
            </w:r>
          </w:p>
        </w:tc>
        <w:tc>
          <w:tcPr>
            <w:tcW w:w="7460" w:type="dxa"/>
            <w:vAlign w:val="center"/>
          </w:tcPr>
          <w:p>
            <w:pPr>
              <w:pStyle w:val="TableText"/>
            </w:pPr>
            <w:r>
              <w:t>Interval width and coverage error.</w:t>
            </w:r>
          </w:p>
        </w:tc>
      </w:tr>
    </w:tbl>
    <w:p>
      <w:pPr>
        <w:pStyle w:val="31"/>
      </w:pPr>
      <w:r>
        <w:t>4.2 Interval width / distance from pessimistic to optimistic</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q90−q10 measures how broad the model's outcome range is. Wider means more separation between its downside and upside cases.</w:t>
            </w:r>
          </w:p>
        </w:tc>
      </w:tr>
      <w:tr>
        <w:trPr>
          <w:cantSplit/>
        </w:trPr>
        <w:tc>
          <w:tcPr>
            <w:tcW w:w="1900" w:type="dxa"/>
            <w:vAlign w:val="center"/>
          </w:tcPr>
          <w:p>
            <w:pPr>
              <w:pStyle w:val="TableText"/>
            </w:pPr>
            <w:r>
              <w:t>Stock-market example</w:t>
            </w:r>
          </w:p>
        </w:tc>
        <w:tc>
          <w:tcPr>
            <w:tcW w:w="7460" w:type="dxa"/>
            <w:vAlign w:val="center"/>
          </w:tcPr>
          <w:p>
            <w:pPr>
              <w:pStyle w:val="TableText"/>
            </w:pPr>
            <w:r>
              <w:t>q10=−0.05 and q90=+0.15 give width=0.20. On a gross-ratio scale the endpoints are about −4.88% and +16.18%. Width is not the same as saying volatility is 20%.</w:t>
            </w:r>
          </w:p>
        </w:tc>
      </w:tr>
      <w:tr>
        <w:trPr>
          <w:cantSplit/>
        </w:trPr>
        <w:tc>
          <w:tcPr>
            <w:tcW w:w="1900" w:type="dxa"/>
            <w:vAlign w:val="center"/>
          </w:tcPr>
          <w:p>
            <w:pPr>
              <w:pStyle w:val="TableText"/>
            </w:pPr>
            <w:r>
              <w:t>Exact calculation</w:t>
            </w:r>
          </w:p>
        </w:tc>
        <w:tc>
          <w:tcPr>
            <w:tcW w:w="7460" w:type="dxa"/>
            <w:vAlign w:val="center"/>
          </w:tcPr>
          <w:p>
            <w:pPr>
              <w:pStyle w:val="TableText"/>
            </w:pPr>
            <w:r>
              <w:t>widthₕ=meanᵢ(q90ᵢ,ₕ−q10ᵢ,ₕ). The head enforces q90≥q10, so negative width should not occur.</w:t>
            </w:r>
          </w:p>
        </w:tc>
      </w:tr>
      <w:tr>
        <w:trPr>
          <w:cantSplit/>
        </w:trPr>
        <w:tc>
          <w:tcPr>
            <w:tcW w:w="1900" w:type="dxa"/>
            <w:vAlign w:val="center"/>
          </w:tcPr>
          <w:p>
            <w:pPr>
              <w:pStyle w:val="TableText"/>
            </w:pPr>
            <w:r>
              <w:t>How to read it</w:t>
            </w:r>
          </w:p>
        </w:tc>
        <w:tc>
          <w:tcPr>
            <w:tcW w:w="7460" w:type="dxa"/>
            <w:vAlign w:val="center"/>
          </w:tcPr>
          <w:p>
            <w:pPr>
              <w:pStyle w:val="TableText"/>
            </w:pPr>
            <w:r>
              <w:t>For comparable coverage, narrower generally means more concentrated information. Narrower is not better when it excludes many outcomes. Longer horizons naturally have larger raw widths.</w:t>
            </w:r>
          </w:p>
        </w:tc>
      </w:tr>
      <w:tr>
        <w:trPr>
          <w:cantSplit/>
        </w:trPr>
        <w:tc>
          <w:tcPr>
            <w:tcW w:w="1900" w:type="dxa"/>
            <w:vAlign w:val="center"/>
          </w:tcPr>
          <w:p>
            <w:pPr>
              <w:pStyle w:val="TableText"/>
            </w:pPr>
            <w:r>
              <w:t>Current run</w:t>
            </w:r>
          </w:p>
        </w:tc>
        <w:tc>
          <w:tcPr>
            <w:tcW w:w="7460" w:type="dxa"/>
            <w:vAlign w:val="center"/>
          </w:tcPr>
          <w:p>
            <w:pPr>
              <w:pStyle w:val="TableText"/>
            </w:pPr>
            <w:r>
              <w:t>Mean width rises from 0.0604 at day 1 to 0.2224 at day 14, while scale also rises from 0.0187 to 0.0913.</w:t>
            </w:r>
          </w:p>
        </w:tc>
      </w:tr>
      <w:tr>
        <w:trPr>
          <w:cantSplit/>
        </w:trPr>
        <w:tc>
          <w:tcPr>
            <w:tcW w:w="1900" w:type="dxa"/>
            <w:vAlign w:val="center"/>
          </w:tcPr>
          <w:p>
            <w:pPr>
              <w:pStyle w:val="TableText"/>
            </w:pPr>
            <w:r>
              <w:t>Do not conclude</w:t>
            </w:r>
          </w:p>
        </w:tc>
        <w:tc>
          <w:tcPr>
            <w:tcW w:w="7460" w:type="dxa"/>
            <w:vAlign w:val="center"/>
          </w:tcPr>
          <w:p>
            <w:pPr>
              <w:pStyle w:val="TableText"/>
            </w:pPr>
            <w:r>
              <w:t>Do not optimize width alone or call day 14 worse solely because its raw interval is wider. Compare coverage and scale first.</w:t>
            </w:r>
          </w:p>
        </w:tc>
      </w:tr>
      <w:tr>
        <w:trPr>
          <w:cantSplit/>
        </w:trPr>
        <w:tc>
          <w:tcPr>
            <w:tcW w:w="1900" w:type="dxa"/>
            <w:vAlign w:val="center"/>
          </w:tcPr>
          <w:p>
            <w:pPr>
              <w:pStyle w:val="TableText"/>
            </w:pPr>
            <w:r>
              <w:t>Read together with</w:t>
            </w:r>
          </w:p>
        </w:tc>
        <w:tc>
          <w:tcPr>
            <w:tcW w:w="7460" w:type="dxa"/>
            <w:vAlign w:val="center"/>
          </w:tcPr>
          <w:p>
            <w:pPr>
              <w:pStyle w:val="TableText"/>
            </w:pPr>
            <w:r>
              <w:t>Coverage, robust scale, and the q10/q90 pinball components.</w:t>
            </w:r>
          </w:p>
        </w:tc>
      </w:tr>
    </w:tbl>
    <w:p>
      <w:pPr>
        <w:pStyle w:val="31"/>
      </w:pPr>
      <w:r>
        <w:t>4.3 Coverage error / distance from nominal 80%</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Compares observed coverage with 80% and asks how far the interval is from its intended frequency.</w:t>
            </w:r>
          </w:p>
        </w:tc>
      </w:tr>
      <w:tr>
        <w:trPr>
          <w:cantSplit/>
        </w:trPr>
        <w:tc>
          <w:tcPr>
            <w:tcW w:w="1900" w:type="dxa"/>
            <w:vAlign w:val="center"/>
          </w:tcPr>
          <w:p>
            <w:pPr>
              <w:pStyle w:val="TableText"/>
            </w:pPr>
            <w:r>
              <w:t>Stock-market example</w:t>
            </w:r>
          </w:p>
        </w:tc>
        <w:tc>
          <w:tcPr>
            <w:tcW w:w="7460" w:type="dxa"/>
            <w:vAlign w:val="center"/>
          </w:tcPr>
          <w:p>
            <w:pPr>
              <w:pStyle w:val="TableText"/>
            </w:pPr>
            <w:r>
              <w:t>Coverage 76% has error |76%−80%|=4 percentage points. Coverage 84% has the same error, although one undercovers and the other may be too wide, so direction must be retained.</w:t>
            </w:r>
          </w:p>
        </w:tc>
      </w:tr>
      <w:tr>
        <w:trPr>
          <w:cantSplit/>
        </w:trPr>
        <w:tc>
          <w:tcPr>
            <w:tcW w:w="1900" w:type="dxa"/>
            <w:vAlign w:val="center"/>
          </w:tcPr>
          <w:p>
            <w:pPr>
              <w:pStyle w:val="TableText"/>
            </w:pPr>
            <w:r>
              <w:t>Exact calculation</w:t>
            </w:r>
          </w:p>
        </w:tc>
        <w:tc>
          <w:tcPr>
            <w:tcW w:w="7460" w:type="dxa"/>
            <w:vAlign w:val="center"/>
          </w:tcPr>
          <w:p>
            <w:pPr>
              <w:pStyle w:val="TableText"/>
            </w:pPr>
            <w:r>
              <w:t>coverage errorₕ=|coverageₕ−0.80|. Aggregate coverage error averages the 14 absolute per-horizon errors; it is not |mean coverage−0.80|.</w:t>
            </w:r>
          </w:p>
        </w:tc>
      </w:tr>
      <w:tr>
        <w:trPr>
          <w:cantSplit/>
        </w:trPr>
        <w:tc>
          <w:tcPr>
            <w:tcW w:w="1900" w:type="dxa"/>
            <w:vAlign w:val="center"/>
          </w:tcPr>
          <w:p>
            <w:pPr>
              <w:pStyle w:val="TableText"/>
            </w:pPr>
            <w:r>
              <w:t>How to read it</w:t>
            </w:r>
          </w:p>
        </w:tc>
        <w:tc>
          <w:tcPr>
            <w:tcW w:w="7460" w:type="dxa"/>
            <w:vAlign w:val="center"/>
          </w:tcPr>
          <w:p>
            <w:pPr>
              <w:pStyle w:val="TableText"/>
            </w:pPr>
            <w:r>
              <w:t>Closer to zero is better. Read raw coverage to know whether the deviation is below or above 80%.</w:t>
            </w:r>
          </w:p>
        </w:tc>
      </w:tr>
      <w:tr>
        <w:trPr>
          <w:cantSplit/>
        </w:trPr>
        <w:tc>
          <w:tcPr>
            <w:tcW w:w="1900" w:type="dxa"/>
            <w:vAlign w:val="center"/>
          </w:tcPr>
          <w:p>
            <w:pPr>
              <w:pStyle w:val="TableText"/>
            </w:pPr>
            <w:r>
              <w:t>Current run</w:t>
            </w:r>
          </w:p>
        </w:tc>
        <w:tc>
          <w:tcPr>
            <w:tcW w:w="7460" w:type="dxa"/>
            <w:vAlign w:val="center"/>
          </w:tcPr>
          <w:p>
            <w:pPr>
              <w:pStyle w:val="TableText"/>
            </w:pPr>
            <w:r>
              <w:t>Day-1 error is 3.59 pp, day 7 1.57 pp, and day 14 3.19 pp. The 14-horizon mean is 2.15 pp.</w:t>
            </w:r>
          </w:p>
        </w:tc>
      </w:tr>
      <w:tr>
        <w:trPr>
          <w:cantSplit/>
        </w:trPr>
        <w:tc>
          <w:tcPr>
            <w:tcW w:w="1900" w:type="dxa"/>
            <w:vAlign w:val="center"/>
          </w:tcPr>
          <w:p>
            <w:pPr>
              <w:pStyle w:val="TableText"/>
            </w:pPr>
            <w:r>
              <w:t>Do not conclude</w:t>
            </w:r>
          </w:p>
        </w:tc>
        <w:tc>
          <w:tcPr>
            <w:tcW w:w="7460" w:type="dxa"/>
            <w:vAlign w:val="center"/>
          </w:tcPr>
          <w:p>
            <w:pPr>
              <w:pStyle w:val="TableText"/>
            </w:pPr>
            <w:r>
              <w:t>A small coverage error says nothing about interval width, tail quality for a particular stock, or return.</w:t>
            </w:r>
          </w:p>
        </w:tc>
      </w:tr>
      <w:tr>
        <w:trPr>
          <w:cantSplit/>
        </w:trPr>
        <w:tc>
          <w:tcPr>
            <w:tcW w:w="1900" w:type="dxa"/>
            <w:vAlign w:val="center"/>
          </w:tcPr>
          <w:p>
            <w:pPr>
              <w:pStyle w:val="TableText"/>
            </w:pPr>
            <w:r>
              <w:t>Read together with</w:t>
            </w:r>
          </w:p>
        </w:tc>
        <w:tc>
          <w:tcPr>
            <w:tcW w:w="7460" w:type="dxa"/>
            <w:vAlign w:val="center"/>
          </w:tcPr>
          <w:p>
            <w:pPr>
              <w:pStyle w:val="TableText"/>
            </w:pPr>
            <w:r>
              <w:t>Coverage direction and interval width.</w:t>
            </w:r>
          </w:p>
        </w:tc>
      </w:tr>
    </w:tbl>
    <w:p>
      <w:pPr>
        <w:pStyle w:val="11"/>
      </w:pPr>
      <w:r>
        <w:t>5. Same-date stock ranking and simplified portfolios</w:t>
      </w:r>
    </w:p>
    <w:p>
      <w:pPr>
        <w:pStyle w:val="31"/>
      </w:pPr>
      <w:r>
        <w:t>5.1 evaluated_dates / dates eligible for cross-sectional analysis</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Not every date can support stock selection. A date needs at least three valid stocks and non-constant q50 values before stronger and weaker names can be compared. evaluated_dates counts those dates.</w:t>
            </w:r>
          </w:p>
        </w:tc>
      </w:tr>
      <w:tr>
        <w:trPr>
          <w:cantSplit/>
        </w:trPr>
        <w:tc>
          <w:tcPr>
            <w:tcW w:w="1900" w:type="dxa"/>
            <w:vAlign w:val="center"/>
          </w:tcPr>
          <w:p>
            <w:pPr>
              <w:pStyle w:val="TableText"/>
            </w:pPr>
            <w:r>
              <w:t>Stock-market example</w:t>
            </w:r>
          </w:p>
        </w:tc>
        <w:tc>
          <w:tcPr>
            <w:tcW w:w="7460" w:type="dxa"/>
            <w:vAlign w:val="center"/>
          </w:tcPr>
          <w:p>
            <w:pPr>
              <w:pStyle w:val="TableText"/>
            </w:pPr>
            <w:r>
              <w:t>A date with only two stocks, or ten stocks whose q50 values are all zero, is skipped. A date with 100 valid stocks and varying q50 counts as one evaluated date.</w:t>
            </w:r>
          </w:p>
        </w:tc>
      </w:tr>
      <w:tr>
        <w:trPr>
          <w:cantSplit/>
        </w:trPr>
        <w:tc>
          <w:tcPr>
            <w:tcW w:w="1900" w:type="dxa"/>
            <w:vAlign w:val="center"/>
          </w:tcPr>
          <w:p>
            <w:pPr>
              <w:pStyle w:val="TableText"/>
            </w:pPr>
            <w:r>
              <w:t>Exact calculation</w:t>
            </w:r>
          </w:p>
        </w:tc>
        <w:tc>
          <w:tcPr>
            <w:tcW w:w="7460" w:type="dxa"/>
            <w:vAlign w:val="center"/>
          </w:tcPr>
          <w:p>
            <w:pPr>
              <w:pStyle w:val="TableText"/>
            </w:pPr>
            <w:r>
              <w:t>Group by cutoff date; require at least three rows, then at least three after finite target/signal filtering, and require ptp(signal)&gt;0. Eligible dates produce long/short returns. A non-finite RankIC is separately omitted from the IC array.</w:t>
            </w:r>
          </w:p>
        </w:tc>
      </w:tr>
      <w:tr>
        <w:trPr>
          <w:cantSplit/>
        </w:trPr>
        <w:tc>
          <w:tcPr>
            <w:tcW w:w="1900" w:type="dxa"/>
            <w:vAlign w:val="center"/>
          </w:tcPr>
          <w:p>
            <w:pPr>
              <w:pStyle w:val="TableText"/>
            </w:pPr>
            <w:r>
              <w:t>How to read it</w:t>
            </w:r>
          </w:p>
        </w:tc>
        <w:tc>
          <w:tcPr>
            <w:tcW w:w="7460" w:type="dxa"/>
            <w:vAlign w:val="center"/>
          </w:tcPr>
          <w:p>
            <w:pPr>
              <w:pStyle w:val="TableText"/>
            </w:pPr>
            <w:r>
              <w:t>More dates mean broader coverage, not necessarily greater accuracy. This is a sample-sufficiency and calculation-boundary field.</w:t>
            </w:r>
          </w:p>
        </w:tc>
      </w:tr>
      <w:tr>
        <w:trPr>
          <w:cantSplit/>
        </w:trPr>
        <w:tc>
          <w:tcPr>
            <w:tcW w:w="1900" w:type="dxa"/>
            <w:vAlign w:val="center"/>
          </w:tcPr>
          <w:p>
            <w:pPr>
              <w:pStyle w:val="TableText"/>
            </w:pPr>
            <w:r>
              <w:t>Current run</w:t>
            </w:r>
          </w:p>
        </w:tc>
        <w:tc>
          <w:tcPr>
            <w:tcW w:w="7460" w:type="dxa"/>
            <w:vAlign w:val="center"/>
          </w:tcPr>
          <w:p>
            <w:pPr>
              <w:pStyle w:val="TableText"/>
            </w:pPr>
            <w:r>
              <w:t>Across horizons, evaluated_dates range from 155 to 155; day 5 has 155.</w:t>
            </w:r>
          </w:p>
        </w:tc>
      </w:tr>
      <w:tr>
        <w:trPr>
          <w:cantSplit/>
        </w:trPr>
        <w:tc>
          <w:tcPr>
            <w:tcW w:w="1900" w:type="dxa"/>
            <w:vAlign w:val="center"/>
          </w:tcPr>
          <w:p>
            <w:pPr>
              <w:pStyle w:val="TableText"/>
            </w:pPr>
            <w:r>
              <w:t>Do not conclude</w:t>
            </w:r>
          </w:p>
        </w:tc>
        <w:tc>
          <w:tcPr>
            <w:tcW w:w="7460" w:type="dxa"/>
            <w:vAlign w:val="center"/>
          </w:tcPr>
          <w:p>
            <w:pPr>
              <w:pStyle w:val="TableText"/>
            </w:pPr>
            <w:r>
              <w:t>155 dates are not 155 stocks or 155 validation rows. The validation split contains 20,000 samples.</w:t>
            </w:r>
          </w:p>
        </w:tc>
      </w:tr>
      <w:tr>
        <w:trPr>
          <w:cantSplit/>
        </w:trPr>
        <w:tc>
          <w:tcPr>
            <w:tcW w:w="1900" w:type="dxa"/>
            <w:vAlign w:val="center"/>
          </w:tcPr>
          <w:p>
            <w:pPr>
              <w:pStyle w:val="TableText"/>
            </w:pPr>
            <w:r>
              <w:t>Read together with</w:t>
            </w:r>
          </w:p>
        </w:tc>
        <w:tc>
          <w:tcPr>
            <w:tcW w:w="7460" w:type="dxa"/>
            <w:vAlign w:val="center"/>
          </w:tcPr>
          <w:p>
            <w:pPr>
              <w:pStyle w:val="TableText"/>
            </w:pPr>
            <w:r>
              <w:t>RankIC/ICIR date statistics and the number of instruments per date.</w:t>
            </w:r>
          </w:p>
        </w:tc>
      </w:tr>
    </w:tbl>
    <w:p>
      <w:pPr>
        <w:pStyle w:val="31"/>
      </w:pPr>
      <w:r>
        <w:t>5.2 RankIC / does the model place relatively strong stocks near the top?</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Ignores q50 magnitude and asks whether stocks predicted stronger on the same date actually realize stronger alpha. It is the closest report metric to the question 'can the model rank stocks?'.</w:t>
            </w:r>
          </w:p>
        </w:tc>
      </w:tr>
      <w:tr>
        <w:trPr>
          <w:cantSplit/>
        </w:trPr>
        <w:tc>
          <w:tcPr>
            <w:tcW w:w="1900" w:type="dxa"/>
            <w:vAlign w:val="center"/>
          </w:tcPr>
          <w:p>
            <w:pPr>
              <w:pStyle w:val="TableText"/>
            </w:pPr>
            <w:r>
              <w:t>Stock-market example</w:t>
            </w:r>
          </w:p>
        </w:tc>
        <w:tc>
          <w:tcPr>
            <w:tcW w:w="7460" w:type="dxa"/>
            <w:vAlign w:val="center"/>
          </w:tcPr>
          <w:p>
            <w:pPr>
              <w:pStyle w:val="TableText"/>
            </w:pPr>
            <w:r>
              <w:t>Predicted weakest-to-strongest order is E,D,C,B,A; realized order is D,E,B,C,A. A remains strongest and only middle names swap. Correlation between the two ordinal-rank vectors is 0.80.</w:t>
            </w:r>
          </w:p>
        </w:tc>
      </w:tr>
      <w:tr>
        <w:trPr>
          <w:cantSplit/>
        </w:trPr>
        <w:tc>
          <w:tcPr>
            <w:tcW w:w="1900" w:type="dxa"/>
            <w:vAlign w:val="center"/>
          </w:tcPr>
          <w:p>
            <w:pPr>
              <w:pStyle w:val="TableText"/>
            </w:pPr>
            <w:r>
              <w:t>Exact calculation</w:t>
            </w:r>
          </w:p>
        </w:tc>
        <w:tc>
          <w:tcPr>
            <w:tcW w:w="7460" w:type="dxa"/>
            <w:vAlign w:val="center"/>
          </w:tcPr>
          <w:p>
            <w:pPr>
              <w:pStyle w:val="TableText"/>
            </w:pPr>
            <w:r>
              <w:t>Within each date, stable argsort is applied twice to y and q50 to create ordinal ranks; Pearson correlation of those rank arrays is computed, then averaged over valid dates. Ties receive deterministic distinct ranks by input order rather than average ranks.</w:t>
            </w:r>
          </w:p>
        </w:tc>
      </w:tr>
      <w:tr>
        <w:trPr>
          <w:cantSplit/>
        </w:trPr>
        <w:tc>
          <w:tcPr>
            <w:tcW w:w="1900" w:type="dxa"/>
            <w:vAlign w:val="center"/>
          </w:tcPr>
          <w:p>
            <w:pPr>
              <w:pStyle w:val="TableText"/>
            </w:pPr>
            <w:r>
              <w:t>How to read it</w:t>
            </w:r>
          </w:p>
        </w:tc>
        <w:tc>
          <w:tcPr>
            <w:tcW w:w="7460" w:type="dxa"/>
            <w:vAlign w:val="center"/>
          </w:tcPr>
          <w:p>
            <w:pPr>
              <w:pStyle w:val="TableText"/>
            </w:pPr>
            <w:r>
              <w:t>+1 is identical order, zero no rank relationship, and −1 reversed order. Higher is better, but a modest positive value still needs stability and after-cost confirmation.</w:t>
            </w:r>
          </w:p>
        </w:tc>
      </w:tr>
      <w:tr>
        <w:trPr>
          <w:cantSplit/>
        </w:trPr>
        <w:tc>
          <w:tcPr>
            <w:tcW w:w="1900" w:type="dxa"/>
            <w:vAlign w:val="center"/>
          </w:tcPr>
          <w:p>
            <w:pPr>
              <w:pStyle w:val="TableText"/>
            </w:pPr>
            <w:r>
              <w:t>Current run</w:t>
            </w:r>
          </w:p>
        </w:tc>
        <w:tc>
          <w:tcPr>
            <w:tcW w:w="7460" w:type="dxa"/>
            <w:vAlign w:val="center"/>
          </w:tcPr>
          <w:p>
            <w:pPr>
              <w:pStyle w:val="TableText"/>
            </w:pPr>
            <w:r>
              <w:t>All 14 horizons are positive, ranging 0.0464–0.0759. Kronos ranks first on days 1–9, second on days 10–11, and third on days 12–14.</w:t>
            </w:r>
          </w:p>
        </w:tc>
      </w:tr>
      <w:tr>
        <w:trPr>
          <w:cantSplit/>
        </w:trPr>
        <w:tc>
          <w:tcPr>
            <w:tcW w:w="1900" w:type="dxa"/>
            <w:vAlign w:val="center"/>
          </w:tcPr>
          <w:p>
            <w:pPr>
              <w:pStyle w:val="TableText"/>
            </w:pPr>
            <w:r>
              <w:t>Do not conclude</w:t>
            </w:r>
          </w:p>
        </w:tc>
        <w:tc>
          <w:tcPr>
            <w:tcW w:w="7460" w:type="dxa"/>
            <w:vAlign w:val="center"/>
          </w:tcPr>
          <w:p>
            <w:pPr>
              <w:pStyle w:val="TableText"/>
            </w:pPr>
            <w:r>
              <w:t>RankIC 0.0759 is not 7.59% return and says nothing about q50 magnitude calibration. Good ranks can be consumed by turnover, cost, or drawdown.</w:t>
            </w:r>
          </w:p>
        </w:tc>
      </w:tr>
      <w:tr>
        <w:trPr>
          <w:cantSplit/>
        </w:trPr>
        <w:tc>
          <w:tcPr>
            <w:tcW w:w="1900" w:type="dxa"/>
            <w:vAlign w:val="center"/>
          </w:tcPr>
          <w:p>
            <w:pPr>
              <w:pStyle w:val="TableText"/>
            </w:pPr>
            <w:r>
              <w:t>Read together with</w:t>
            </w:r>
          </w:p>
        </w:tc>
        <w:tc>
          <w:tcPr>
            <w:tcW w:w="7460" w:type="dxa"/>
            <w:vAlign w:val="center"/>
          </w:tcPr>
          <w:p>
            <w:pPr>
              <w:pStyle w:val="TableText"/>
            </w:pPr>
            <w:r>
              <w:t>ICIR, net long/short return, turnover, and MDD.</w:t>
            </w:r>
          </w:p>
        </w:tc>
      </w:tr>
    </w:tbl>
    <w:p>
      <w:pPr>
        <w:pStyle w:val="31"/>
      </w:pPr>
      <w:r>
        <w:t>5.3 ICIR / is RankIC stable from date to date?</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When two models have the same average RankIC, prefer the one that is less erratic. ICIR divides average daily rank signal by its variation across dates.</w:t>
            </w:r>
          </w:p>
        </w:tc>
      </w:tr>
      <w:tr>
        <w:trPr>
          <w:cantSplit/>
        </w:trPr>
        <w:tc>
          <w:tcPr>
            <w:tcW w:w="1900" w:type="dxa"/>
            <w:vAlign w:val="center"/>
          </w:tcPr>
          <w:p>
            <w:pPr>
              <w:pStyle w:val="TableText"/>
            </w:pPr>
            <w:r>
              <w:t>Stock-market example</w:t>
            </w:r>
          </w:p>
        </w:tc>
        <w:tc>
          <w:tcPr>
            <w:tcW w:w="7460" w:type="dxa"/>
            <w:vAlign w:val="center"/>
          </w:tcPr>
          <w:p>
            <w:pPr>
              <w:pStyle w:val="TableText"/>
            </w:pPr>
            <w:r>
              <w:t>Model A has daily IC [0.10,0.10,0.10]. Model B might have [−0.30,0.10,0.50]. Both average about 0.10, but B is much less stable and has lower ICIR. For [0.10,0.00,0.20], mean=0.10 and sample std=0.10, so ICIR=1.0.</w:t>
            </w:r>
          </w:p>
        </w:tc>
      </w:tr>
      <w:tr>
        <w:trPr>
          <w:cantSplit/>
        </w:trPr>
        <w:tc>
          <w:tcPr>
            <w:tcW w:w="1900" w:type="dxa"/>
            <w:vAlign w:val="center"/>
          </w:tcPr>
          <w:p>
            <w:pPr>
              <w:pStyle w:val="TableText"/>
            </w:pPr>
            <w:r>
              <w:t>Exact calculation</w:t>
            </w:r>
          </w:p>
        </w:tc>
        <w:tc>
          <w:tcPr>
            <w:tcW w:w="7460" w:type="dxa"/>
            <w:vAlign w:val="center"/>
          </w:tcPr>
          <w:p>
            <w:pPr>
              <w:pStyle w:val="TableText"/>
            </w:pPr>
            <w:r>
              <w:t>ICIR=mean(IC_d)/sample_std(IC_d), with ddof=1. It returns zero for fewer than two IC observations or zero standard deviation. No annualization factor is applied.</w:t>
            </w:r>
          </w:p>
        </w:tc>
      </w:tr>
      <w:tr>
        <w:trPr>
          <w:cantSplit/>
        </w:trPr>
        <w:tc>
          <w:tcPr>
            <w:tcW w:w="1900" w:type="dxa"/>
            <w:vAlign w:val="center"/>
          </w:tcPr>
          <w:p>
            <w:pPr>
              <w:pStyle w:val="TableText"/>
            </w:pPr>
            <w:r>
              <w:t>How to read it</w:t>
            </w:r>
          </w:p>
        </w:tc>
        <w:tc>
          <w:tcPr>
            <w:tcW w:w="7460" w:type="dxa"/>
            <w:vAlign w:val="center"/>
          </w:tcPr>
          <w:p>
            <w:pPr>
              <w:pStyle w:val="TableText"/>
            </w:pPr>
            <w:r>
              <w:t>For positive mean IC, higher generally means more consistent rank signal. Date count and market regime still matter.</w:t>
            </w:r>
          </w:p>
        </w:tc>
      </w:tr>
      <w:tr>
        <w:trPr>
          <w:cantSplit/>
        </w:trPr>
        <w:tc>
          <w:tcPr>
            <w:tcW w:w="1900" w:type="dxa"/>
            <w:vAlign w:val="center"/>
          </w:tcPr>
          <w:p>
            <w:pPr>
              <w:pStyle w:val="TableText"/>
            </w:pPr>
            <w:r>
              <w:t>Current run</w:t>
            </w:r>
          </w:p>
        </w:tc>
        <w:tc>
          <w:tcPr>
            <w:tcW w:w="7460" w:type="dxa"/>
            <w:vAlign w:val="center"/>
          </w:tcPr>
          <w:p>
            <w:pPr>
              <w:pStyle w:val="TableText"/>
            </w:pPr>
            <w:r>
              <w:t>ICIR is 0.397 at day 1, 0.457 at day 5, and 0.260 at day 14; later horizons are less stable.</w:t>
            </w:r>
          </w:p>
        </w:tc>
      </w:tr>
      <w:tr>
        <w:trPr>
          <w:cantSplit/>
        </w:trPr>
        <w:tc>
          <w:tcPr>
            <w:tcW w:w="1900" w:type="dxa"/>
            <w:vAlign w:val="center"/>
          </w:tcPr>
          <w:p>
            <w:pPr>
              <w:pStyle w:val="TableText"/>
            </w:pPr>
            <w:r>
              <w:t>Do not conclude</w:t>
            </w:r>
          </w:p>
        </w:tc>
        <w:tc>
          <w:tcPr>
            <w:tcW w:w="7460" w:type="dxa"/>
            <w:vAlign w:val="center"/>
          </w:tcPr>
          <w:p>
            <w:pPr>
              <w:pStyle w:val="TableText"/>
            </w:pPr>
            <w:r>
              <w:t>ICIR is not Sharpe. Its numerator is daily rank correlation, not portfolio return.</w:t>
            </w:r>
          </w:p>
        </w:tc>
      </w:tr>
      <w:tr>
        <w:trPr>
          <w:cantSplit/>
        </w:trPr>
        <w:tc>
          <w:tcPr>
            <w:tcW w:w="1900" w:type="dxa"/>
            <w:vAlign w:val="center"/>
          </w:tcPr>
          <w:p>
            <w:pPr>
              <w:pStyle w:val="TableText"/>
            </w:pPr>
            <w:r>
              <w:t>Read together with</w:t>
            </w:r>
          </w:p>
        </w:tc>
        <w:tc>
          <w:tcPr>
            <w:tcW w:w="7460" w:type="dxa"/>
            <w:vAlign w:val="center"/>
          </w:tcPr>
          <w:p>
            <w:pPr>
              <w:pStyle w:val="TableText"/>
            </w:pPr>
            <w:r>
              <w:t>Mean RankIC, evaluated_dates, and year/regime stability.</w:t>
            </w:r>
          </w:p>
        </w:tc>
      </w:tr>
    </w:tbl>
    <w:p>
      <w:pPr>
        <w:pStyle w:val="21"/>
      </w:pPr>
      <w:r>
        <w:t>5.4 Long/short bucket example</w:t>
      </w:r>
    </w:p>
    <w:p>
      <w:pPr>
        <w:pStyle w:val="a"/>
      </w:pPr>
      <w:r>
        <w:t>Stocks are sorted by q50 within each date. bucket=max(1,floor(n/5)); the bottom bucket is short, the top bucket long, and middle stocks are not held. With five stocks, bucket=1, so the example longs A and shorts E.</w:t>
      </w:r>
    </w:p>
    <w:tbl>
      <w:tblPr>
        <w:tblStyle w:val="BenchmarkTable"/>
        <w:tblW w:w="9360" w:type="dxa"/>
        <w:tblLayout w:type="fixed"/>
      </w:tblPr>
      <w:tblGrid>
        <w:gridCol w:w="1500"/>
        <w:gridCol w:w="1800"/>
        <w:gridCol w:w="1800"/>
        <w:gridCol w:w="1900"/>
        <w:gridCol w:w="2360"/>
      </w:tblGrid>
      <w:tr>
        <w:trPr>
          <w:tblHeader/>
        </w:trPr>
        <w:tc>
          <w:tcPr>
            <w:tcW w:w="1500" w:type="dxa"/>
            <w:shd w:val="clear" w:fill="DCE6F1"/>
            <w:vAlign w:val="center"/>
          </w:tcPr>
          <w:p>
            <w:pPr>
              <w:pStyle w:val="TableHeader"/>
            </w:pPr>
            <w:r>
              <w:t>Stock</w:t>
            </w:r>
          </w:p>
        </w:tc>
        <w:tc>
          <w:tcPr>
            <w:tcW w:w="1800" w:type="dxa"/>
            <w:shd w:val="clear" w:fill="DCE6F1"/>
            <w:vAlign w:val="center"/>
          </w:tcPr>
          <w:p>
            <w:pPr>
              <w:pStyle w:val="TableHeader"/>
            </w:pPr>
            <w:r>
              <w:t>Predicted q50</w:t>
            </w:r>
          </w:p>
        </w:tc>
        <w:tc>
          <w:tcPr>
            <w:tcW w:w="1800" w:type="dxa"/>
            <w:shd w:val="clear" w:fill="DCE6F1"/>
            <w:vAlign w:val="center"/>
          </w:tcPr>
          <w:p>
            <w:pPr>
              <w:pStyle w:val="TableHeader"/>
            </w:pPr>
            <w:r>
              <w:t>Realized y</w:t>
            </w:r>
          </w:p>
        </w:tc>
        <w:tc>
          <w:tcPr>
            <w:tcW w:w="1900" w:type="dxa"/>
            <w:shd w:val="clear" w:fill="DCE6F1"/>
            <w:vAlign w:val="center"/>
          </w:tcPr>
          <w:p>
            <w:pPr>
              <w:pStyle w:val="TableHeader"/>
            </w:pPr>
            <w:r>
              <w:t>Forecast rank</w:t>
            </w:r>
          </w:p>
        </w:tc>
        <w:tc>
          <w:tcPr>
            <w:tcW w:w="2360" w:type="dxa"/>
            <w:shd w:val="clear" w:fill="DCE6F1"/>
            <w:vAlign w:val="center"/>
          </w:tcPr>
          <w:p>
            <w:pPr>
              <w:pStyle w:val="TableHeader"/>
            </w:pPr>
            <w:r>
              <w:t>Portfolio role</w:t>
            </w:r>
          </w:p>
        </w:tc>
      </w:tr>
      <w:tr>
        <w:trPr>
          <w:cantSplit/>
        </w:trPr>
        <w:tc>
          <w:tcPr>
            <w:tcW w:w="1500" w:type="dxa"/>
            <w:vAlign w:val="center"/>
          </w:tcPr>
          <w:p>
            <w:pPr>
              <w:pStyle w:val="TableText"/>
            </w:pPr>
            <w:r>
              <w:t>A</w:t>
            </w:r>
          </w:p>
        </w:tc>
        <w:tc>
          <w:tcPr>
            <w:tcW w:w="1800" w:type="dxa"/>
            <w:vAlign w:val="center"/>
          </w:tcPr>
          <w:p>
            <w:pPr>
              <w:pStyle w:val="TableNumber"/>
            </w:pPr>
            <w:r>
              <w:t>+0.08</w:t>
            </w:r>
          </w:p>
        </w:tc>
        <w:tc>
          <w:tcPr>
            <w:tcW w:w="1800" w:type="dxa"/>
            <w:vAlign w:val="center"/>
          </w:tcPr>
          <w:p>
            <w:pPr>
              <w:pStyle w:val="TableNumber"/>
            </w:pPr>
            <w:r>
              <w:t>+0.06</w:t>
            </w:r>
          </w:p>
        </w:tc>
        <w:tc>
          <w:tcPr>
            <w:tcW w:w="1900" w:type="dxa"/>
            <w:vAlign w:val="center"/>
          </w:tcPr>
          <w:p>
            <w:pPr>
              <w:pStyle w:val="TableText"/>
            </w:pPr>
            <w:r>
              <w:t>Strongest</w:t>
            </w:r>
          </w:p>
        </w:tc>
        <w:tc>
          <w:tcPr>
            <w:tcW w:w="2360" w:type="dxa"/>
            <w:vAlign w:val="center"/>
          </w:tcPr>
          <w:p>
            <w:pPr>
              <w:pStyle w:val="TableText"/>
            </w:pPr>
            <w:r>
              <w:t>Long</w:t>
            </w:r>
          </w:p>
        </w:tc>
      </w:tr>
      <w:tr>
        <w:trPr>
          <w:cantSplit/>
        </w:trPr>
        <w:tc>
          <w:tcPr>
            <w:tcW w:w="1500" w:type="dxa"/>
            <w:vAlign w:val="center"/>
          </w:tcPr>
          <w:p>
            <w:pPr>
              <w:pStyle w:val="TableText"/>
            </w:pPr>
            <w:r>
              <w:t>B</w:t>
            </w:r>
          </w:p>
        </w:tc>
        <w:tc>
          <w:tcPr>
            <w:tcW w:w="1800" w:type="dxa"/>
            <w:vAlign w:val="center"/>
          </w:tcPr>
          <w:p>
            <w:pPr>
              <w:pStyle w:val="TableNumber"/>
            </w:pPr>
            <w:r>
              <w:t>+0.04</w:t>
            </w:r>
          </w:p>
        </w:tc>
        <w:tc>
          <w:tcPr>
            <w:tcW w:w="1800" w:type="dxa"/>
            <w:vAlign w:val="center"/>
          </w:tcPr>
          <w:p>
            <w:pPr>
              <w:pStyle w:val="TableNumber"/>
            </w:pPr>
            <w:r>
              <w:t>+0.02</w:t>
            </w:r>
          </w:p>
        </w:tc>
        <w:tc>
          <w:tcPr>
            <w:tcW w:w="1900" w:type="dxa"/>
            <w:vAlign w:val="center"/>
          </w:tcPr>
          <w:p>
            <w:pPr>
              <w:pStyle w:val="TableText"/>
            </w:pPr>
            <w:r>
              <w:t>Second</w:t>
            </w:r>
          </w:p>
        </w:tc>
        <w:tc>
          <w:tcPr>
            <w:tcW w:w="2360" w:type="dxa"/>
            <w:vAlign w:val="center"/>
          </w:tcPr>
          <w:p>
            <w:pPr>
              <w:pStyle w:val="TableText"/>
            </w:pPr>
            <w:r>
              <w:t>None</w:t>
            </w:r>
          </w:p>
        </w:tc>
      </w:tr>
      <w:tr>
        <w:trPr>
          <w:cantSplit/>
        </w:trPr>
        <w:tc>
          <w:tcPr>
            <w:tcW w:w="1500" w:type="dxa"/>
            <w:vAlign w:val="center"/>
          </w:tcPr>
          <w:p>
            <w:pPr>
              <w:pStyle w:val="TableText"/>
            </w:pPr>
            <w:r>
              <w:t>C</w:t>
            </w:r>
          </w:p>
        </w:tc>
        <w:tc>
          <w:tcPr>
            <w:tcW w:w="1800" w:type="dxa"/>
            <w:vAlign w:val="center"/>
          </w:tcPr>
          <w:p>
            <w:pPr>
              <w:pStyle w:val="TableNumber"/>
            </w:pPr>
            <w:r>
              <w:t>+0.03</w:t>
            </w:r>
          </w:p>
        </w:tc>
        <w:tc>
          <w:tcPr>
            <w:tcW w:w="1800" w:type="dxa"/>
            <w:vAlign w:val="center"/>
          </w:tcPr>
          <w:p>
            <w:pPr>
              <w:pStyle w:val="TableNumber"/>
            </w:pPr>
            <w:r>
              <w:t>+0.03</w:t>
            </w:r>
          </w:p>
        </w:tc>
        <w:tc>
          <w:tcPr>
            <w:tcW w:w="1900" w:type="dxa"/>
            <w:vAlign w:val="center"/>
          </w:tcPr>
          <w:p>
            <w:pPr>
              <w:pStyle w:val="TableText"/>
            </w:pPr>
            <w:r>
              <w:t>Third</w:t>
            </w:r>
          </w:p>
        </w:tc>
        <w:tc>
          <w:tcPr>
            <w:tcW w:w="2360" w:type="dxa"/>
            <w:vAlign w:val="center"/>
          </w:tcPr>
          <w:p>
            <w:pPr>
              <w:pStyle w:val="TableText"/>
            </w:pPr>
            <w:r>
              <w:t>None</w:t>
            </w:r>
          </w:p>
        </w:tc>
      </w:tr>
      <w:tr>
        <w:trPr>
          <w:cantSplit/>
        </w:trPr>
        <w:tc>
          <w:tcPr>
            <w:tcW w:w="1500" w:type="dxa"/>
            <w:vAlign w:val="center"/>
          </w:tcPr>
          <w:p>
            <w:pPr>
              <w:pStyle w:val="TableText"/>
            </w:pPr>
            <w:r>
              <w:t>D</w:t>
            </w:r>
          </w:p>
        </w:tc>
        <w:tc>
          <w:tcPr>
            <w:tcW w:w="1800" w:type="dxa"/>
            <w:vAlign w:val="center"/>
          </w:tcPr>
          <w:p>
            <w:pPr>
              <w:pStyle w:val="TableNumber"/>
            </w:pPr>
            <w:r>
              <w:t>−0.02</w:t>
            </w:r>
          </w:p>
        </w:tc>
        <w:tc>
          <w:tcPr>
            <w:tcW w:w="1800" w:type="dxa"/>
            <w:vAlign w:val="center"/>
          </w:tcPr>
          <w:p>
            <w:pPr>
              <w:pStyle w:val="TableNumber"/>
            </w:pPr>
            <w:r>
              <w:t>−0.03</w:t>
            </w:r>
          </w:p>
        </w:tc>
        <w:tc>
          <w:tcPr>
            <w:tcW w:w="1900" w:type="dxa"/>
            <w:vAlign w:val="center"/>
          </w:tcPr>
          <w:p>
            <w:pPr>
              <w:pStyle w:val="TableText"/>
            </w:pPr>
            <w:r>
              <w:t>Fourth</w:t>
            </w:r>
          </w:p>
        </w:tc>
        <w:tc>
          <w:tcPr>
            <w:tcW w:w="2360" w:type="dxa"/>
            <w:vAlign w:val="center"/>
          </w:tcPr>
          <w:p>
            <w:pPr>
              <w:pStyle w:val="TableText"/>
            </w:pPr>
            <w:r>
              <w:t>None</w:t>
            </w:r>
          </w:p>
        </w:tc>
      </w:tr>
      <w:tr>
        <w:trPr>
          <w:cantSplit/>
        </w:trPr>
        <w:tc>
          <w:tcPr>
            <w:tcW w:w="1500" w:type="dxa"/>
            <w:vAlign w:val="center"/>
          </w:tcPr>
          <w:p>
            <w:pPr>
              <w:pStyle w:val="TableText"/>
            </w:pPr>
            <w:r>
              <w:t>E</w:t>
            </w:r>
          </w:p>
        </w:tc>
        <w:tc>
          <w:tcPr>
            <w:tcW w:w="1800" w:type="dxa"/>
            <w:vAlign w:val="center"/>
          </w:tcPr>
          <w:p>
            <w:pPr>
              <w:pStyle w:val="TableNumber"/>
            </w:pPr>
            <w:r>
              <w:t>−0.04</w:t>
            </w:r>
          </w:p>
        </w:tc>
        <w:tc>
          <w:tcPr>
            <w:tcW w:w="1800" w:type="dxa"/>
            <w:vAlign w:val="center"/>
          </w:tcPr>
          <w:p>
            <w:pPr>
              <w:pStyle w:val="TableNumber"/>
            </w:pPr>
            <w:r>
              <w:t>−0.01</w:t>
            </w:r>
          </w:p>
        </w:tc>
        <w:tc>
          <w:tcPr>
            <w:tcW w:w="1900" w:type="dxa"/>
            <w:vAlign w:val="center"/>
          </w:tcPr>
          <w:p>
            <w:pPr>
              <w:pStyle w:val="TableText"/>
            </w:pPr>
            <w:r>
              <w:t>Weakest</w:t>
            </w:r>
          </w:p>
        </w:tc>
        <w:tc>
          <w:tcPr>
            <w:tcW w:w="2360" w:type="dxa"/>
            <w:vAlign w:val="center"/>
          </w:tcPr>
          <w:p>
            <w:pPr>
              <w:pStyle w:val="TableText"/>
            </w:pPr>
            <w:r>
              <w:t>Short</w:t>
            </w:r>
          </w:p>
        </w:tc>
      </w:tr>
    </w:tbl>
    <w:p>
      <w:pPr>
        <w:pStyle w:val="31"/>
      </w:pPr>
      <w:r>
        <w:t>5.5 Gross long/short spread / strong-stock alpha minus weak-stock alpha</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Average realized alpha in the most-favored bucket minus average realized alpha in the least-favored bucket. Positive means the model successfully separated relative winners from losers on that date.</w:t>
            </w:r>
          </w:p>
        </w:tc>
      </w:tr>
      <w:tr>
        <w:trPr>
          <w:cantSplit/>
        </w:trPr>
        <w:tc>
          <w:tcPr>
            <w:tcW w:w="1900" w:type="dxa"/>
            <w:vAlign w:val="center"/>
          </w:tcPr>
          <w:p>
            <w:pPr>
              <w:pStyle w:val="TableText"/>
            </w:pPr>
            <w:r>
              <w:t>Stock-market example</w:t>
            </w:r>
          </w:p>
        </w:tc>
        <w:tc>
          <w:tcPr>
            <w:tcW w:w="7460" w:type="dxa"/>
            <w:vAlign w:val="center"/>
          </w:tcPr>
          <w:p>
            <w:pPr>
              <w:pStyle w:val="TableText"/>
            </w:pPr>
            <w:r>
              <w:t>In the table, top stock A realizes +0.06 and bottom stock E −0.01, so gross spread=0.06−(−0.01)=0.07.</w:t>
            </w:r>
          </w:p>
        </w:tc>
      </w:tr>
      <w:tr>
        <w:trPr>
          <w:cantSplit/>
        </w:trPr>
        <w:tc>
          <w:tcPr>
            <w:tcW w:w="1900" w:type="dxa"/>
            <w:vAlign w:val="center"/>
          </w:tcPr>
          <w:p>
            <w:pPr>
              <w:pStyle w:val="TableText"/>
            </w:pPr>
            <w:r>
              <w:t>Exact calculation</w:t>
            </w:r>
          </w:p>
        </w:tc>
        <w:tc>
          <w:tcPr>
            <w:tcW w:w="7460" w:type="dxa"/>
            <w:vAlign w:val="center"/>
          </w:tcPr>
          <w:p>
            <w:pPr>
              <w:pStyle w:val="TableText"/>
            </w:pPr>
            <w:r>
              <w:t>gross_d=mean(y in long bucket)−mean(y in short bucket). The implementation uses the full top-minus-bottom spread. Although turnover weights have 0.5 long and 0.5 short absolute exposure, gross is not the half-spread from directly applying those weights.</w:t>
            </w:r>
          </w:p>
        </w:tc>
      </w:tr>
      <w:tr>
        <w:trPr>
          <w:cantSplit/>
        </w:trPr>
        <w:tc>
          <w:tcPr>
            <w:tcW w:w="1900" w:type="dxa"/>
            <w:vAlign w:val="center"/>
          </w:tcPr>
          <w:p>
            <w:pPr>
              <w:pStyle w:val="TableText"/>
            </w:pPr>
            <w:r>
              <w:t>How to read it</w:t>
            </w:r>
          </w:p>
        </w:tc>
        <w:tc>
          <w:tcPr>
            <w:tcW w:w="7460" w:type="dxa"/>
            <w:vAlign w:val="center"/>
          </w:tcPr>
          <w:p>
            <w:pPr>
              <w:pStyle w:val="TableText"/>
            </w:pPr>
            <w:r>
              <w:t>Positive is better. It is a date-level relative-alpha spread before the simplified cost deduction.</w:t>
            </w:r>
          </w:p>
        </w:tc>
      </w:tr>
      <w:tr>
        <w:trPr>
          <w:cantSplit/>
        </w:trPr>
        <w:tc>
          <w:tcPr>
            <w:tcW w:w="1900" w:type="dxa"/>
            <w:vAlign w:val="center"/>
          </w:tcPr>
          <w:p>
            <w:pPr>
              <w:pStyle w:val="TableText"/>
            </w:pPr>
            <w:r>
              <w:t>Current run</w:t>
            </w:r>
          </w:p>
        </w:tc>
        <w:tc>
          <w:tcPr>
            <w:tcW w:w="7460" w:type="dxa"/>
            <w:vAlign w:val="center"/>
          </w:tcPr>
          <w:p>
            <w:pPr>
              <w:pStyle w:val="TableText"/>
            </w:pPr>
            <w:r>
              <w:t>The artifact does not expose mean gross separately. Mean net deducts turnover×10 bps; exact gross reconstruction requires the date-level arrays.</w:t>
            </w:r>
          </w:p>
        </w:tc>
      </w:tr>
      <w:tr>
        <w:trPr>
          <w:cantSplit/>
        </w:trPr>
        <w:tc>
          <w:tcPr>
            <w:tcW w:w="1900" w:type="dxa"/>
            <w:vAlign w:val="center"/>
          </w:tcPr>
          <w:p>
            <w:pPr>
              <w:pStyle w:val="TableText"/>
            </w:pPr>
            <w:r>
              <w:t>Do not conclude</w:t>
            </w:r>
          </w:p>
        </w:tc>
        <w:tc>
          <w:tcPr>
            <w:tcW w:w="7460" w:type="dxa"/>
            <w:vAlign w:val="center"/>
          </w:tcPr>
          <w:p>
            <w:pPr>
              <w:pStyle w:val="TableText"/>
            </w:pPr>
            <w:r>
              <w:t>This is a simplified diagnostic, not live P&amp;L. Mixing full-spread and half-exposure conventions changes results by roughly a factor of two.</w:t>
            </w:r>
          </w:p>
        </w:tc>
      </w:tr>
      <w:tr>
        <w:trPr>
          <w:cantSplit/>
        </w:trPr>
        <w:tc>
          <w:tcPr>
            <w:tcW w:w="1900" w:type="dxa"/>
            <w:vAlign w:val="center"/>
          </w:tcPr>
          <w:p>
            <w:pPr>
              <w:pStyle w:val="TableText"/>
            </w:pPr>
            <w:r>
              <w:t>Read together with</w:t>
            </w:r>
          </w:p>
        </w:tc>
        <w:tc>
          <w:tcPr>
            <w:tcW w:w="7460" w:type="dxa"/>
            <w:vAlign w:val="center"/>
          </w:tcPr>
          <w:p>
            <w:pPr>
              <w:pStyle w:val="TableText"/>
            </w:pPr>
            <w:r>
              <w:t>Turnover, transaction cost, and net log return.</w:t>
            </w:r>
          </w:p>
        </w:tc>
      </w:tr>
    </w:tbl>
    <w:p>
      <w:pPr>
        <w:pStyle w:val="31"/>
      </w:pPr>
      <w:r>
        <w:t>5.6 Turnover / how much the positions change</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Compares today's long/short weights with the previous evaluated date and sums the absolute change for every stock. It measures how much trading is required to follow new ranks.</w:t>
            </w:r>
          </w:p>
        </w:tc>
      </w:tr>
      <w:tr>
        <w:trPr>
          <w:cantSplit/>
        </w:trPr>
        <w:tc>
          <w:tcPr>
            <w:tcW w:w="1900" w:type="dxa"/>
            <w:vAlign w:val="center"/>
          </w:tcPr>
          <w:p>
            <w:pPr>
              <w:pStyle w:val="TableText"/>
            </w:pPr>
            <w:r>
              <w:t>Stock-market example</w:t>
            </w:r>
          </w:p>
        </w:tc>
        <w:tc>
          <w:tcPr>
            <w:tcW w:w="7460" w:type="dxa"/>
            <w:vAlign w:val="center"/>
          </w:tcPr>
          <w:p>
            <w:pPr>
              <w:pStyle w:val="TableText"/>
            </w:pPr>
            <w:r>
              <w:t>If total long-plus-short absolute exposure is treated as one book, turnover=0.42 means the sum of absolute weight changes is 0.42 per evaluated date. At 10 bps per unit, the project deducts 4.2 bps. A fully disjoint replacement can reach 2.0.</w:t>
            </w:r>
          </w:p>
        </w:tc>
      </w:tr>
      <w:tr>
        <w:trPr>
          <w:cantSplit/>
        </w:trPr>
        <w:tc>
          <w:tcPr>
            <w:tcW w:w="1900" w:type="dxa"/>
            <w:vAlign w:val="center"/>
          </w:tcPr>
          <w:p>
            <w:pPr>
              <w:pStyle w:val="TableText"/>
            </w:pPr>
            <w:r>
              <w:t>Exact calculation</w:t>
            </w:r>
          </w:p>
        </w:tc>
        <w:tc>
          <w:tcPr>
            <w:tcW w:w="7460" w:type="dxa"/>
            <w:vAlign w:val="center"/>
          </w:tcPr>
          <w:p>
            <w:pPr>
              <w:pStyle w:val="TableText"/>
            </w:pPr>
            <w:r>
              <w:t>turnover_d=Σ_symbol|w_d(symbol)−w_{d−1}(symbol)| over the union of old and new positions. Pre-first-date weights are zero. Each short is −0.5/bucket and each long +0.5/bucket. turnover_mean averages dates.</w:t>
            </w:r>
          </w:p>
        </w:tc>
      </w:tr>
      <w:tr>
        <w:trPr>
          <w:cantSplit/>
        </w:trPr>
        <w:tc>
          <w:tcPr>
            <w:tcW w:w="1900" w:type="dxa"/>
            <w:vAlign w:val="center"/>
          </w:tcPr>
          <w:p>
            <w:pPr>
              <w:pStyle w:val="TableText"/>
            </w:pPr>
            <w:r>
              <w:t>How to read it</w:t>
            </w:r>
          </w:p>
        </w:tc>
        <w:tc>
          <w:tcPr>
            <w:tcW w:w="7460" w:type="dxa"/>
            <w:vAlign w:val="center"/>
          </w:tcPr>
          <w:p>
            <w:pPr>
              <w:pStyle w:val="TableText"/>
            </w:pPr>
            <w:r>
              <w:t>Lower is generally better for a fixed signal and cost, but suppressing turnover at the expense of signal quality is not automatically better. Read after-cost results.</w:t>
            </w:r>
          </w:p>
        </w:tc>
      </w:tr>
      <w:tr>
        <w:trPr>
          <w:cantSplit/>
        </w:trPr>
        <w:tc>
          <w:tcPr>
            <w:tcW w:w="1900" w:type="dxa"/>
            <w:vAlign w:val="center"/>
          </w:tcPr>
          <w:p>
            <w:pPr>
              <w:pStyle w:val="TableText"/>
            </w:pPr>
            <w:r>
              <w:t>Current run</w:t>
            </w:r>
          </w:p>
        </w:tc>
        <w:tc>
          <w:tcPr>
            <w:tcW w:w="7460" w:type="dxa"/>
            <w:vAlign w:val="center"/>
          </w:tcPr>
          <w:p>
            <w:pPr>
              <w:pStyle w:val="TableText"/>
            </w:pPr>
            <w:r>
              <w:t>Mean turnover ranges 0.402–0.466 across days 1–14; day 1 is 0.466, day 14 0.403.</w:t>
            </w:r>
          </w:p>
        </w:tc>
      </w:tr>
      <w:tr>
        <w:trPr>
          <w:cantSplit/>
        </w:trPr>
        <w:tc>
          <w:tcPr>
            <w:tcW w:w="1900" w:type="dxa"/>
            <w:vAlign w:val="center"/>
          </w:tcPr>
          <w:p>
            <w:pPr>
              <w:pStyle w:val="TableText"/>
            </w:pPr>
            <w:r>
              <w:t>Do not conclude</w:t>
            </w:r>
          </w:p>
        </w:tc>
        <w:tc>
          <w:tcPr>
            <w:tcW w:w="7460" w:type="dxa"/>
            <w:vAlign w:val="center"/>
          </w:tcPr>
          <w:p>
            <w:pPr>
              <w:pStyle w:val="TableText"/>
            </w:pPr>
            <w:r>
              <w:t>Turnover 0.42 is not 42% return and may not match a broker's traded-value/NAV convention. This guide uses the code's absolute-weight-change definition.</w:t>
            </w:r>
          </w:p>
        </w:tc>
      </w:tr>
      <w:tr>
        <w:trPr>
          <w:cantSplit/>
        </w:trPr>
        <w:tc>
          <w:tcPr>
            <w:tcW w:w="1900" w:type="dxa"/>
            <w:vAlign w:val="center"/>
          </w:tcPr>
          <w:p>
            <w:pPr>
              <w:pStyle w:val="TableText"/>
            </w:pPr>
            <w:r>
              <w:t>Read together with</w:t>
            </w:r>
          </w:p>
        </w:tc>
        <w:tc>
          <w:tcPr>
            <w:tcW w:w="7460" w:type="dxa"/>
            <w:vAlign w:val="center"/>
          </w:tcPr>
          <w:p>
            <w:pPr>
              <w:pStyle w:val="TableText"/>
            </w:pPr>
            <w:r>
              <w:t>Transaction cost and mean net log return.</w:t>
            </w:r>
          </w:p>
        </w:tc>
      </w:tr>
    </w:tbl>
    <w:p>
      <w:pPr>
        <w:pStyle w:val="31"/>
      </w:pPr>
      <w:r>
        <w:t>5.7 Net long/short mean log return / spread after simplified cost</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After selecting strong and weak stocks, subtract the fixed cost generated by rebalancing and average the remaining relative log-return spread across dates.</w:t>
            </w:r>
          </w:p>
        </w:tc>
      </w:tr>
      <w:tr>
        <w:trPr>
          <w:cantSplit/>
        </w:trPr>
        <w:tc>
          <w:tcPr>
            <w:tcW w:w="1900" w:type="dxa"/>
            <w:vAlign w:val="center"/>
          </w:tcPr>
          <w:p>
            <w:pPr>
              <w:pStyle w:val="TableText"/>
            </w:pPr>
            <w:r>
              <w:t>Stock-market example</w:t>
            </w:r>
          </w:p>
        </w:tc>
        <w:tc>
          <w:tcPr>
            <w:tcW w:w="7460" w:type="dxa"/>
            <w:vAlign w:val="center"/>
          </w:tcPr>
          <w:p>
            <w:pPr>
              <w:pStyle w:val="TableText"/>
            </w:pPr>
            <w:r>
              <w:t>Gross spread=0.020, turnover=1.2, and cost=10 bps per unit. Cost=1.2×0.001=0.0012, so net=0.0188; exp(0.0188)−1 is about 1.90% gross-ratio spread.</w:t>
            </w:r>
          </w:p>
        </w:tc>
      </w:tr>
      <w:tr>
        <w:trPr>
          <w:cantSplit/>
        </w:trPr>
        <w:tc>
          <w:tcPr>
            <w:tcW w:w="1900" w:type="dxa"/>
            <w:vAlign w:val="center"/>
          </w:tcPr>
          <w:p>
            <w:pPr>
              <w:pStyle w:val="TableText"/>
            </w:pPr>
            <w:r>
              <w:t>Exact calculation</w:t>
            </w:r>
          </w:p>
        </w:tc>
        <w:tc>
          <w:tcPr>
            <w:tcW w:w="7460" w:type="dxa"/>
            <w:vAlign w:val="center"/>
          </w:tcPr>
          <w:p>
            <w:pPr>
              <w:pStyle w:val="TableText"/>
            </w:pPr>
            <w:r>
              <w:t>cost_d=turnover_d×10/10000; net_d=mean(long y)−mean(short y)−cost_d; net_long_short_mean_log_return=mean_d(net_d).</w:t>
            </w:r>
          </w:p>
        </w:tc>
      </w:tr>
      <w:tr>
        <w:trPr>
          <w:cantSplit/>
        </w:trPr>
        <w:tc>
          <w:tcPr>
            <w:tcW w:w="1900" w:type="dxa"/>
            <w:vAlign w:val="center"/>
          </w:tcPr>
          <w:p>
            <w:pPr>
              <w:pStyle w:val="TableText"/>
            </w:pPr>
            <w:r>
              <w:t>How to read it</w:t>
            </w:r>
          </w:p>
        </w:tc>
        <w:tc>
          <w:tcPr>
            <w:tcW w:w="7460" w:type="dxa"/>
            <w:vAlign w:val="center"/>
          </w:tcPr>
          <w:p>
            <w:pPr>
              <w:pStyle w:val="TableText"/>
            </w:pPr>
            <w:r>
              <w:t>Positive is better and means average top-minus-bottom spread remains positive under this cost assumption. Variability, drawdown, and overlap still matter.</w:t>
            </w:r>
          </w:p>
        </w:tc>
      </w:tr>
      <w:tr>
        <w:trPr>
          <w:cantSplit/>
        </w:trPr>
        <w:tc>
          <w:tcPr>
            <w:tcW w:w="1900" w:type="dxa"/>
            <w:vAlign w:val="center"/>
          </w:tcPr>
          <w:p>
            <w:pPr>
              <w:pStyle w:val="TableText"/>
            </w:pPr>
            <w:r>
              <w:t>Current run</w:t>
            </w:r>
          </w:p>
        </w:tc>
        <w:tc>
          <w:tcPr>
            <w:tcW w:w="7460" w:type="dxa"/>
            <w:vAlign w:val="center"/>
          </w:tcPr>
          <w:p>
            <w:pPr>
              <w:pStyle w:val="TableText"/>
            </w:pPr>
            <w:r>
              <w:t>All 14 horizons are positive: day 1 +0.33%, day 7 +1.72%, and day 14 +2.74%.</w:t>
            </w:r>
          </w:p>
        </w:tc>
      </w:tr>
      <w:tr>
        <w:trPr>
          <w:cantSplit/>
        </w:trPr>
        <w:tc>
          <w:tcPr>
            <w:tcW w:w="1900" w:type="dxa"/>
            <w:vAlign w:val="center"/>
          </w:tcPr>
          <w:p>
            <w:pPr>
              <w:pStyle w:val="TableText"/>
            </w:pPr>
            <w:r>
              <w:t>Do not conclude</w:t>
            </w:r>
          </w:p>
        </w:tc>
        <w:tc>
          <w:tcPr>
            <w:tcW w:w="7460" w:type="dxa"/>
            <w:vAlign w:val="center"/>
          </w:tcPr>
          <w:p>
            <w:pPr>
              <w:pStyle w:val="TableText"/>
            </w:pPr>
            <w:r>
              <w:t>This is not long-only return or a guarantee. Ten bps excludes market impact, slippage, borrow availability, taxes, capacity, and price limits. Adjacent h-day outcomes may overlap.</w:t>
            </w:r>
          </w:p>
        </w:tc>
      </w:tr>
      <w:tr>
        <w:trPr>
          <w:cantSplit/>
        </w:trPr>
        <w:tc>
          <w:tcPr>
            <w:tcW w:w="1900" w:type="dxa"/>
            <w:vAlign w:val="center"/>
          </w:tcPr>
          <w:p>
            <w:pPr>
              <w:pStyle w:val="TableText"/>
            </w:pPr>
            <w:r>
              <w:t>Read together with</w:t>
            </w:r>
          </w:p>
        </w:tc>
        <w:tc>
          <w:tcPr>
            <w:tcW w:w="7460" w:type="dxa"/>
            <w:vAlign w:val="center"/>
          </w:tcPr>
          <w:p>
            <w:pPr>
              <w:pStyle w:val="TableText"/>
            </w:pPr>
            <w:r>
              <w:t>Sharpe, MDD, turnover, and a complete execution-cost model.</w:t>
            </w:r>
          </w:p>
        </w:tc>
      </w:tr>
    </w:tbl>
    <w:p>
      <w:pPr>
        <w:pStyle w:val="31"/>
      </w:pPr>
      <w:r>
        <w:t>5.8 Wealth / chaining net log returns into an index</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Starts at one and exponentiates the cumulative net log return, creating a diagnostic capital curve.</w:t>
            </w:r>
          </w:p>
        </w:tc>
      </w:tr>
      <w:tr>
        <w:trPr>
          <w:cantSplit/>
        </w:trPr>
        <w:tc>
          <w:tcPr>
            <w:tcW w:w="1900" w:type="dxa"/>
            <w:vAlign w:val="center"/>
          </w:tcPr>
          <w:p>
            <w:pPr>
              <w:pStyle w:val="TableText"/>
            </w:pPr>
            <w:r>
              <w:t>Stock-market example</w:t>
            </w:r>
          </w:p>
        </w:tc>
        <w:tc>
          <w:tcPr>
            <w:tcW w:w="7460" w:type="dxa"/>
            <w:vAlign w:val="center"/>
          </w:tcPr>
          <w:p>
            <w:pPr>
              <w:pStyle w:val="TableText"/>
            </w:pPr>
            <w:r>
              <w:t>Net log returns [+0.02,−0.01,+0.03] sum to 0.04, so ending wealth=exp(0.04)=1.0408. Intermediate values are about 1.0202, 1.0101, and 1.0408.</w:t>
            </w:r>
          </w:p>
        </w:tc>
      </w:tr>
      <w:tr>
        <w:trPr>
          <w:cantSplit/>
        </w:trPr>
        <w:tc>
          <w:tcPr>
            <w:tcW w:w="1900" w:type="dxa"/>
            <w:vAlign w:val="center"/>
          </w:tcPr>
          <w:p>
            <w:pPr>
              <w:pStyle w:val="TableText"/>
            </w:pPr>
            <w:r>
              <w:t>Exact calculation</w:t>
            </w:r>
          </w:p>
        </w:tc>
        <w:tc>
          <w:tcPr>
            <w:tcW w:w="7460" w:type="dxa"/>
            <w:vAlign w:val="center"/>
          </w:tcPr>
          <w:p>
            <w:pPr>
              <w:pStyle w:val="TableText"/>
            </w:pPr>
            <w:r>
              <w:t>wealth_d=exp(Σ_{k≤d} net_k). Because net values are log returns, cumprod(1+net) is not the identical calculation.</w:t>
            </w:r>
          </w:p>
        </w:tc>
      </w:tr>
      <w:tr>
        <w:trPr>
          <w:cantSplit/>
        </w:trPr>
        <w:tc>
          <w:tcPr>
            <w:tcW w:w="1900" w:type="dxa"/>
            <w:vAlign w:val="center"/>
          </w:tcPr>
          <w:p>
            <w:pPr>
              <w:pStyle w:val="TableText"/>
            </w:pPr>
            <w:r>
              <w:t>How to read it</w:t>
            </w:r>
          </w:p>
        </w:tc>
        <w:tc>
          <w:tcPr>
            <w:tcW w:w="7460" w:type="dxa"/>
            <w:vAlign w:val="center"/>
          </w:tcPr>
          <w:p>
            <w:pPr>
              <w:pStyle w:val="TableText"/>
            </w:pPr>
            <w:r>
              <w:t>An upward curve means better cumulative spread. Its shape is used to calculate drawdown.</w:t>
            </w:r>
          </w:p>
        </w:tc>
      </w:tr>
      <w:tr>
        <w:trPr>
          <w:cantSplit/>
        </w:trPr>
        <w:tc>
          <w:tcPr>
            <w:tcW w:w="1900" w:type="dxa"/>
            <w:vAlign w:val="center"/>
          </w:tcPr>
          <w:p>
            <w:pPr>
              <w:pStyle w:val="TableText"/>
            </w:pPr>
            <w:r>
              <w:t>Current run</w:t>
            </w:r>
          </w:p>
        </w:tc>
        <w:tc>
          <w:tcPr>
            <w:tcW w:w="7460" w:type="dxa"/>
            <w:vAlign w:val="center"/>
          </w:tcPr>
          <w:p>
            <w:pPr>
              <w:pStyle w:val="TableText"/>
            </w:pPr>
            <w:r>
              <w:t>The artifact does not list terminal wealth directly. The code builds wealth from the date-level net array and then derives maximum drawdown.</w:t>
            </w:r>
          </w:p>
        </w:tc>
      </w:tr>
      <w:tr>
        <w:trPr>
          <w:cantSplit/>
        </w:trPr>
        <w:tc>
          <w:tcPr>
            <w:tcW w:w="1900" w:type="dxa"/>
            <w:vAlign w:val="center"/>
          </w:tcPr>
          <w:p>
            <w:pPr>
              <w:pStyle w:val="TableText"/>
            </w:pPr>
            <w:r>
              <w:t>Do not conclude</w:t>
            </w:r>
          </w:p>
        </w:tc>
        <w:tc>
          <w:tcPr>
            <w:tcW w:w="7460" w:type="dxa"/>
            <w:vAlign w:val="center"/>
          </w:tcPr>
          <w:p>
            <w:pPr>
              <w:pStyle w:val="TableText"/>
            </w:pPr>
            <w:r>
              <w:t>This is a simplified long/short diagnostic index, not an actual brokerage account NAV, and it omits many execution constraints.</w:t>
            </w:r>
          </w:p>
        </w:tc>
      </w:tr>
      <w:tr>
        <w:trPr>
          <w:cantSplit/>
        </w:trPr>
        <w:tc>
          <w:tcPr>
            <w:tcW w:w="1900" w:type="dxa"/>
            <w:vAlign w:val="center"/>
          </w:tcPr>
          <w:p>
            <w:pPr>
              <w:pStyle w:val="TableText"/>
            </w:pPr>
            <w:r>
              <w:t>Read together with</w:t>
            </w:r>
          </w:p>
        </w:tc>
        <w:tc>
          <w:tcPr>
            <w:tcW w:w="7460" w:type="dxa"/>
            <w:vAlign w:val="center"/>
          </w:tcPr>
          <w:p>
            <w:pPr>
              <w:pStyle w:val="TableText"/>
            </w:pPr>
            <w:r>
              <w:t>Net log return and MDD.</w:t>
            </w:r>
          </w:p>
        </w:tc>
      </w:tr>
    </w:tbl>
    <w:p>
      <w:pPr>
        <w:pStyle w:val="31"/>
      </w:pPr>
      <w:r>
        <w:t>5.9 Maximum drawdown (MDD) / worst decline from a prior peak</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Finds the deepest fall from any historical wealth peak to a later trough. It answers how painful the worst peak-to-trough path would have been.</w:t>
            </w:r>
          </w:p>
        </w:tc>
      </w:tr>
      <w:tr>
        <w:trPr>
          <w:cantSplit/>
        </w:trPr>
        <w:tc>
          <w:tcPr>
            <w:tcW w:w="1900" w:type="dxa"/>
            <w:vAlign w:val="center"/>
          </w:tcPr>
          <w:p>
            <w:pPr>
              <w:pStyle w:val="TableText"/>
            </w:pPr>
            <w:r>
              <w:t>Stock-market example</w:t>
            </w:r>
          </w:p>
        </w:tc>
        <w:tc>
          <w:tcPr>
            <w:tcW w:w="7460" w:type="dxa"/>
            <w:vAlign w:val="center"/>
          </w:tcPr>
          <w:p>
            <w:pPr>
              <w:pStyle w:val="TableText"/>
            </w:pPr>
            <w:r>
              <w:t>If a wealth peak is normalized to 100 and later reaches 60, MDD=60/100−1=−40%. The current day-14 MDD near −66.7% corresponds to a peak of 100 falling to about 33.3 in this diagnostic.</w:t>
            </w:r>
          </w:p>
        </w:tc>
      </w:tr>
      <w:tr>
        <w:trPr>
          <w:cantSplit/>
        </w:trPr>
        <w:tc>
          <w:tcPr>
            <w:tcW w:w="1900" w:type="dxa"/>
            <w:vAlign w:val="center"/>
          </w:tcPr>
          <w:p>
            <w:pPr>
              <w:pStyle w:val="TableText"/>
            </w:pPr>
            <w:r>
              <w:t>Exact calculation</w:t>
            </w:r>
          </w:p>
        </w:tc>
        <w:tc>
          <w:tcPr>
            <w:tcW w:w="7460" w:type="dxa"/>
            <w:vAlign w:val="center"/>
          </w:tcPr>
          <w:p>
            <w:pPr>
              <w:pStyle w:val="TableText"/>
            </w:pPr>
            <w:r>
              <w:t>peak_d=max_{k≤d}(wealth_k); drawdown_d=wealth_d/peak_d−1; MDD=min_d(drawdown_d).</w:t>
            </w:r>
          </w:p>
        </w:tc>
      </w:tr>
      <w:tr>
        <w:trPr>
          <w:cantSplit/>
        </w:trPr>
        <w:tc>
          <w:tcPr>
            <w:tcW w:w="1900" w:type="dxa"/>
            <w:vAlign w:val="center"/>
          </w:tcPr>
          <w:p>
            <w:pPr>
              <w:pStyle w:val="TableText"/>
            </w:pPr>
            <w:r>
              <w:t>How to read it</w:t>
            </w:r>
          </w:p>
        </w:tc>
        <w:tc>
          <w:tcPr>
            <w:tcW w:w="7460" w:type="dxa"/>
            <w:vAlign w:val="center"/>
          </w:tcPr>
          <w:p>
            <w:pPr>
              <w:pStyle w:val="TableText"/>
            </w:pPr>
            <w:r>
              <w:t>Usually zero or negative; closer to zero is better. −15% is easier to tolerate than −67%. Always compare it with return and Sharpe.</w:t>
            </w:r>
          </w:p>
        </w:tc>
      </w:tr>
      <w:tr>
        <w:trPr>
          <w:cantSplit/>
        </w:trPr>
        <w:tc>
          <w:tcPr>
            <w:tcW w:w="1900" w:type="dxa"/>
            <w:vAlign w:val="center"/>
          </w:tcPr>
          <w:p>
            <w:pPr>
              <w:pStyle w:val="TableText"/>
            </w:pPr>
            <w:r>
              <w:t>Current run</w:t>
            </w:r>
          </w:p>
        </w:tc>
        <w:tc>
          <w:tcPr>
            <w:tcW w:w="7460" w:type="dxa"/>
            <w:vAlign w:val="center"/>
          </w:tcPr>
          <w:p>
            <w:pPr>
              <w:pStyle w:val="TableText"/>
            </w:pPr>
            <w:r>
              <w:t>Day 1 is -15.44%, day 7 -40.57%, and day 14 -66.71%. Kronos ranks only fourth through seventh on MDD across models.</w:t>
            </w:r>
          </w:p>
        </w:tc>
      </w:tr>
      <w:tr>
        <w:trPr>
          <w:cantSplit/>
        </w:trPr>
        <w:tc>
          <w:tcPr>
            <w:tcW w:w="1900" w:type="dxa"/>
            <w:vAlign w:val="center"/>
          </w:tcPr>
          <w:p>
            <w:pPr>
              <w:pStyle w:val="TableText"/>
            </w:pPr>
            <w:r>
              <w:t>Do not conclude</w:t>
            </w:r>
          </w:p>
        </w:tc>
        <w:tc>
          <w:tcPr>
            <w:tcW w:w="7460" w:type="dxa"/>
            <w:vAlign w:val="center"/>
          </w:tcPr>
          <w:p>
            <w:pPr>
              <w:pStyle w:val="TableText"/>
            </w:pPr>
            <w:r>
              <w:t>The JSON value already carries a minus sign. Positive Sharpe does not erase severe drawdown, and MDD does not reveal drawdown duration.</w:t>
            </w:r>
          </w:p>
        </w:tc>
      </w:tr>
      <w:tr>
        <w:trPr>
          <w:cantSplit/>
        </w:trPr>
        <w:tc>
          <w:tcPr>
            <w:tcW w:w="1900" w:type="dxa"/>
            <w:vAlign w:val="center"/>
          </w:tcPr>
          <w:p>
            <w:pPr>
              <w:pStyle w:val="TableText"/>
            </w:pPr>
            <w:r>
              <w:t>Read together with</w:t>
            </w:r>
          </w:p>
        </w:tc>
        <w:tc>
          <w:tcPr>
            <w:tcW w:w="7460" w:type="dxa"/>
            <w:vAlign w:val="center"/>
          </w:tcPr>
          <w:p>
            <w:pPr>
              <w:pStyle w:val="TableText"/>
            </w:pPr>
            <w:r>
              <w:t>The wealth curve, Sharpe, drawdown duration, and explicit risk constraints.</w:t>
            </w:r>
          </w:p>
        </w:tc>
      </w:tr>
    </w:tbl>
    <w:p>
      <w:pPr>
        <w:pStyle w:val="31"/>
      </w:pPr>
      <w:r>
        <w:t>5.10 Sharpe / average net return relative to its variability</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Divides average after-cost spread by how erratic the period returns are, then annualizes by horizon. Higher means more average return per unit of observed variability.</w:t>
            </w:r>
          </w:p>
        </w:tc>
      </w:tr>
      <w:tr>
        <w:trPr>
          <w:cantSplit/>
        </w:trPr>
        <w:tc>
          <w:tcPr>
            <w:tcW w:w="1900" w:type="dxa"/>
            <w:vAlign w:val="center"/>
          </w:tcPr>
          <w:p>
            <w:pPr>
              <w:pStyle w:val="TableText"/>
            </w:pPr>
            <w:r>
              <w:t>Stock-market example</w:t>
            </w:r>
          </w:p>
        </w:tc>
        <w:tc>
          <w:tcPr>
            <w:tcW w:w="7460" w:type="dxa"/>
            <w:vAlign w:val="center"/>
          </w:tcPr>
          <w:p>
            <w:pPr>
              <w:pStyle w:val="TableText"/>
            </w:pPr>
            <w:r>
              <w:t>Mean net=0.01, sample std=0.02, and h=5 give Sharpe=0.01/0.02×sqrt(252/5)=3.55. This is only a formula example; overlap or understated costs can make it optimistic.</w:t>
            </w:r>
          </w:p>
        </w:tc>
      </w:tr>
      <w:tr>
        <w:trPr>
          <w:cantSplit/>
        </w:trPr>
        <w:tc>
          <w:tcPr>
            <w:tcW w:w="1900" w:type="dxa"/>
            <w:vAlign w:val="center"/>
          </w:tcPr>
          <w:p>
            <w:pPr>
              <w:pStyle w:val="TableText"/>
            </w:pPr>
            <w:r>
              <w:t>Exact calculation</w:t>
            </w:r>
          </w:p>
        </w:tc>
        <w:tc>
          <w:tcPr>
            <w:tcW w:w="7460" w:type="dxa"/>
            <w:vAlign w:val="center"/>
          </w:tcPr>
          <w:p>
            <w:pPr>
              <w:pStyle w:val="TableText"/>
            </w:pPr>
            <w:r>
              <w:t>Sharpeₕ=mean(net_d)/sample_std(net_d)×sqrt(252/h), with ddof=1 and zero when std is zero. This implementation does not subtract a risk-free rate.</w:t>
            </w:r>
          </w:p>
        </w:tc>
      </w:tr>
      <w:tr>
        <w:trPr>
          <w:cantSplit/>
        </w:trPr>
        <w:tc>
          <w:tcPr>
            <w:tcW w:w="1900" w:type="dxa"/>
            <w:vAlign w:val="center"/>
          </w:tcPr>
          <w:p>
            <w:pPr>
              <w:pStyle w:val="TableText"/>
            </w:pPr>
            <w:r>
              <w:t>How to read it</w:t>
            </w:r>
          </w:p>
        </w:tc>
        <w:tc>
          <w:tcPr>
            <w:tcW w:w="7460" w:type="dxa"/>
            <w:vAlign w:val="center"/>
          </w:tcPr>
          <w:p>
            <w:pPr>
              <w:pStyle w:val="TableText"/>
            </w:pPr>
            <w:r>
              <w:t>Higher is generally better under one protocol, but MDD, date count, costs, and serial dependence must be read with it.</w:t>
            </w:r>
          </w:p>
        </w:tc>
      </w:tr>
      <w:tr>
        <w:trPr>
          <w:cantSplit/>
        </w:trPr>
        <w:tc>
          <w:tcPr>
            <w:tcW w:w="1900" w:type="dxa"/>
            <w:vAlign w:val="center"/>
          </w:tcPr>
          <w:p>
            <w:pPr>
              <w:pStyle w:val="TableText"/>
            </w:pPr>
            <w:r>
              <w:t>Current run</w:t>
            </w:r>
          </w:p>
        </w:tc>
        <w:tc>
          <w:tcPr>
            <w:tcW w:w="7460" w:type="dxa"/>
            <w:vAlign w:val="center"/>
          </w:tcPr>
          <w:p>
            <w:pPr>
              <w:pStyle w:val="TableText"/>
            </w:pPr>
            <w:r>
              <w:t>All 14 horizons are positive, ranging 1.62–3.04; day 1 is 3.04, day 14 1.62. Kronos ranks first at 10 horizons.</w:t>
            </w:r>
          </w:p>
        </w:tc>
      </w:tr>
      <w:tr>
        <w:trPr>
          <w:cantSplit/>
        </w:trPr>
        <w:tc>
          <w:tcPr>
            <w:tcW w:w="1900" w:type="dxa"/>
            <w:vAlign w:val="center"/>
          </w:tcPr>
          <w:p>
            <w:pPr>
              <w:pStyle w:val="TableText"/>
            </w:pPr>
            <w:r>
              <w:t>Do not conclude</w:t>
            </w:r>
          </w:p>
        </w:tc>
        <w:tc>
          <w:tcPr>
            <w:tcW w:w="7460" w:type="dxa"/>
            <w:vAlign w:val="center"/>
          </w:tcPr>
          <w:p>
            <w:pPr>
              <w:pStyle w:val="TableText"/>
            </w:pPr>
            <w:r>
              <w:t>Sharpe of two or three does not establish deployability. Adjacent h-day forward labels may overlap; sqrt(252/h) has no Newey–West/autocorrelation correction and the diagnostic omits full market frictions.</w:t>
            </w:r>
          </w:p>
        </w:tc>
      </w:tr>
      <w:tr>
        <w:trPr>
          <w:cantSplit/>
        </w:trPr>
        <w:tc>
          <w:tcPr>
            <w:tcW w:w="1900" w:type="dxa"/>
            <w:vAlign w:val="center"/>
          </w:tcPr>
          <w:p>
            <w:pPr>
              <w:pStyle w:val="TableText"/>
            </w:pPr>
            <w:r>
              <w:t>Read together with</w:t>
            </w:r>
          </w:p>
        </w:tc>
        <w:tc>
          <w:tcPr>
            <w:tcW w:w="7460" w:type="dxa"/>
            <w:vAlign w:val="center"/>
          </w:tcPr>
          <w:p>
            <w:pPr>
              <w:pStyle w:val="TableText"/>
            </w:pPr>
            <w:r>
              <w:t>MDD, mean net return, turnover, evaluated_dates, and non-overlap/autocorrelation sensitivity analysis.</w:t>
            </w:r>
          </w:p>
        </w:tc>
      </w:tr>
    </w:tbl>
    <w:p>
      <w:pPr>
        <w:pStyle w:val="11"/>
      </w:pPr>
      <w:r>
        <w:t>6. Slices and stability: does performance survive market and year changes?</w:t>
      </w:r>
    </w:p>
    <w:p>
      <w:pPr>
        <w:pStyle w:val="31"/>
      </w:pPr>
      <w:r>
        <w:t>6.1 Subgroup sample count and sliced metrics</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Recompute forecast metrics after splitting data by provider, market, asset type, or year. Read sample count first so a small-slice accident is not mistaken for stable skill.</w:t>
            </w:r>
          </w:p>
        </w:tc>
      </w:tr>
      <w:tr>
        <w:trPr>
          <w:cantSplit/>
        </w:trPr>
        <w:tc>
          <w:tcPr>
            <w:tcW w:w="1900" w:type="dxa"/>
            <w:vAlign w:val="center"/>
          </w:tcPr>
          <w:p>
            <w:pPr>
              <w:pStyle w:val="TableText"/>
            </w:pPr>
            <w:r>
              <w:t>Stock-market example</w:t>
            </w:r>
          </w:p>
        </w:tc>
        <w:tc>
          <w:tcPr>
            <w:tcW w:w="7460" w:type="dxa"/>
            <w:vAlign w:val="center"/>
          </w:tcPr>
          <w:p>
            <w:pPr>
              <w:pStyle w:val="TableText"/>
            </w:pPr>
            <w:r>
              <w:t>A Taiwan slice with about 1,500 rows and a US slice with about 17,000 may show different scores because of market, dates, universe, processing, or sampling variability. A lower Taiwan score alone cannot prove Taiwan is easier.</w:t>
            </w:r>
          </w:p>
        </w:tc>
      </w:tr>
      <w:tr>
        <w:trPr>
          <w:cantSplit/>
        </w:trPr>
        <w:tc>
          <w:tcPr>
            <w:tcW w:w="1900" w:type="dxa"/>
            <w:vAlign w:val="center"/>
          </w:tcPr>
          <w:p>
            <w:pPr>
              <w:pStyle w:val="TableText"/>
            </w:pPr>
            <w:r>
              <w:t>Exact calculation</w:t>
            </w:r>
          </w:p>
        </w:tc>
        <w:tc>
          <w:tcPr>
            <w:tcW w:w="7460" w:type="dxa"/>
            <w:vAlign w:val="center"/>
          </w:tcPr>
          <w:p>
            <w:pPr>
              <w:pStyle w:val="TableText"/>
            </w:pPr>
            <w:r>
              <w:t>Build a mask for every unique subgroup value; recalculate aggregate, per_horizon, and primary_5d while retaining the same train-only robust scales. Current subgroup payloads do not recompute RankIC, Sharpe, or MDD.</w:t>
            </w:r>
          </w:p>
        </w:tc>
      </w:tr>
      <w:tr>
        <w:trPr>
          <w:cantSplit/>
        </w:trPr>
        <w:tc>
          <w:tcPr>
            <w:tcW w:w="1900" w:type="dxa"/>
            <w:vAlign w:val="center"/>
          </w:tcPr>
          <w:p>
            <w:pPr>
              <w:pStyle w:val="TableText"/>
            </w:pPr>
            <w:r>
              <w:t>How to read it</w:t>
            </w:r>
          </w:p>
        </w:tc>
        <w:tc>
          <w:tcPr>
            <w:tcW w:w="7460" w:type="dxa"/>
            <w:vAlign w:val="center"/>
          </w:tcPr>
          <w:p>
            <w:pPr>
              <w:pStyle w:val="TableText"/>
            </w:pPr>
            <w:r>
              <w:t>Read n before 14H score, the 14-horizon correlation range, mean direction, and coverage. Treat differences as stability evidence to investigate.</w:t>
            </w:r>
          </w:p>
        </w:tc>
      </w:tr>
      <w:tr>
        <w:trPr>
          <w:cantSplit/>
        </w:trPr>
        <w:tc>
          <w:tcPr>
            <w:tcW w:w="1900" w:type="dxa"/>
            <w:vAlign w:val="center"/>
          </w:tcPr>
          <w:p>
            <w:pPr>
              <w:pStyle w:val="TableText"/>
            </w:pPr>
            <w:r>
              <w:t>Current run</w:t>
            </w:r>
          </w:p>
        </w:tc>
        <w:tc>
          <w:tcPr>
            <w:tcW w:w="7460" w:type="dxa"/>
            <w:vAlign w:val="center"/>
          </w:tcPr>
          <w:p>
            <w:pPr>
              <w:pStyle w:val="TableText"/>
            </w:pPr>
            <w:r>
              <w:t>EODHD/US n=17,056, TPEx n=1,377, and TWSE n=1,567. Year 2024 has n=1,928 versus 18,072 in 2025.</w:t>
            </w:r>
          </w:p>
        </w:tc>
      </w:tr>
      <w:tr>
        <w:trPr>
          <w:cantSplit/>
        </w:trPr>
        <w:tc>
          <w:tcPr>
            <w:tcW w:w="1900" w:type="dxa"/>
            <w:vAlign w:val="center"/>
          </w:tcPr>
          <w:p>
            <w:pPr>
              <w:pStyle w:val="TableText"/>
            </w:pPr>
            <w:r>
              <w:t>Do not conclude</w:t>
            </w:r>
          </w:p>
        </w:tc>
        <w:tc>
          <w:tcPr>
            <w:tcW w:w="7460" w:type="dxa"/>
            <w:vAlign w:val="center"/>
          </w:tcPr>
          <w:p>
            <w:pPr>
              <w:pStyle w:val="TableText"/>
            </w:pPr>
            <w:r>
              <w:t>Do not infer subgroup portfolio Sharpe from subgroup forecast scores or attribute provider differences directly to national-market predictability.</w:t>
            </w:r>
          </w:p>
        </w:tc>
      </w:tr>
      <w:tr>
        <w:trPr>
          <w:cantSplit/>
        </w:trPr>
        <w:tc>
          <w:tcPr>
            <w:tcW w:w="1900" w:type="dxa"/>
            <w:vAlign w:val="center"/>
          </w:tcPr>
          <w:p>
            <w:pPr>
              <w:pStyle w:val="TableText"/>
            </w:pPr>
            <w:r>
              <w:t>Read together with</w:t>
            </w:r>
          </w:p>
        </w:tc>
        <w:tc>
          <w:tcPr>
            <w:tcW w:w="7460" w:type="dxa"/>
            <w:vAlign w:val="center"/>
          </w:tcPr>
          <w:p>
            <w:pPr>
              <w:pStyle w:val="TableText"/>
            </w:pPr>
            <w:r>
              <w:t>Date ranges, universe composition, regimes, and sample-count uncertainty.</w:t>
            </w:r>
          </w:p>
        </w:tc>
      </w:tr>
    </w:tbl>
    <w:p>
      <w:pPr>
        <w:pStyle w:val="Decision"/>
        <w:keepNext/>
        <w:spacing w:after="80"/>
      </w:pPr>
      <w:r>
        <w:t>Table 2 | Provider slices across days 1–14</w:t>
      </w:r>
    </w:p>
    <w:tbl>
      <w:tblPr>
        <w:tblStyle w:val="BenchmarkTable"/>
        <w:tblW w:w="9360" w:type="dxa"/>
        <w:tblLayout w:type="fixed"/>
      </w:tblPr>
      <w:tblGrid>
        <w:gridCol w:w="1450"/>
        <w:gridCol w:w="1000"/>
        <w:gridCol w:w="1250"/>
        <w:gridCol w:w="1250"/>
        <w:gridCol w:w="1900"/>
        <w:gridCol w:w="1300"/>
        <w:gridCol w:w="1210"/>
      </w:tblGrid>
      <w:tr>
        <w:trPr>
          <w:tblHeader/>
        </w:trPr>
        <w:tc>
          <w:tcPr>
            <w:tcW w:w="1450" w:type="dxa"/>
            <w:shd w:val="clear" w:fill="DCE6F1"/>
            <w:vAlign w:val="center"/>
          </w:tcPr>
          <w:p>
            <w:pPr>
              <w:pStyle w:val="TableHeader"/>
            </w:pPr>
            <w:r>
              <w:t>Provider</w:t>
            </w:r>
          </w:p>
        </w:tc>
        <w:tc>
          <w:tcPr>
            <w:tcW w:w="1000" w:type="dxa"/>
            <w:shd w:val="clear" w:fill="DCE6F1"/>
            <w:vAlign w:val="center"/>
          </w:tcPr>
          <w:p>
            <w:pPr>
              <w:pStyle w:val="TableHeader"/>
            </w:pPr>
            <w:r>
              <w:t>n</w:t>
            </w:r>
          </w:p>
        </w:tc>
        <w:tc>
          <w:tcPr>
            <w:tcW w:w="1250" w:type="dxa"/>
            <w:shd w:val="clear" w:fill="DCE6F1"/>
            <w:vAlign w:val="center"/>
          </w:tcPr>
          <w:p>
            <w:pPr>
              <w:pStyle w:val="TableHeader"/>
            </w:pPr>
            <w:r>
              <w:t>14H score</w:t>
            </w:r>
          </w:p>
        </w:tc>
        <w:tc>
          <w:tcPr>
            <w:tcW w:w="1250" w:type="dxa"/>
            <w:shd w:val="clear" w:fill="DCE6F1"/>
            <w:vAlign w:val="center"/>
          </w:tcPr>
          <w:p>
            <w:pPr>
              <w:pStyle w:val="TableHeader"/>
            </w:pPr>
            <w:r>
              <w:t>Mean corr.</w:t>
            </w:r>
          </w:p>
        </w:tc>
        <w:tc>
          <w:tcPr>
            <w:tcW w:w="1900" w:type="dxa"/>
            <w:shd w:val="clear" w:fill="DCE6F1"/>
            <w:vAlign w:val="center"/>
          </w:tcPr>
          <w:p>
            <w:pPr>
              <w:pStyle w:val="TableHeader"/>
            </w:pPr>
            <w:r>
              <w:t>Corr. range</w:t>
            </w:r>
          </w:p>
        </w:tc>
        <w:tc>
          <w:tcPr>
            <w:tcW w:w="1300" w:type="dxa"/>
            <w:shd w:val="clear" w:fill="DCE6F1"/>
            <w:vAlign w:val="center"/>
          </w:tcPr>
          <w:p>
            <w:pPr>
              <w:pStyle w:val="TableHeader"/>
            </w:pPr>
            <w:r>
              <w:t>Mean direction</w:t>
            </w:r>
          </w:p>
        </w:tc>
        <w:tc>
          <w:tcPr>
            <w:tcW w:w="1210" w:type="dxa"/>
            <w:shd w:val="clear" w:fill="DCE6F1"/>
            <w:vAlign w:val="center"/>
          </w:tcPr>
          <w:p>
            <w:pPr>
              <w:pStyle w:val="TableHeader"/>
            </w:pPr>
            <w:r>
              <w:t>Mean coverage</w:t>
            </w:r>
          </w:p>
        </w:tc>
      </w:tr>
      <w:tr>
        <w:trPr>
          <w:cantSplit/>
        </w:trPr>
        <w:tc>
          <w:tcPr>
            <w:tcW w:w="1450" w:type="dxa"/>
            <w:vAlign w:val="center"/>
          </w:tcPr>
          <w:p>
            <w:pPr>
              <w:pStyle w:val="TableText"/>
            </w:pPr>
            <w:r>
              <w:t>EODHD / US</w:t>
            </w:r>
          </w:p>
        </w:tc>
        <w:tc>
          <w:tcPr>
            <w:tcW w:w="1000" w:type="dxa"/>
            <w:vAlign w:val="center"/>
          </w:tcPr>
          <w:p>
            <w:pPr>
              <w:pStyle w:val="TableNumber"/>
            </w:pPr>
            <w:r>
              <w:t>17,056</w:t>
            </w:r>
          </w:p>
        </w:tc>
        <w:tc>
          <w:tcPr>
            <w:tcW w:w="1250" w:type="dxa"/>
            <w:vAlign w:val="center"/>
          </w:tcPr>
          <w:p>
            <w:pPr>
              <w:pStyle w:val="TableNumber"/>
            </w:pPr>
            <w:r>
              <w:t>0.3311</w:t>
            </w:r>
          </w:p>
        </w:tc>
        <w:tc>
          <w:tcPr>
            <w:tcW w:w="1250" w:type="dxa"/>
            <w:vAlign w:val="center"/>
          </w:tcPr>
          <w:p>
            <w:pPr>
              <w:pStyle w:val="TableNumber"/>
            </w:pPr>
            <w:r>
              <w:t>0.0908</w:t>
            </w:r>
          </w:p>
        </w:tc>
        <w:tc>
          <w:tcPr>
            <w:tcW w:w="1900" w:type="dxa"/>
            <w:vAlign w:val="center"/>
          </w:tcPr>
          <w:p>
            <w:pPr>
              <w:pStyle w:val="TableNumber"/>
            </w:pPr>
            <w:r>
              <w:t>0.0571–0.1205</w:t>
            </w:r>
          </w:p>
        </w:tc>
        <w:tc>
          <w:tcPr>
            <w:tcW w:w="1300" w:type="dxa"/>
            <w:vAlign w:val="center"/>
          </w:tcPr>
          <w:p>
            <w:pPr>
              <w:pStyle w:val="TableNumber"/>
            </w:pPr>
            <w:r>
              <w:t>53.32%</w:t>
            </w:r>
          </w:p>
        </w:tc>
        <w:tc>
          <w:tcPr>
            <w:tcW w:w="1210" w:type="dxa"/>
            <w:vAlign w:val="center"/>
          </w:tcPr>
          <w:p>
            <w:pPr>
              <w:pStyle w:val="TableNumber"/>
            </w:pPr>
            <w:r>
              <w:t>78.47%</w:t>
            </w:r>
          </w:p>
        </w:tc>
      </w:tr>
      <w:tr>
        <w:trPr>
          <w:cantSplit/>
        </w:trPr>
        <w:tc>
          <w:tcPr>
            <w:tcW w:w="1450" w:type="dxa"/>
            <w:vAlign w:val="center"/>
          </w:tcPr>
          <w:p>
            <w:pPr>
              <w:pStyle w:val="TableText"/>
            </w:pPr>
            <w:r>
              <w:t>TPEx</w:t>
            </w:r>
          </w:p>
        </w:tc>
        <w:tc>
          <w:tcPr>
            <w:tcW w:w="1000" w:type="dxa"/>
            <w:vAlign w:val="center"/>
          </w:tcPr>
          <w:p>
            <w:pPr>
              <w:pStyle w:val="TableNumber"/>
            </w:pPr>
            <w:r>
              <w:t>1,377</w:t>
            </w:r>
          </w:p>
        </w:tc>
        <w:tc>
          <w:tcPr>
            <w:tcW w:w="1250" w:type="dxa"/>
            <w:vAlign w:val="center"/>
          </w:tcPr>
          <w:p>
            <w:pPr>
              <w:pStyle w:val="TableNumber"/>
            </w:pPr>
            <w:r>
              <w:t>0.2245</w:t>
            </w:r>
          </w:p>
        </w:tc>
        <w:tc>
          <w:tcPr>
            <w:tcW w:w="1250" w:type="dxa"/>
            <w:vAlign w:val="center"/>
          </w:tcPr>
          <w:p>
            <w:pPr>
              <w:pStyle w:val="TableNumber"/>
            </w:pPr>
            <w:r>
              <w:t>0.0934</w:t>
            </w:r>
          </w:p>
        </w:tc>
        <w:tc>
          <w:tcPr>
            <w:tcW w:w="1900" w:type="dxa"/>
            <w:vAlign w:val="center"/>
          </w:tcPr>
          <w:p>
            <w:pPr>
              <w:pStyle w:val="TableNumber"/>
            </w:pPr>
            <w:r>
              <w:t>0.0013–0.1396</w:t>
            </w:r>
          </w:p>
        </w:tc>
        <w:tc>
          <w:tcPr>
            <w:tcW w:w="1300" w:type="dxa"/>
            <w:vAlign w:val="center"/>
          </w:tcPr>
          <w:p>
            <w:pPr>
              <w:pStyle w:val="TableNumber"/>
            </w:pPr>
            <w:r>
              <w:t>55.19%</w:t>
            </w:r>
          </w:p>
        </w:tc>
        <w:tc>
          <w:tcPr>
            <w:tcW w:w="1210" w:type="dxa"/>
            <w:vAlign w:val="center"/>
          </w:tcPr>
          <w:p>
            <w:pPr>
              <w:pStyle w:val="TableNumber"/>
            </w:pPr>
            <w:r>
              <w:t>80.59%</w:t>
            </w:r>
          </w:p>
        </w:tc>
      </w:tr>
      <w:tr>
        <w:trPr>
          <w:cantSplit/>
        </w:trPr>
        <w:tc>
          <w:tcPr>
            <w:tcW w:w="1450" w:type="dxa"/>
            <w:vAlign w:val="center"/>
          </w:tcPr>
          <w:p>
            <w:pPr>
              <w:pStyle w:val="TableText"/>
            </w:pPr>
            <w:r>
              <w:t>TWSE</w:t>
            </w:r>
          </w:p>
        </w:tc>
        <w:tc>
          <w:tcPr>
            <w:tcW w:w="1000" w:type="dxa"/>
            <w:vAlign w:val="center"/>
          </w:tcPr>
          <w:p>
            <w:pPr>
              <w:pStyle w:val="TableNumber"/>
            </w:pPr>
            <w:r>
              <w:t>1,567</w:t>
            </w:r>
          </w:p>
        </w:tc>
        <w:tc>
          <w:tcPr>
            <w:tcW w:w="1250" w:type="dxa"/>
            <w:vAlign w:val="center"/>
          </w:tcPr>
          <w:p>
            <w:pPr>
              <w:pStyle w:val="TableNumber"/>
            </w:pPr>
            <w:r>
              <w:t>0.2167</w:t>
            </w:r>
          </w:p>
        </w:tc>
        <w:tc>
          <w:tcPr>
            <w:tcW w:w="1250" w:type="dxa"/>
            <w:vAlign w:val="center"/>
          </w:tcPr>
          <w:p>
            <w:pPr>
              <w:pStyle w:val="TableNumber"/>
            </w:pPr>
            <w:r>
              <w:t>0.0345</w:t>
            </w:r>
          </w:p>
        </w:tc>
        <w:tc>
          <w:tcPr>
            <w:tcW w:w="1900" w:type="dxa"/>
            <w:vAlign w:val="center"/>
          </w:tcPr>
          <w:p>
            <w:pPr>
              <w:pStyle w:val="TableNumber"/>
            </w:pPr>
            <w:r>
              <w:t>-0.0019–0.0767</w:t>
            </w:r>
          </w:p>
        </w:tc>
        <w:tc>
          <w:tcPr>
            <w:tcW w:w="1300" w:type="dxa"/>
            <w:vAlign w:val="center"/>
          </w:tcPr>
          <w:p>
            <w:pPr>
              <w:pStyle w:val="TableNumber"/>
            </w:pPr>
            <w:r>
              <w:t>59.17%</w:t>
            </w:r>
          </w:p>
        </w:tc>
        <w:tc>
          <w:tcPr>
            <w:tcW w:w="1210" w:type="dxa"/>
            <w:vAlign w:val="center"/>
          </w:tcPr>
          <w:p>
            <w:pPr>
              <w:pStyle w:val="TableNumber"/>
            </w:pPr>
            <w:r>
              <w:t>80.38%</w:t>
            </w:r>
          </w:p>
        </w:tc>
      </w:tr>
    </w:tbl>
    <w:p>
      <w:pPr>
        <w:pStyle w:val="Decision"/>
        <w:keepNext/>
        <w:spacing w:after="80"/>
      </w:pPr>
      <w:r>
        <w:t>Table 3 | Year slices across days 1–14</w:t>
      </w:r>
    </w:p>
    <w:tbl>
      <w:tblPr>
        <w:tblStyle w:val="BenchmarkTable"/>
        <w:tblW w:w="9360" w:type="dxa"/>
        <w:tblLayout w:type="fixed"/>
      </w:tblPr>
      <w:tblGrid>
        <w:gridCol w:w="1200"/>
        <w:gridCol w:w="1100"/>
        <w:gridCol w:w="1350"/>
        <w:gridCol w:w="1350"/>
        <w:gridCol w:w="1900"/>
        <w:gridCol w:w="1250"/>
        <w:gridCol w:w="1210"/>
      </w:tblGrid>
      <w:tr>
        <w:trPr>
          <w:tblHeader/>
        </w:trPr>
        <w:tc>
          <w:tcPr>
            <w:tcW w:w="1200" w:type="dxa"/>
            <w:shd w:val="clear" w:fill="DCE6F1"/>
            <w:vAlign w:val="center"/>
          </w:tcPr>
          <w:p>
            <w:pPr>
              <w:pStyle w:val="TableHeader"/>
            </w:pPr>
            <w:r>
              <w:t>Yr.</w:t>
            </w:r>
          </w:p>
        </w:tc>
        <w:tc>
          <w:tcPr>
            <w:tcW w:w="1100" w:type="dxa"/>
            <w:shd w:val="clear" w:fill="DCE6F1"/>
            <w:vAlign w:val="center"/>
          </w:tcPr>
          <w:p>
            <w:pPr>
              <w:pStyle w:val="TableHeader"/>
            </w:pPr>
            <w:r>
              <w:t>n</w:t>
            </w:r>
          </w:p>
        </w:tc>
        <w:tc>
          <w:tcPr>
            <w:tcW w:w="1350" w:type="dxa"/>
            <w:shd w:val="clear" w:fill="DCE6F1"/>
            <w:vAlign w:val="center"/>
          </w:tcPr>
          <w:p>
            <w:pPr>
              <w:pStyle w:val="TableHeader"/>
            </w:pPr>
            <w:r>
              <w:t>14H score</w:t>
            </w:r>
          </w:p>
        </w:tc>
        <w:tc>
          <w:tcPr>
            <w:tcW w:w="1350" w:type="dxa"/>
            <w:shd w:val="clear" w:fill="DCE6F1"/>
            <w:vAlign w:val="center"/>
          </w:tcPr>
          <w:p>
            <w:pPr>
              <w:pStyle w:val="TableHeader"/>
            </w:pPr>
            <w:r>
              <w:t>Mean corr.</w:t>
            </w:r>
          </w:p>
        </w:tc>
        <w:tc>
          <w:tcPr>
            <w:tcW w:w="19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210" w:type="dxa"/>
            <w:shd w:val="clear" w:fill="DCE6F1"/>
            <w:vAlign w:val="center"/>
          </w:tcPr>
          <w:p>
            <w:pPr>
              <w:pStyle w:val="TableHeader"/>
            </w:pPr>
            <w:r>
              <w:t>Mean coverage</w:t>
            </w:r>
          </w:p>
        </w:tc>
      </w:tr>
      <w:tr>
        <w:trPr>
          <w:cantSplit/>
        </w:trPr>
        <w:tc>
          <w:tcPr>
            <w:tcW w:w="1200" w:type="dxa"/>
            <w:vAlign w:val="center"/>
          </w:tcPr>
          <w:p>
            <w:pPr>
              <w:pStyle w:val="TableText"/>
            </w:pPr>
            <w:r>
              <w:t>2024</w:t>
            </w:r>
          </w:p>
        </w:tc>
        <w:tc>
          <w:tcPr>
            <w:tcW w:w="1100" w:type="dxa"/>
            <w:vAlign w:val="center"/>
          </w:tcPr>
          <w:p>
            <w:pPr>
              <w:pStyle w:val="TableNumber"/>
            </w:pPr>
            <w:r>
              <w:t>1,928</w:t>
            </w:r>
          </w:p>
        </w:tc>
        <w:tc>
          <w:tcPr>
            <w:tcW w:w="1350" w:type="dxa"/>
            <w:vAlign w:val="center"/>
          </w:tcPr>
          <w:p>
            <w:pPr>
              <w:pStyle w:val="TableNumber"/>
            </w:pPr>
            <w:r>
              <w:t>0.3178</w:t>
            </w:r>
          </w:p>
        </w:tc>
        <w:tc>
          <w:tcPr>
            <w:tcW w:w="1350" w:type="dxa"/>
            <w:vAlign w:val="center"/>
          </w:tcPr>
          <w:p>
            <w:pPr>
              <w:pStyle w:val="TableNumber"/>
            </w:pPr>
            <w:r>
              <w:t>0.0012</w:t>
            </w:r>
          </w:p>
        </w:tc>
        <w:tc>
          <w:tcPr>
            <w:tcW w:w="1900" w:type="dxa"/>
            <w:vAlign w:val="center"/>
          </w:tcPr>
          <w:p>
            <w:pPr>
              <w:pStyle w:val="TableNumber"/>
            </w:pPr>
            <w:r>
              <w:t>-0.0379–0.1100</w:t>
            </w:r>
          </w:p>
        </w:tc>
        <w:tc>
          <w:tcPr>
            <w:tcW w:w="1250" w:type="dxa"/>
            <w:vAlign w:val="center"/>
          </w:tcPr>
          <w:p>
            <w:pPr>
              <w:pStyle w:val="TableNumber"/>
            </w:pPr>
            <w:r>
              <w:t>46.85%</w:t>
            </w:r>
          </w:p>
        </w:tc>
        <w:tc>
          <w:tcPr>
            <w:tcW w:w="1210" w:type="dxa"/>
            <w:vAlign w:val="center"/>
          </w:tcPr>
          <w:p>
            <w:pPr>
              <w:pStyle w:val="TableNumber"/>
            </w:pPr>
            <w:r>
              <w:t>82.14%</w:t>
            </w:r>
          </w:p>
        </w:tc>
      </w:tr>
      <w:tr>
        <w:trPr>
          <w:cantSplit/>
        </w:trPr>
        <w:tc>
          <w:tcPr>
            <w:tcW w:w="1200" w:type="dxa"/>
            <w:vAlign w:val="center"/>
          </w:tcPr>
          <w:p>
            <w:pPr>
              <w:pStyle w:val="TableText"/>
            </w:pPr>
            <w:r>
              <w:t>2025</w:t>
            </w:r>
          </w:p>
        </w:tc>
        <w:tc>
          <w:tcPr>
            <w:tcW w:w="1100" w:type="dxa"/>
            <w:vAlign w:val="center"/>
          </w:tcPr>
          <w:p>
            <w:pPr>
              <w:pStyle w:val="TableNumber"/>
            </w:pPr>
            <w:r>
              <w:t>18,072</w:t>
            </w:r>
          </w:p>
        </w:tc>
        <w:tc>
          <w:tcPr>
            <w:tcW w:w="1350" w:type="dxa"/>
            <w:vAlign w:val="center"/>
          </w:tcPr>
          <w:p>
            <w:pPr>
              <w:pStyle w:val="TableNumber"/>
            </w:pPr>
            <w:r>
              <w:t>0.3144</w:t>
            </w:r>
          </w:p>
        </w:tc>
        <w:tc>
          <w:tcPr>
            <w:tcW w:w="1350" w:type="dxa"/>
            <w:vAlign w:val="center"/>
          </w:tcPr>
          <w:p>
            <w:pPr>
              <w:pStyle w:val="TableNumber"/>
            </w:pPr>
            <w:r>
              <w:t>0.0902</w:t>
            </w:r>
          </w:p>
        </w:tc>
        <w:tc>
          <w:tcPr>
            <w:tcW w:w="1900" w:type="dxa"/>
            <w:vAlign w:val="center"/>
          </w:tcPr>
          <w:p>
            <w:pPr>
              <w:pStyle w:val="TableNumber"/>
            </w:pPr>
            <w:r>
              <w:t>0.0413–0.1154</w:t>
            </w:r>
          </w:p>
        </w:tc>
        <w:tc>
          <w:tcPr>
            <w:tcW w:w="1250" w:type="dxa"/>
            <w:vAlign w:val="center"/>
          </w:tcPr>
          <w:p>
            <w:pPr>
              <w:pStyle w:val="TableNumber"/>
            </w:pPr>
            <w:r>
              <w:t>54.66%</w:t>
            </w:r>
          </w:p>
        </w:tc>
        <w:tc>
          <w:tcPr>
            <w:tcW w:w="1210" w:type="dxa"/>
            <w:vAlign w:val="center"/>
          </w:tcPr>
          <w:p>
            <w:pPr>
              <w:pStyle w:val="TableNumber"/>
            </w:pPr>
            <w:r>
              <w:t>78.41%</w:t>
            </w:r>
          </w:p>
        </w:tc>
      </w:tr>
    </w:tbl>
    <w:p>
      <w:pPr>
        <w:pStyle w:val="Lead"/>
      </w:pPr>
      <w:r>
        <w:t>The 2024 slice has mean 14-horizon correlation of only 0.0012 and mean direction agreement of 46.85%, versus 0.0902 and 54.66% in 2025. Because sample counts are 1,928 and 18,072, this is a Stage 2 rolling/regime risk to investigate, not proof that the model completely failed in 2024 or is deployable in 2025.</w:t>
      </w:r>
    </w:p>
    <w:p>
      <w:pPr>
        <w:pStyle w:val="11"/>
      </w:pPr>
      <w:r>
        <w:t>7. Derived signals: readable labels made from q values</w:t>
      </w:r>
    </w:p>
    <w:p>
      <w:pPr>
        <w:pStyle w:val="31"/>
      </w:pPr>
      <w:r>
        <w:t>7.1 strong_bearish / bearish / neutral / bullish / strong_bullish</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These names are rule labels created by comparing q values with threshold theta. The model does not emit five class probabilities.</w:t>
            </w:r>
          </w:p>
        </w:tc>
      </w:tr>
      <w:tr>
        <w:trPr>
          <w:cantSplit/>
        </w:trPr>
        <w:tc>
          <w:tcPr>
            <w:tcW w:w="1900" w:type="dxa"/>
            <w:vAlign w:val="center"/>
          </w:tcPr>
          <w:p>
            <w:pPr>
              <w:pStyle w:val="TableText"/>
            </w:pPr>
            <w:r>
              <w:t>Stock-market example</w:t>
            </w:r>
          </w:p>
        </w:tc>
        <w:tc>
          <w:tcPr>
            <w:tcW w:w="7460" w:type="dxa"/>
            <w:vAlign w:val="center"/>
          </w:tcPr>
          <w:p>
            <w:pPr>
              <w:pStyle w:val="TableText"/>
            </w:pPr>
            <w:r>
              <w:t>q=[−0.12,−0.06,−0.01] is strong_bearish because even q90 is below zero. A speculative stock with [−0.08,−0.01,+0.25] is bearish, not strong. q=[+0.02,+0.05,+0.09] is strong_bullish because q10 is above zero.</w:t>
            </w:r>
          </w:p>
        </w:tc>
      </w:tr>
      <w:tr>
        <w:trPr>
          <w:cantSplit/>
        </w:trPr>
        <w:tc>
          <w:tcPr>
            <w:tcW w:w="1900" w:type="dxa"/>
            <w:vAlign w:val="center"/>
          </w:tcPr>
          <w:p>
            <w:pPr>
              <w:pStyle w:val="TableText"/>
            </w:pPr>
            <w:r>
              <w:t>Exact calculation</w:t>
            </w:r>
          </w:p>
        </w:tc>
        <w:tc>
          <w:tcPr>
            <w:tcW w:w="7460" w:type="dxa"/>
            <w:vAlign w:val="center"/>
          </w:tcPr>
          <w:p>
            <w:pPr>
              <w:pStyle w:val="TableText"/>
            </w:pPr>
            <w:r>
              <w:t>Initialize neutral; q50&lt;−theta → bearish; q90&lt;−theta overrides to strong_bearish; q50&gt;theta → bullish; q10&gt;theta overrides to strong_bullish. Inequalities are strict. This run uses theta=0.</w:t>
            </w:r>
          </w:p>
        </w:tc>
      </w:tr>
      <w:tr>
        <w:trPr>
          <w:cantSplit/>
        </w:trPr>
        <w:tc>
          <w:tcPr>
            <w:tcW w:w="1900" w:type="dxa"/>
            <w:vAlign w:val="center"/>
          </w:tcPr>
          <w:p>
            <w:pPr>
              <w:pStyle w:val="TableText"/>
            </w:pPr>
            <w:r>
              <w:t>How to read it</w:t>
            </w:r>
          </w:p>
        </w:tc>
        <w:tc>
          <w:tcPr>
            <w:tcW w:w="7460" w:type="dxa"/>
            <w:vAlign w:val="center"/>
          </w:tcPr>
          <w:p>
            <w:pPr>
              <w:pStyle w:val="TableText"/>
            </w:pPr>
            <w:r>
              <w:t>Strong means the full q10–q90 interval is on one side of zero. Ordinary bullish/bearish means q50 has a direction while the interval still crosses zero.</w:t>
            </w:r>
          </w:p>
        </w:tc>
      </w:tr>
      <w:tr>
        <w:trPr>
          <w:cantSplit/>
        </w:trPr>
        <w:tc>
          <w:tcPr>
            <w:tcW w:w="1900" w:type="dxa"/>
            <w:vAlign w:val="center"/>
          </w:tcPr>
          <w:p>
            <w:pPr>
              <w:pStyle w:val="TableText"/>
            </w:pPr>
            <w:r>
              <w:t>Current run</w:t>
            </w:r>
          </w:p>
        </w:tc>
        <w:tc>
          <w:tcPr>
            <w:tcW w:w="7460" w:type="dxa"/>
            <w:vAlign w:val="center"/>
          </w:tcPr>
          <w:p>
            <w:pPr>
              <w:pStyle w:val="TableText"/>
            </w:pPr>
            <w:r>
              <w:t>All 14 horizons have zero strong_bearish and zero strong_bullish. Bearish share rises from 56.33% at day 1 to 97.27% at day 12 and is 95.59% at day 14.</w:t>
            </w:r>
          </w:p>
        </w:tc>
      </w:tr>
      <w:tr>
        <w:trPr>
          <w:cantSplit/>
        </w:trPr>
        <w:tc>
          <w:tcPr>
            <w:tcW w:w="1900" w:type="dxa"/>
            <w:vAlign w:val="center"/>
          </w:tcPr>
          <w:p>
            <w:pPr>
              <w:pStyle w:val="TableText"/>
            </w:pPr>
            <w:r>
              <w:t>Do not conclude</w:t>
            </w:r>
          </w:p>
        </w:tc>
        <w:tc>
          <w:tcPr>
            <w:tcW w:w="7460" w:type="dxa"/>
            <w:vAlign w:val="center"/>
          </w:tcPr>
          <w:p>
            <w:pPr>
              <w:pStyle w:val="TableText"/>
            </w:pPr>
            <w:r>
              <w:t>Bearish share of 87% is not an 87% probability of decline and does not prescribe an 87% short allocation. Threshold and position mapping must be fixed on validation.</w:t>
            </w:r>
          </w:p>
        </w:tc>
      </w:tr>
      <w:tr>
        <w:trPr>
          <w:cantSplit/>
        </w:trPr>
        <w:tc>
          <w:tcPr>
            <w:tcW w:w="1900" w:type="dxa"/>
            <w:vAlign w:val="center"/>
          </w:tcPr>
          <w:p>
            <w:pPr>
              <w:pStyle w:val="TableText"/>
            </w:pPr>
            <w:r>
              <w:t>Read together with</w:t>
            </w:r>
          </w:p>
        </w:tc>
        <w:tc>
          <w:tcPr>
            <w:tcW w:w="7460" w:type="dxa"/>
            <w:vAlign w:val="center"/>
          </w:tcPr>
          <w:p>
            <w:pPr>
              <w:pStyle w:val="TableText"/>
            </w:pPr>
            <w:r>
              <w:t>Raw q10/q50/q90, coverage, zero crossing, and portfolio risk limits.</w:t>
            </w:r>
          </w:p>
        </w:tc>
      </w:tr>
    </w:tbl>
    <w:tbl>
      <w:tblPr>
        <w:tblStyle w:val="BenchmarkTable"/>
        <w:tblW w:w="9360" w:type="dxa"/>
        <w:tblLayout w:type="fixed"/>
      </w:tblPr>
      <w:tblGrid>
        <w:gridCol w:w="700"/>
        <w:gridCol w:w="1750"/>
        <w:gridCol w:w="1650"/>
        <w:gridCol w:w="1650"/>
        <w:gridCol w:w="1650"/>
        <w:gridCol w:w="1960"/>
      </w:tblGrid>
      <w:tr>
        <w:trPr>
          <w:tblHeader/>
        </w:trPr>
        <w:tc>
          <w:tcPr>
            <w:tcW w:w="700" w:type="dxa"/>
            <w:shd w:val="clear" w:fill="DCE6F1"/>
            <w:vAlign w:val="center"/>
          </w:tcPr>
          <w:p>
            <w:pPr>
              <w:pStyle w:val="TableHeader"/>
            </w:pPr>
            <w:r>
              <w:t>H</w:t>
            </w:r>
          </w:p>
        </w:tc>
        <w:tc>
          <w:tcPr>
            <w:tcW w:w="1750" w:type="dxa"/>
            <w:shd w:val="clear" w:fill="DCE6F1"/>
            <w:vAlign w:val="center"/>
          </w:tcPr>
          <w:p>
            <w:pPr>
              <w:pStyle w:val="TableHeader"/>
            </w:pPr>
            <w:r>
              <w:t>Strong bear</w:t>
            </w:r>
          </w:p>
        </w:tc>
        <w:tc>
          <w:tcPr>
            <w:tcW w:w="1650" w:type="dxa"/>
            <w:shd w:val="clear" w:fill="DCE6F1"/>
            <w:vAlign w:val="center"/>
          </w:tcPr>
          <w:p>
            <w:pPr>
              <w:pStyle w:val="TableHeader"/>
            </w:pPr>
            <w:r>
              <w:t>Bearish</w:t>
            </w:r>
          </w:p>
        </w:tc>
        <w:tc>
          <w:tcPr>
            <w:tcW w:w="1650" w:type="dxa"/>
            <w:shd w:val="clear" w:fill="DCE6F1"/>
            <w:vAlign w:val="center"/>
          </w:tcPr>
          <w:p>
            <w:pPr>
              <w:pStyle w:val="TableHeader"/>
            </w:pPr>
            <w:r>
              <w:t>Neutral</w:t>
            </w:r>
          </w:p>
        </w:tc>
        <w:tc>
          <w:tcPr>
            <w:tcW w:w="1650" w:type="dxa"/>
            <w:shd w:val="clear" w:fill="DCE6F1"/>
            <w:vAlign w:val="center"/>
          </w:tcPr>
          <w:p>
            <w:pPr>
              <w:pStyle w:val="TableHeader"/>
            </w:pPr>
            <w:r>
              <w:t>Bullish</w:t>
            </w:r>
          </w:p>
        </w:tc>
        <w:tc>
          <w:tcPr>
            <w:tcW w:w="1960" w:type="dxa"/>
            <w:shd w:val="clear" w:fill="DCE6F1"/>
            <w:vAlign w:val="center"/>
          </w:tcPr>
          <w:p>
            <w:pPr>
              <w:pStyle w:val="TableHeader"/>
            </w:pPr>
            <w:r>
              <w:t>Strong bull</w:t>
            </w:r>
          </w:p>
        </w:tc>
      </w:tr>
      <w:tr>
        <w:trPr>
          <w:cantSplit/>
        </w:trPr>
        <w:tc>
          <w:tcPr>
            <w:tcW w:w="700" w:type="dxa"/>
            <w:vAlign w:val="center"/>
          </w:tcPr>
          <w:p>
            <w:pPr>
              <w:pStyle w:val="TableText"/>
            </w:pPr>
            <w:r>
              <w:t>1d</w:t>
            </w:r>
          </w:p>
        </w:tc>
        <w:tc>
          <w:tcPr>
            <w:tcW w:w="1750" w:type="dxa"/>
            <w:vAlign w:val="center"/>
          </w:tcPr>
          <w:p>
            <w:pPr>
              <w:pStyle w:val="TableNumber"/>
            </w:pPr>
            <w:r>
              <w:t>0.00%</w:t>
            </w:r>
          </w:p>
        </w:tc>
        <w:tc>
          <w:tcPr>
            <w:tcW w:w="1650" w:type="dxa"/>
            <w:vAlign w:val="center"/>
          </w:tcPr>
          <w:p>
            <w:pPr>
              <w:pStyle w:val="TableNumber"/>
            </w:pPr>
            <w:r>
              <w:t>56.33%</w:t>
            </w:r>
          </w:p>
        </w:tc>
        <w:tc>
          <w:tcPr>
            <w:tcW w:w="1650" w:type="dxa"/>
            <w:vAlign w:val="center"/>
          </w:tcPr>
          <w:p>
            <w:pPr>
              <w:pStyle w:val="TableNumber"/>
            </w:pPr>
            <w:r>
              <w:t>6.57%</w:t>
            </w:r>
          </w:p>
        </w:tc>
        <w:tc>
          <w:tcPr>
            <w:tcW w:w="1650" w:type="dxa"/>
            <w:vAlign w:val="center"/>
          </w:tcPr>
          <w:p>
            <w:pPr>
              <w:pStyle w:val="TableNumber"/>
            </w:pPr>
            <w:r>
              <w:t>37.10%</w:t>
            </w:r>
          </w:p>
        </w:tc>
        <w:tc>
          <w:tcPr>
            <w:tcW w:w="1960" w:type="dxa"/>
            <w:vAlign w:val="center"/>
          </w:tcPr>
          <w:p>
            <w:pPr>
              <w:pStyle w:val="TableNumber"/>
            </w:pPr>
            <w:r>
              <w:t>0.00%</w:t>
            </w:r>
          </w:p>
        </w:tc>
      </w:tr>
      <w:tr>
        <w:trPr>
          <w:cantSplit/>
        </w:trPr>
        <w:tc>
          <w:tcPr>
            <w:tcW w:w="700" w:type="dxa"/>
            <w:vAlign w:val="center"/>
          </w:tcPr>
          <w:p>
            <w:pPr>
              <w:pStyle w:val="TableText"/>
            </w:pPr>
            <w:r>
              <w:t>2d</w:t>
            </w:r>
          </w:p>
        </w:tc>
        <w:tc>
          <w:tcPr>
            <w:tcW w:w="1750" w:type="dxa"/>
            <w:vAlign w:val="center"/>
          </w:tcPr>
          <w:p>
            <w:pPr>
              <w:pStyle w:val="TableNumber"/>
            </w:pPr>
            <w:r>
              <w:t>0.00%</w:t>
            </w:r>
          </w:p>
        </w:tc>
        <w:tc>
          <w:tcPr>
            <w:tcW w:w="1650" w:type="dxa"/>
            <w:vAlign w:val="center"/>
          </w:tcPr>
          <w:p>
            <w:pPr>
              <w:pStyle w:val="TableNumber"/>
            </w:pPr>
            <w:r>
              <w:t>64.67%</w:t>
            </w:r>
          </w:p>
        </w:tc>
        <w:tc>
          <w:tcPr>
            <w:tcW w:w="1650" w:type="dxa"/>
            <w:vAlign w:val="center"/>
          </w:tcPr>
          <w:p>
            <w:pPr>
              <w:pStyle w:val="TableNumber"/>
            </w:pPr>
            <w:r>
              <w:t>4.58%</w:t>
            </w:r>
          </w:p>
        </w:tc>
        <w:tc>
          <w:tcPr>
            <w:tcW w:w="1650" w:type="dxa"/>
            <w:vAlign w:val="center"/>
          </w:tcPr>
          <w:p>
            <w:pPr>
              <w:pStyle w:val="TableNumber"/>
            </w:pPr>
            <w:r>
              <w:t>30.75%</w:t>
            </w:r>
          </w:p>
        </w:tc>
        <w:tc>
          <w:tcPr>
            <w:tcW w:w="1960" w:type="dxa"/>
            <w:vAlign w:val="center"/>
          </w:tcPr>
          <w:p>
            <w:pPr>
              <w:pStyle w:val="TableNumber"/>
            </w:pPr>
            <w:r>
              <w:t>0.00%</w:t>
            </w:r>
          </w:p>
        </w:tc>
      </w:tr>
      <w:tr>
        <w:trPr>
          <w:cantSplit/>
        </w:trPr>
        <w:tc>
          <w:tcPr>
            <w:tcW w:w="700" w:type="dxa"/>
            <w:vAlign w:val="center"/>
          </w:tcPr>
          <w:p>
            <w:pPr>
              <w:pStyle w:val="TableText"/>
            </w:pPr>
            <w:r>
              <w:t>3d</w:t>
            </w:r>
          </w:p>
        </w:tc>
        <w:tc>
          <w:tcPr>
            <w:tcW w:w="1750" w:type="dxa"/>
            <w:vAlign w:val="center"/>
          </w:tcPr>
          <w:p>
            <w:pPr>
              <w:pStyle w:val="TableNumber"/>
            </w:pPr>
            <w:r>
              <w:t>0.00%</w:t>
            </w:r>
          </w:p>
        </w:tc>
        <w:tc>
          <w:tcPr>
            <w:tcW w:w="1650" w:type="dxa"/>
            <w:vAlign w:val="center"/>
          </w:tcPr>
          <w:p>
            <w:pPr>
              <w:pStyle w:val="TableNumber"/>
            </w:pPr>
            <w:r>
              <w:t>77.09%</w:t>
            </w:r>
          </w:p>
        </w:tc>
        <w:tc>
          <w:tcPr>
            <w:tcW w:w="1650" w:type="dxa"/>
            <w:vAlign w:val="center"/>
          </w:tcPr>
          <w:p>
            <w:pPr>
              <w:pStyle w:val="TableNumber"/>
            </w:pPr>
            <w:r>
              <w:t>3.48%</w:t>
            </w:r>
          </w:p>
        </w:tc>
        <w:tc>
          <w:tcPr>
            <w:tcW w:w="1650" w:type="dxa"/>
            <w:vAlign w:val="center"/>
          </w:tcPr>
          <w:p>
            <w:pPr>
              <w:pStyle w:val="TableNumber"/>
            </w:pPr>
            <w:r>
              <w:t>19.43%</w:t>
            </w:r>
          </w:p>
        </w:tc>
        <w:tc>
          <w:tcPr>
            <w:tcW w:w="1960" w:type="dxa"/>
            <w:vAlign w:val="center"/>
          </w:tcPr>
          <w:p>
            <w:pPr>
              <w:pStyle w:val="TableNumber"/>
            </w:pPr>
            <w:r>
              <w:t>0.00%</w:t>
            </w:r>
          </w:p>
        </w:tc>
      </w:tr>
      <w:tr>
        <w:trPr>
          <w:cantSplit/>
        </w:trPr>
        <w:tc>
          <w:tcPr>
            <w:tcW w:w="700" w:type="dxa"/>
            <w:vAlign w:val="center"/>
          </w:tcPr>
          <w:p>
            <w:pPr>
              <w:pStyle w:val="TableText"/>
            </w:pPr>
            <w:r>
              <w:t>4d</w:t>
            </w:r>
          </w:p>
        </w:tc>
        <w:tc>
          <w:tcPr>
            <w:tcW w:w="1750" w:type="dxa"/>
            <w:vAlign w:val="center"/>
          </w:tcPr>
          <w:p>
            <w:pPr>
              <w:pStyle w:val="TableNumber"/>
            </w:pPr>
            <w:r>
              <w:t>0.00%</w:t>
            </w:r>
          </w:p>
        </w:tc>
        <w:tc>
          <w:tcPr>
            <w:tcW w:w="1650" w:type="dxa"/>
            <w:vAlign w:val="center"/>
          </w:tcPr>
          <w:p>
            <w:pPr>
              <w:pStyle w:val="TableNumber"/>
            </w:pPr>
            <w:r>
              <w:t>82.49%</w:t>
            </w:r>
          </w:p>
        </w:tc>
        <w:tc>
          <w:tcPr>
            <w:tcW w:w="1650" w:type="dxa"/>
            <w:vAlign w:val="center"/>
          </w:tcPr>
          <w:p>
            <w:pPr>
              <w:pStyle w:val="TableNumber"/>
            </w:pPr>
            <w:r>
              <w:t>2.79%</w:t>
            </w:r>
          </w:p>
        </w:tc>
        <w:tc>
          <w:tcPr>
            <w:tcW w:w="1650" w:type="dxa"/>
            <w:vAlign w:val="center"/>
          </w:tcPr>
          <w:p>
            <w:pPr>
              <w:pStyle w:val="TableNumber"/>
            </w:pPr>
            <w:r>
              <w:t>14.71%</w:t>
            </w:r>
          </w:p>
        </w:tc>
        <w:tc>
          <w:tcPr>
            <w:tcW w:w="1960" w:type="dxa"/>
            <w:vAlign w:val="center"/>
          </w:tcPr>
          <w:p>
            <w:pPr>
              <w:pStyle w:val="TableNumber"/>
            </w:pPr>
            <w:r>
              <w:t>0.00%</w:t>
            </w:r>
          </w:p>
        </w:tc>
      </w:tr>
      <w:tr>
        <w:trPr>
          <w:cantSplit/>
        </w:trPr>
        <w:tc>
          <w:tcPr>
            <w:tcW w:w="700" w:type="dxa"/>
            <w:vAlign w:val="center"/>
          </w:tcPr>
          <w:p>
            <w:pPr>
              <w:pStyle w:val="TableText"/>
            </w:pPr>
            <w:r>
              <w:t>5d</w:t>
            </w:r>
          </w:p>
        </w:tc>
        <w:tc>
          <w:tcPr>
            <w:tcW w:w="1750" w:type="dxa"/>
            <w:vAlign w:val="center"/>
          </w:tcPr>
          <w:p>
            <w:pPr>
              <w:pStyle w:val="TableNumber"/>
            </w:pPr>
            <w:r>
              <w:t>0.00%</w:t>
            </w:r>
          </w:p>
        </w:tc>
        <w:tc>
          <w:tcPr>
            <w:tcW w:w="1650" w:type="dxa"/>
            <w:vAlign w:val="center"/>
          </w:tcPr>
          <w:p>
            <w:pPr>
              <w:pStyle w:val="TableNumber"/>
            </w:pPr>
            <w:r>
              <w:t>87.74%</w:t>
            </w:r>
          </w:p>
        </w:tc>
        <w:tc>
          <w:tcPr>
            <w:tcW w:w="1650" w:type="dxa"/>
            <w:vAlign w:val="center"/>
          </w:tcPr>
          <w:p>
            <w:pPr>
              <w:pStyle w:val="TableNumber"/>
            </w:pPr>
            <w:r>
              <w:t>1.83%</w:t>
            </w:r>
          </w:p>
        </w:tc>
        <w:tc>
          <w:tcPr>
            <w:tcW w:w="1650" w:type="dxa"/>
            <w:vAlign w:val="center"/>
          </w:tcPr>
          <w:p>
            <w:pPr>
              <w:pStyle w:val="TableNumber"/>
            </w:pPr>
            <w:r>
              <w:t>10.42%</w:t>
            </w:r>
          </w:p>
        </w:tc>
        <w:tc>
          <w:tcPr>
            <w:tcW w:w="1960" w:type="dxa"/>
            <w:vAlign w:val="center"/>
          </w:tcPr>
          <w:p>
            <w:pPr>
              <w:pStyle w:val="TableNumber"/>
            </w:pPr>
            <w:r>
              <w:t>0.00%</w:t>
            </w:r>
          </w:p>
        </w:tc>
      </w:tr>
      <w:tr>
        <w:trPr>
          <w:cantSplit/>
        </w:trPr>
        <w:tc>
          <w:tcPr>
            <w:tcW w:w="700" w:type="dxa"/>
            <w:vAlign w:val="center"/>
          </w:tcPr>
          <w:p>
            <w:pPr>
              <w:pStyle w:val="TableText"/>
            </w:pPr>
            <w:r>
              <w:t>6d</w:t>
            </w:r>
          </w:p>
        </w:tc>
        <w:tc>
          <w:tcPr>
            <w:tcW w:w="1750" w:type="dxa"/>
            <w:vAlign w:val="center"/>
          </w:tcPr>
          <w:p>
            <w:pPr>
              <w:pStyle w:val="TableNumber"/>
            </w:pPr>
            <w:r>
              <w:t>0.00%</w:t>
            </w:r>
          </w:p>
        </w:tc>
        <w:tc>
          <w:tcPr>
            <w:tcW w:w="1650" w:type="dxa"/>
            <w:vAlign w:val="center"/>
          </w:tcPr>
          <w:p>
            <w:pPr>
              <w:pStyle w:val="TableNumber"/>
            </w:pPr>
            <w:r>
              <w:t>91.94%</w:t>
            </w:r>
          </w:p>
        </w:tc>
        <w:tc>
          <w:tcPr>
            <w:tcW w:w="1650" w:type="dxa"/>
            <w:vAlign w:val="center"/>
          </w:tcPr>
          <w:p>
            <w:pPr>
              <w:pStyle w:val="TableNumber"/>
            </w:pPr>
            <w:r>
              <w:t>1.31%</w:t>
            </w:r>
          </w:p>
        </w:tc>
        <w:tc>
          <w:tcPr>
            <w:tcW w:w="1650" w:type="dxa"/>
            <w:vAlign w:val="center"/>
          </w:tcPr>
          <w:p>
            <w:pPr>
              <w:pStyle w:val="TableNumber"/>
            </w:pPr>
            <w:r>
              <w:t>6.74%</w:t>
            </w:r>
          </w:p>
        </w:tc>
        <w:tc>
          <w:tcPr>
            <w:tcW w:w="1960" w:type="dxa"/>
            <w:vAlign w:val="center"/>
          </w:tcPr>
          <w:p>
            <w:pPr>
              <w:pStyle w:val="TableNumber"/>
            </w:pPr>
            <w:r>
              <w:t>0.00%</w:t>
            </w:r>
          </w:p>
        </w:tc>
      </w:tr>
      <w:tr>
        <w:trPr>
          <w:cantSplit/>
        </w:trPr>
        <w:tc>
          <w:tcPr>
            <w:tcW w:w="700" w:type="dxa"/>
            <w:vAlign w:val="center"/>
          </w:tcPr>
          <w:p>
            <w:pPr>
              <w:pStyle w:val="TableText"/>
            </w:pPr>
            <w:r>
              <w:t>7d</w:t>
            </w:r>
          </w:p>
        </w:tc>
        <w:tc>
          <w:tcPr>
            <w:tcW w:w="1750" w:type="dxa"/>
            <w:vAlign w:val="center"/>
          </w:tcPr>
          <w:p>
            <w:pPr>
              <w:pStyle w:val="TableNumber"/>
            </w:pPr>
            <w:r>
              <w:t>0.00%</w:t>
            </w:r>
          </w:p>
        </w:tc>
        <w:tc>
          <w:tcPr>
            <w:tcW w:w="1650" w:type="dxa"/>
            <w:vAlign w:val="center"/>
          </w:tcPr>
          <w:p>
            <w:pPr>
              <w:pStyle w:val="TableNumber"/>
            </w:pPr>
            <w:r>
              <w:t>94.67%</w:t>
            </w:r>
          </w:p>
        </w:tc>
        <w:tc>
          <w:tcPr>
            <w:tcW w:w="1650" w:type="dxa"/>
            <w:vAlign w:val="center"/>
          </w:tcPr>
          <w:p>
            <w:pPr>
              <w:pStyle w:val="TableNumber"/>
            </w:pPr>
            <w:r>
              <w:t>0.92%</w:t>
            </w:r>
          </w:p>
        </w:tc>
        <w:tc>
          <w:tcPr>
            <w:tcW w:w="1650" w:type="dxa"/>
            <w:vAlign w:val="center"/>
          </w:tcPr>
          <w:p>
            <w:pPr>
              <w:pStyle w:val="TableNumber"/>
            </w:pPr>
            <w:r>
              <w:t>4.42%</w:t>
            </w:r>
          </w:p>
        </w:tc>
        <w:tc>
          <w:tcPr>
            <w:tcW w:w="1960" w:type="dxa"/>
            <w:vAlign w:val="center"/>
          </w:tcPr>
          <w:p>
            <w:pPr>
              <w:pStyle w:val="TableNumber"/>
            </w:pPr>
            <w:r>
              <w:t>0.00%</w:t>
            </w:r>
          </w:p>
        </w:tc>
      </w:tr>
      <w:tr>
        <w:trPr>
          <w:cantSplit/>
        </w:trPr>
        <w:tc>
          <w:tcPr>
            <w:tcW w:w="700" w:type="dxa"/>
            <w:vAlign w:val="center"/>
          </w:tcPr>
          <w:p>
            <w:pPr>
              <w:pStyle w:val="TableText"/>
            </w:pPr>
            <w:r>
              <w:t>8d</w:t>
            </w:r>
          </w:p>
        </w:tc>
        <w:tc>
          <w:tcPr>
            <w:tcW w:w="1750" w:type="dxa"/>
            <w:vAlign w:val="center"/>
          </w:tcPr>
          <w:p>
            <w:pPr>
              <w:pStyle w:val="TableNumber"/>
            </w:pPr>
            <w:r>
              <w:t>0.00%</w:t>
            </w:r>
          </w:p>
        </w:tc>
        <w:tc>
          <w:tcPr>
            <w:tcW w:w="1650" w:type="dxa"/>
            <w:vAlign w:val="center"/>
          </w:tcPr>
          <w:p>
            <w:pPr>
              <w:pStyle w:val="TableNumber"/>
            </w:pPr>
            <w:r>
              <w:t>94.27%</w:t>
            </w:r>
          </w:p>
        </w:tc>
        <w:tc>
          <w:tcPr>
            <w:tcW w:w="1650" w:type="dxa"/>
            <w:vAlign w:val="center"/>
          </w:tcPr>
          <w:p>
            <w:pPr>
              <w:pStyle w:val="TableNumber"/>
            </w:pPr>
            <w:r>
              <w:t>0.97%</w:t>
            </w:r>
          </w:p>
        </w:tc>
        <w:tc>
          <w:tcPr>
            <w:tcW w:w="1650" w:type="dxa"/>
            <w:vAlign w:val="center"/>
          </w:tcPr>
          <w:p>
            <w:pPr>
              <w:pStyle w:val="TableNumber"/>
            </w:pPr>
            <w:r>
              <w:t>4.75%</w:t>
            </w:r>
          </w:p>
        </w:tc>
        <w:tc>
          <w:tcPr>
            <w:tcW w:w="1960" w:type="dxa"/>
            <w:vAlign w:val="center"/>
          </w:tcPr>
          <w:p>
            <w:pPr>
              <w:pStyle w:val="TableNumber"/>
            </w:pPr>
            <w:r>
              <w:t>0.00%</w:t>
            </w:r>
          </w:p>
        </w:tc>
      </w:tr>
      <w:tr>
        <w:trPr>
          <w:cantSplit/>
        </w:trPr>
        <w:tc>
          <w:tcPr>
            <w:tcW w:w="700" w:type="dxa"/>
            <w:vAlign w:val="center"/>
          </w:tcPr>
          <w:p>
            <w:pPr>
              <w:pStyle w:val="TableText"/>
            </w:pPr>
            <w:r>
              <w:t>9d</w:t>
            </w:r>
          </w:p>
        </w:tc>
        <w:tc>
          <w:tcPr>
            <w:tcW w:w="1750" w:type="dxa"/>
            <w:vAlign w:val="center"/>
          </w:tcPr>
          <w:p>
            <w:pPr>
              <w:pStyle w:val="TableNumber"/>
            </w:pPr>
            <w:r>
              <w:t>0.00%</w:t>
            </w:r>
          </w:p>
        </w:tc>
        <w:tc>
          <w:tcPr>
            <w:tcW w:w="1650" w:type="dxa"/>
            <w:vAlign w:val="center"/>
          </w:tcPr>
          <w:p>
            <w:pPr>
              <w:pStyle w:val="TableNumber"/>
            </w:pPr>
            <w:r>
              <w:t>95.23%</w:t>
            </w:r>
          </w:p>
        </w:tc>
        <w:tc>
          <w:tcPr>
            <w:tcW w:w="1650" w:type="dxa"/>
            <w:vAlign w:val="center"/>
          </w:tcPr>
          <w:p>
            <w:pPr>
              <w:pStyle w:val="TableNumber"/>
            </w:pPr>
            <w:r>
              <w:t>0.92%</w:t>
            </w:r>
          </w:p>
        </w:tc>
        <w:tc>
          <w:tcPr>
            <w:tcW w:w="1650" w:type="dxa"/>
            <w:vAlign w:val="center"/>
          </w:tcPr>
          <w:p>
            <w:pPr>
              <w:pStyle w:val="TableNumber"/>
            </w:pPr>
            <w:r>
              <w:t>3.84%</w:t>
            </w:r>
          </w:p>
        </w:tc>
        <w:tc>
          <w:tcPr>
            <w:tcW w:w="1960" w:type="dxa"/>
            <w:vAlign w:val="center"/>
          </w:tcPr>
          <w:p>
            <w:pPr>
              <w:pStyle w:val="TableNumber"/>
            </w:pPr>
            <w:r>
              <w:t>0.00%</w:t>
            </w:r>
          </w:p>
        </w:tc>
      </w:tr>
      <w:tr>
        <w:trPr>
          <w:cantSplit/>
        </w:trPr>
        <w:tc>
          <w:tcPr>
            <w:tcW w:w="700" w:type="dxa"/>
            <w:vAlign w:val="center"/>
          </w:tcPr>
          <w:p>
            <w:pPr>
              <w:pStyle w:val="TableText"/>
            </w:pPr>
            <w:r>
              <w:t>10d</w:t>
            </w:r>
          </w:p>
        </w:tc>
        <w:tc>
          <w:tcPr>
            <w:tcW w:w="1750" w:type="dxa"/>
            <w:vAlign w:val="center"/>
          </w:tcPr>
          <w:p>
            <w:pPr>
              <w:pStyle w:val="TableNumber"/>
            </w:pPr>
            <w:r>
              <w:t>0.00%</w:t>
            </w:r>
          </w:p>
        </w:tc>
        <w:tc>
          <w:tcPr>
            <w:tcW w:w="1650" w:type="dxa"/>
            <w:vAlign w:val="center"/>
          </w:tcPr>
          <w:p>
            <w:pPr>
              <w:pStyle w:val="TableNumber"/>
            </w:pPr>
            <w:r>
              <w:t>95.22%</w:t>
            </w:r>
          </w:p>
        </w:tc>
        <w:tc>
          <w:tcPr>
            <w:tcW w:w="1650" w:type="dxa"/>
            <w:vAlign w:val="center"/>
          </w:tcPr>
          <w:p>
            <w:pPr>
              <w:pStyle w:val="TableNumber"/>
            </w:pPr>
            <w:r>
              <w:t>0.64%</w:t>
            </w:r>
          </w:p>
        </w:tc>
        <w:tc>
          <w:tcPr>
            <w:tcW w:w="1650" w:type="dxa"/>
            <w:vAlign w:val="center"/>
          </w:tcPr>
          <w:p>
            <w:pPr>
              <w:pStyle w:val="TableNumber"/>
            </w:pPr>
            <w:r>
              <w:t>4.15%</w:t>
            </w:r>
          </w:p>
        </w:tc>
        <w:tc>
          <w:tcPr>
            <w:tcW w:w="1960" w:type="dxa"/>
            <w:vAlign w:val="center"/>
          </w:tcPr>
          <w:p>
            <w:pPr>
              <w:pStyle w:val="TableNumber"/>
            </w:pPr>
            <w:r>
              <w:t>0.00%</w:t>
            </w:r>
          </w:p>
        </w:tc>
      </w:tr>
      <w:tr>
        <w:trPr>
          <w:cantSplit/>
        </w:trPr>
        <w:tc>
          <w:tcPr>
            <w:tcW w:w="700" w:type="dxa"/>
            <w:vAlign w:val="center"/>
          </w:tcPr>
          <w:p>
            <w:pPr>
              <w:pStyle w:val="TableText"/>
            </w:pPr>
            <w:r>
              <w:t>11d</w:t>
            </w:r>
          </w:p>
        </w:tc>
        <w:tc>
          <w:tcPr>
            <w:tcW w:w="1750" w:type="dxa"/>
            <w:vAlign w:val="center"/>
          </w:tcPr>
          <w:p>
            <w:pPr>
              <w:pStyle w:val="TableNumber"/>
            </w:pPr>
            <w:r>
              <w:t>0.00%</w:t>
            </w:r>
          </w:p>
        </w:tc>
        <w:tc>
          <w:tcPr>
            <w:tcW w:w="1650" w:type="dxa"/>
            <w:vAlign w:val="center"/>
          </w:tcPr>
          <w:p>
            <w:pPr>
              <w:pStyle w:val="TableNumber"/>
            </w:pPr>
            <w:r>
              <w:t>93.64%</w:t>
            </w:r>
          </w:p>
        </w:tc>
        <w:tc>
          <w:tcPr>
            <w:tcW w:w="1650" w:type="dxa"/>
            <w:vAlign w:val="center"/>
          </w:tcPr>
          <w:p>
            <w:pPr>
              <w:pStyle w:val="TableNumber"/>
            </w:pPr>
            <w:r>
              <w:t>0.91%</w:t>
            </w:r>
          </w:p>
        </w:tc>
        <w:tc>
          <w:tcPr>
            <w:tcW w:w="1650" w:type="dxa"/>
            <w:vAlign w:val="center"/>
          </w:tcPr>
          <w:p>
            <w:pPr>
              <w:pStyle w:val="TableNumber"/>
            </w:pPr>
            <w:r>
              <w:t>5.46%</w:t>
            </w:r>
          </w:p>
        </w:tc>
        <w:tc>
          <w:tcPr>
            <w:tcW w:w="1960" w:type="dxa"/>
            <w:vAlign w:val="center"/>
          </w:tcPr>
          <w:p>
            <w:pPr>
              <w:pStyle w:val="TableNumber"/>
            </w:pPr>
            <w:r>
              <w:t>0.00%</w:t>
            </w:r>
          </w:p>
        </w:tc>
      </w:tr>
      <w:tr>
        <w:trPr>
          <w:cantSplit/>
        </w:trPr>
        <w:tc>
          <w:tcPr>
            <w:tcW w:w="700" w:type="dxa"/>
            <w:vAlign w:val="center"/>
          </w:tcPr>
          <w:p>
            <w:pPr>
              <w:pStyle w:val="TableText"/>
            </w:pPr>
            <w:r>
              <w:t>12d</w:t>
            </w:r>
          </w:p>
        </w:tc>
        <w:tc>
          <w:tcPr>
            <w:tcW w:w="1750" w:type="dxa"/>
            <w:vAlign w:val="center"/>
          </w:tcPr>
          <w:p>
            <w:pPr>
              <w:pStyle w:val="TableNumber"/>
            </w:pPr>
            <w:r>
              <w:t>0.00%</w:t>
            </w:r>
          </w:p>
        </w:tc>
        <w:tc>
          <w:tcPr>
            <w:tcW w:w="1650" w:type="dxa"/>
            <w:vAlign w:val="center"/>
          </w:tcPr>
          <w:p>
            <w:pPr>
              <w:pStyle w:val="TableNumber"/>
            </w:pPr>
            <w:r>
              <w:t>97.27%</w:t>
            </w:r>
          </w:p>
        </w:tc>
        <w:tc>
          <w:tcPr>
            <w:tcW w:w="1650" w:type="dxa"/>
            <w:vAlign w:val="center"/>
          </w:tcPr>
          <w:p>
            <w:pPr>
              <w:pStyle w:val="TableNumber"/>
            </w:pPr>
            <w:r>
              <w:t>0.60%</w:t>
            </w:r>
          </w:p>
        </w:tc>
        <w:tc>
          <w:tcPr>
            <w:tcW w:w="1650" w:type="dxa"/>
            <w:vAlign w:val="center"/>
          </w:tcPr>
          <w:p>
            <w:pPr>
              <w:pStyle w:val="TableNumber"/>
            </w:pPr>
            <w:r>
              <w:t>2.12%</w:t>
            </w:r>
          </w:p>
        </w:tc>
        <w:tc>
          <w:tcPr>
            <w:tcW w:w="1960" w:type="dxa"/>
            <w:vAlign w:val="center"/>
          </w:tcPr>
          <w:p>
            <w:pPr>
              <w:pStyle w:val="TableNumber"/>
            </w:pPr>
            <w:r>
              <w:t>0.00%</w:t>
            </w:r>
          </w:p>
        </w:tc>
      </w:tr>
      <w:tr>
        <w:trPr>
          <w:cantSplit/>
        </w:trPr>
        <w:tc>
          <w:tcPr>
            <w:tcW w:w="700" w:type="dxa"/>
            <w:vAlign w:val="center"/>
          </w:tcPr>
          <w:p>
            <w:pPr>
              <w:pStyle w:val="TableText"/>
            </w:pPr>
            <w:r>
              <w:t>13d</w:t>
            </w:r>
          </w:p>
        </w:tc>
        <w:tc>
          <w:tcPr>
            <w:tcW w:w="1750" w:type="dxa"/>
            <w:vAlign w:val="center"/>
          </w:tcPr>
          <w:p>
            <w:pPr>
              <w:pStyle w:val="TableNumber"/>
            </w:pPr>
            <w:r>
              <w:t>0.00%</w:t>
            </w:r>
          </w:p>
        </w:tc>
        <w:tc>
          <w:tcPr>
            <w:tcW w:w="1650" w:type="dxa"/>
            <w:vAlign w:val="center"/>
          </w:tcPr>
          <w:p>
            <w:pPr>
              <w:pStyle w:val="TableNumber"/>
            </w:pPr>
            <w:r>
              <w:t>95.77%</w:t>
            </w:r>
          </w:p>
        </w:tc>
        <w:tc>
          <w:tcPr>
            <w:tcW w:w="1650" w:type="dxa"/>
            <w:vAlign w:val="center"/>
          </w:tcPr>
          <w:p>
            <w:pPr>
              <w:pStyle w:val="TableNumber"/>
            </w:pPr>
            <w:r>
              <w:t>0.43%</w:t>
            </w:r>
          </w:p>
        </w:tc>
        <w:tc>
          <w:tcPr>
            <w:tcW w:w="1650" w:type="dxa"/>
            <w:vAlign w:val="center"/>
          </w:tcPr>
          <w:p>
            <w:pPr>
              <w:pStyle w:val="TableNumber"/>
            </w:pPr>
            <w:r>
              <w:t>3.81%</w:t>
            </w:r>
          </w:p>
        </w:tc>
        <w:tc>
          <w:tcPr>
            <w:tcW w:w="1960" w:type="dxa"/>
            <w:vAlign w:val="center"/>
          </w:tcPr>
          <w:p>
            <w:pPr>
              <w:pStyle w:val="TableNumber"/>
            </w:pPr>
            <w:r>
              <w:t>0.00%</w:t>
            </w:r>
          </w:p>
        </w:tc>
      </w:tr>
      <w:tr>
        <w:trPr>
          <w:cantSplit/>
        </w:trPr>
        <w:tc>
          <w:tcPr>
            <w:tcW w:w="700" w:type="dxa"/>
            <w:vAlign w:val="center"/>
          </w:tcPr>
          <w:p>
            <w:pPr>
              <w:pStyle w:val="TableText"/>
            </w:pPr>
            <w:r>
              <w:t>14d</w:t>
            </w:r>
          </w:p>
        </w:tc>
        <w:tc>
          <w:tcPr>
            <w:tcW w:w="1750" w:type="dxa"/>
            <w:vAlign w:val="center"/>
          </w:tcPr>
          <w:p>
            <w:pPr>
              <w:pStyle w:val="TableNumber"/>
            </w:pPr>
            <w:r>
              <w:t>0.00%</w:t>
            </w:r>
          </w:p>
        </w:tc>
        <w:tc>
          <w:tcPr>
            <w:tcW w:w="1650" w:type="dxa"/>
            <w:vAlign w:val="center"/>
          </w:tcPr>
          <w:p>
            <w:pPr>
              <w:pStyle w:val="TableNumber"/>
            </w:pPr>
            <w:r>
              <w:t>95.59%</w:t>
            </w:r>
          </w:p>
        </w:tc>
        <w:tc>
          <w:tcPr>
            <w:tcW w:w="1650" w:type="dxa"/>
            <w:vAlign w:val="center"/>
          </w:tcPr>
          <w:p>
            <w:pPr>
              <w:pStyle w:val="TableNumber"/>
            </w:pPr>
            <w:r>
              <w:t>0.36%</w:t>
            </w:r>
          </w:p>
        </w:tc>
        <w:tc>
          <w:tcPr>
            <w:tcW w:w="1650" w:type="dxa"/>
            <w:vAlign w:val="center"/>
          </w:tcPr>
          <w:p>
            <w:pPr>
              <w:pStyle w:val="TableNumber"/>
            </w:pPr>
            <w:r>
              <w:t>4.05%</w:t>
            </w:r>
          </w:p>
        </w:tc>
        <w:tc>
          <w:tcPr>
            <w:tcW w:w="1960" w:type="dxa"/>
            <w:vAlign w:val="center"/>
          </w:tcPr>
          <w:p>
            <w:pPr>
              <w:pStyle w:val="TableNumber"/>
            </w:pPr>
            <w:r>
              <w:t>0.00%</w:t>
            </w:r>
          </w:p>
        </w:tc>
      </w:tr>
    </w:tbl>
    <w:p>
      <w:pPr>
        <w:pStyle w:val="11"/>
      </w:pPr>
      <w:r>
        <w:t>8. Artifact and training fields: reading the JSON correctly</w:t>
      </w:r>
    </w:p>
    <w:tbl>
      <w:tblPr>
        <w:tblStyle w:val="BenchmarkTable"/>
        <w:tblW w:w="9360" w:type="dxa"/>
        <w:tblLayout w:type="fixed"/>
      </w:tblPr>
      <w:tblGrid>
        <w:gridCol w:w="1900"/>
        <w:gridCol w:w="2200"/>
        <w:gridCol w:w="3150"/>
        <w:gridCol w:w="2110"/>
      </w:tblGrid>
      <w:tr>
        <w:trPr>
          <w:tblHeader/>
        </w:trPr>
        <w:tc>
          <w:tcPr>
            <w:tcW w:w="1900" w:type="dxa"/>
            <w:shd w:val="clear" w:fill="DCE6F1"/>
            <w:vAlign w:val="center"/>
          </w:tcPr>
          <w:p>
            <w:pPr>
              <w:pStyle w:val="TableHeader"/>
            </w:pPr>
            <w:r>
              <w:t>Block / field</w:t>
            </w:r>
          </w:p>
        </w:tc>
        <w:tc>
          <w:tcPr>
            <w:tcW w:w="2200" w:type="dxa"/>
            <w:shd w:val="clear" w:fill="DCE6F1"/>
            <w:vAlign w:val="center"/>
          </w:tcPr>
          <w:p>
            <w:pPr>
              <w:pStyle w:val="TableHeader"/>
            </w:pPr>
            <w:r>
              <w:t>Plain meaning</w:t>
            </w:r>
          </w:p>
        </w:tc>
        <w:tc>
          <w:tcPr>
            <w:tcW w:w="3150" w:type="dxa"/>
            <w:shd w:val="clear" w:fill="DCE6F1"/>
            <w:vAlign w:val="center"/>
          </w:tcPr>
          <w:p>
            <w:pPr>
              <w:pStyle w:val="TableHeader"/>
            </w:pPr>
            <w:r>
              <w:t>Calculation or source</w:t>
            </w:r>
          </w:p>
        </w:tc>
        <w:tc>
          <w:tcPr>
            <w:tcW w:w="2110" w:type="dxa"/>
            <w:shd w:val="clear" w:fill="DCE6F1"/>
            <w:vAlign w:val="center"/>
          </w:tcPr>
          <w:p>
            <w:pPr>
              <w:pStyle w:val="TableHeader"/>
            </w:pPr>
            <w:r>
              <w:t>Current warning</w:t>
            </w:r>
          </w:p>
        </w:tc>
      </w:tr>
      <w:tr>
        <w:trPr>
          <w:cantSplit/>
        </w:trPr>
        <w:tc>
          <w:tcPr>
            <w:tcW w:w="1900" w:type="dxa"/>
            <w:vAlign w:val="center"/>
          </w:tcPr>
          <w:p>
            <w:pPr>
              <w:pStyle w:val="TableText"/>
            </w:pPr>
            <w:r>
              <w:t>per_horizon/1d…14d</w:t>
            </w:r>
          </w:p>
        </w:tc>
        <w:tc>
          <w:tcPr>
            <w:tcW w:w="2200" w:type="dxa"/>
            <w:vAlign w:val="center"/>
          </w:tcPr>
          <w:p>
            <w:pPr>
              <w:pStyle w:val="TableText"/>
            </w:pPr>
            <w:r>
              <w:t>Fourteen separate report cards</w:t>
            </w:r>
          </w:p>
        </w:tc>
        <w:tc>
          <w:tcPr>
            <w:tcW w:w="3150" w:type="dxa"/>
            <w:vAlign w:val="center"/>
          </w:tcPr>
          <w:p>
            <w:pPr>
              <w:pStyle w:val="TableText"/>
            </w:pPr>
            <w:r>
              <w:t>Nine forecast metrics calculated independently per horizon</w:t>
            </w:r>
          </w:p>
        </w:tc>
        <w:tc>
          <w:tcPr>
            <w:tcW w:w="2110" w:type="dxa"/>
            <w:vAlign w:val="center"/>
          </w:tcPr>
          <w:p>
            <w:pPr>
              <w:pStyle w:val="TableText"/>
            </w:pPr>
            <w:r>
              <w:t>Use this block for holding-period comparison</w:t>
            </w:r>
          </w:p>
        </w:tc>
      </w:tr>
      <w:tr>
        <w:trPr>
          <w:cantSplit/>
        </w:trPr>
        <w:tc>
          <w:tcPr>
            <w:tcW w:w="1900" w:type="dxa"/>
            <w:vAlign w:val="center"/>
          </w:tcPr>
          <w:p>
            <w:pPr>
              <w:pStyle w:val="TableText"/>
            </w:pPr>
            <w:r>
              <w:t>aggregate</w:t>
            </w:r>
          </w:p>
        </w:tc>
        <w:tc>
          <w:tcPr>
            <w:tcW w:w="2200" w:type="dxa"/>
            <w:vAlign w:val="center"/>
          </w:tcPr>
          <w:p>
            <w:pPr>
              <w:pStyle w:val="TableText"/>
            </w:pPr>
            <w:r>
              <w:t>Summary of the 14 report cards</w:t>
            </w:r>
          </w:p>
        </w:tc>
        <w:tc>
          <w:tcPr>
            <w:tcW w:w="3150" w:type="dxa"/>
            <w:vAlign w:val="center"/>
          </w:tcPr>
          <w:p>
            <w:pPr>
              <w:pStyle w:val="TableText"/>
            </w:pPr>
            <w:r>
              <w:t>Means of per-horizon fields; selection score is mean N-pinball</w:t>
            </w:r>
          </w:p>
        </w:tc>
        <w:tc>
          <w:tcPr>
            <w:tcW w:w="2110" w:type="dxa"/>
            <w:vAlign w:val="center"/>
          </w:tcPr>
          <w:p>
            <w:pPr>
              <w:pStyle w:val="TableText"/>
            </w:pPr>
            <w:r>
              <w:t>Not a flatten-and-recompute over all horizon/sample cells</w:t>
            </w:r>
          </w:p>
        </w:tc>
      </w:tr>
      <w:tr>
        <w:trPr>
          <w:cantSplit/>
        </w:trPr>
        <w:tc>
          <w:tcPr>
            <w:tcW w:w="1900" w:type="dxa"/>
            <w:vAlign w:val="center"/>
          </w:tcPr>
          <w:p>
            <w:pPr>
              <w:pStyle w:val="TableText"/>
            </w:pPr>
            <w:r>
              <w:t>primary_5d</w:t>
            </w:r>
          </w:p>
        </w:tc>
        <w:tc>
          <w:tcPr>
            <w:tcW w:w="2200" w:type="dxa"/>
            <w:vAlign w:val="center"/>
          </w:tcPr>
          <w:p>
            <w:pPr>
              <w:pStyle w:val="TableText"/>
            </w:pPr>
            <w:r>
              <w:t>Legacy monitoring path</w:t>
            </w:r>
          </w:p>
        </w:tc>
        <w:tc>
          <w:tcPr>
            <w:tcW w:w="3150" w:type="dxa"/>
            <w:vAlign w:val="center"/>
          </w:tcPr>
          <w:p>
            <w:pPr>
              <w:pStyle w:val="TableText"/>
            </w:pPr>
            <w:r>
              <w:t>Fields come from per_horizon/5d except selection_score</w:t>
            </w:r>
          </w:p>
        </w:tc>
        <w:tc>
          <w:tcPr>
            <w:tcW w:w="2110" w:type="dxa"/>
            <w:vAlign w:val="center"/>
          </w:tcPr>
          <w:p>
            <w:pPr>
              <w:pStyle w:val="TableText"/>
            </w:pPr>
            <w:r>
              <w:t>selection_score is the exception and still covers 1–14</w:t>
            </w:r>
          </w:p>
        </w:tc>
      </w:tr>
      <w:tr>
        <w:trPr>
          <w:cantSplit/>
        </w:trPr>
        <w:tc>
          <w:tcPr>
            <w:tcW w:w="1900" w:type="dxa"/>
            <w:vAlign w:val="center"/>
          </w:tcPr>
          <w:p>
            <w:pPr>
              <w:pStyle w:val="TableText"/>
            </w:pPr>
            <w:r>
              <w:t>loss</w:t>
            </w:r>
          </w:p>
        </w:tc>
        <w:tc>
          <w:tcPr>
            <w:tcW w:w="2200" w:type="dxa"/>
            <w:vAlign w:val="center"/>
          </w:tcPr>
          <w:p>
            <w:pPr>
              <w:pStyle w:val="TableText"/>
            </w:pPr>
            <w:r>
              <w:t>Mean validation batch loss</w:t>
            </w:r>
          </w:p>
        </w:tc>
        <w:tc>
          <w:tcPr>
            <w:tcW w:w="3150" w:type="dxa"/>
            <w:vAlign w:val="center"/>
          </w:tcPr>
          <w:p>
            <w:pPr>
              <w:pStyle w:val="TableText"/>
            </w:pPr>
            <w:r>
              <w:t>evaluate_loader averages each batch's output.loss</w:t>
            </w:r>
          </w:p>
        </w:tc>
        <w:tc>
          <w:tcPr>
            <w:tcW w:w="2110" w:type="dxa"/>
            <w:vAlign w:val="center"/>
          </w:tcPr>
          <w:p>
            <w:pPr>
              <w:pStyle w:val="TableText"/>
            </w:pPr>
            <w:r>
              <w:t>Diagnostic; equal batch averaging can differ slightly from artifact score</w:t>
            </w:r>
          </w:p>
        </w:tc>
      </w:tr>
      <w:tr>
        <w:trPr>
          <w:cantSplit/>
        </w:trPr>
        <w:tc>
          <w:tcPr>
            <w:tcW w:w="1900" w:type="dxa"/>
            <w:vAlign w:val="center"/>
          </w:tcPr>
          <w:p>
            <w:pPr>
              <w:pStyle w:val="TableText"/>
            </w:pPr>
            <w:r>
              <w:t>cross_sectional_by_horizon</w:t>
            </w:r>
          </w:p>
        </w:tc>
        <w:tc>
          <w:tcPr>
            <w:tcW w:w="2200" w:type="dxa"/>
            <w:vAlign w:val="center"/>
          </w:tcPr>
          <w:p>
            <w:pPr>
              <w:pStyle w:val="TableText"/>
            </w:pPr>
            <w:r>
              <w:t>Fourteen ranking/portfolio diagnostics</w:t>
            </w:r>
          </w:p>
        </w:tc>
        <w:tc>
          <w:tcPr>
            <w:tcW w:w="3150" w:type="dxa"/>
            <w:vAlign w:val="center"/>
          </w:tcPr>
          <w:p>
            <w:pPr>
              <w:pStyle w:val="TableText"/>
            </w:pPr>
            <w:r>
              <w:t>RankIC, ICIR, net, Sharpe, MDD, turnover per horizon</w:t>
            </w:r>
          </w:p>
        </w:tc>
        <w:tc>
          <w:tcPr>
            <w:tcW w:w="2110" w:type="dxa"/>
            <w:vAlign w:val="center"/>
          </w:tcPr>
          <w:p>
            <w:pPr>
              <w:pStyle w:val="TableText"/>
            </w:pPr>
            <w:r>
              <w:t>The all-horizon report must show every row</w:t>
            </w:r>
          </w:p>
        </w:tc>
      </w:tr>
      <w:tr>
        <w:trPr>
          <w:cantSplit/>
        </w:trPr>
        <w:tc>
          <w:tcPr>
            <w:tcW w:w="1900" w:type="dxa"/>
            <w:vAlign w:val="center"/>
          </w:tcPr>
          <w:p>
            <w:pPr>
              <w:pStyle w:val="TableText"/>
            </w:pPr>
            <w:r>
              <w:t>cross_sectional_5d</w:t>
            </w:r>
          </w:p>
        </w:tc>
        <w:tc>
          <w:tcPr>
            <w:tcW w:w="2200" w:type="dxa"/>
            <w:vAlign w:val="center"/>
          </w:tcPr>
          <w:p>
            <w:pPr>
              <w:pStyle w:val="TableText"/>
            </w:pPr>
            <w:r>
              <w:t>Day-5 compatibility alias</w:t>
            </w:r>
          </w:p>
        </w:tc>
        <w:tc>
          <w:tcPr>
            <w:tcW w:w="3150" w:type="dxa"/>
            <w:vAlign w:val="center"/>
          </w:tcPr>
          <w:p>
            <w:pPr>
              <w:pStyle w:val="TableText"/>
            </w:pPr>
            <w:r>
              <w:t>Points to cross_sectional_by_horizon/5d</w:t>
            </w:r>
          </w:p>
        </w:tc>
        <w:tc>
          <w:tcPr>
            <w:tcW w:w="2110" w:type="dxa"/>
            <w:vAlign w:val="center"/>
          </w:tcPr>
          <w:p>
            <w:pPr>
              <w:pStyle w:val="TableText"/>
            </w:pPr>
            <w:r>
              <w:t>Cannot represent the other 13 horizons</w:t>
            </w:r>
          </w:p>
        </w:tc>
      </w:tr>
    </w:tbl>
    <w:p>
      <w:pPr>
        <w:pStyle w:val="31"/>
      </w:pPr>
      <w:r>
        <w:t>8.1 Training loss / the number optimized during parameter updates</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During training, scale-normalized pinball determines the update direction for each batch. Validation loss averages batch losses as a monitoring value.</w:t>
            </w:r>
          </w:p>
        </w:tc>
      </w:tr>
      <w:tr>
        <w:trPr>
          <w:cantSplit/>
        </w:trPr>
        <w:tc>
          <w:tcPr>
            <w:tcW w:w="1900" w:type="dxa"/>
            <w:vAlign w:val="center"/>
          </w:tcPr>
          <w:p>
            <w:pPr>
              <w:pStyle w:val="TableText"/>
            </w:pPr>
            <w:r>
              <w:t>Stock-market example</w:t>
            </w:r>
          </w:p>
        </w:tc>
        <w:tc>
          <w:tcPr>
            <w:tcW w:w="7460" w:type="dxa"/>
            <w:vAlign w:val="center"/>
          </w:tcPr>
          <w:p>
            <w:pPr>
              <w:pStyle w:val="TableText"/>
            </w:pPr>
            <w:r>
              <w:t>For a batch with valid targets at all 14 horizons, every prediction error is divided by its horizon scale before q10/q50/q90 pinball is averaged. A smaller final batch still receives one equal place in evaluate_loader's mean of batch losses, so it need not exactly equal a single full-sample score calculation.</w:t>
            </w:r>
          </w:p>
        </w:tc>
      </w:tr>
      <w:tr>
        <w:trPr>
          <w:cantSplit/>
        </w:trPr>
        <w:tc>
          <w:tcPr>
            <w:tcW w:w="1900" w:type="dxa"/>
            <w:vAlign w:val="center"/>
          </w:tcPr>
          <w:p>
            <w:pPr>
              <w:pStyle w:val="TableText"/>
            </w:pPr>
            <w:r>
              <w:t>Exact calculation</w:t>
            </w:r>
          </w:p>
        </w:tc>
        <w:tc>
          <w:tcPr>
            <w:tcW w:w="7460" w:type="dxa"/>
            <w:vAlign w:val="center"/>
          </w:tcPr>
          <w:p>
            <w:pPr>
              <w:pStyle w:val="TableText"/>
            </w:pPr>
            <w:r>
              <w:t>errors=(target−prediction)/scale; loss=max(τe,(τ−1)e) over finite targets; batch loss=sum(losses×valid weights)/sum(valid weights). Validation loss=mean(batch losses).</w:t>
            </w:r>
          </w:p>
        </w:tc>
      </w:tr>
      <w:tr>
        <w:trPr>
          <w:cantSplit/>
        </w:trPr>
        <w:tc>
          <w:tcPr>
            <w:tcW w:w="1900" w:type="dxa"/>
            <w:vAlign w:val="center"/>
          </w:tcPr>
          <w:p>
            <w:pPr>
              <w:pStyle w:val="TableText"/>
            </w:pPr>
            <w:r>
              <w:t>How to read it</w:t>
            </w:r>
          </w:p>
        </w:tc>
        <w:tc>
          <w:tcPr>
            <w:tcW w:w="7460" w:type="dxa"/>
            <w:vAlign w:val="center"/>
          </w:tcPr>
          <w:p>
            <w:pPr>
              <w:pStyle w:val="TableText"/>
            </w:pPr>
            <w:r>
              <w:t>Lower usually indicates better optimization within the same run. Formal checkpoint selection still uses artifact selection score.</w:t>
            </w:r>
          </w:p>
        </w:tc>
      </w:tr>
      <w:tr>
        <w:trPr>
          <w:cantSplit/>
        </w:trPr>
        <w:tc>
          <w:tcPr>
            <w:tcW w:w="1900" w:type="dxa"/>
            <w:vAlign w:val="center"/>
          </w:tcPr>
          <w:p>
            <w:pPr>
              <w:pStyle w:val="TableText"/>
            </w:pPr>
            <w:r>
              <w:t>Current run</w:t>
            </w:r>
          </w:p>
        </w:tc>
        <w:tc>
          <w:tcPr>
            <w:tcW w:w="7460" w:type="dxa"/>
            <w:vAlign w:val="center"/>
          </w:tcPr>
          <w:p>
            <w:pPr>
              <w:pStyle w:val="TableText"/>
            </w:pPr>
            <w:r>
              <w:t>This run performed 10 validation evaluations. The best checkpoint is checkpoint-003908 with selection score 0.314759.</w:t>
            </w:r>
          </w:p>
        </w:tc>
      </w:tr>
      <w:tr>
        <w:trPr>
          <w:cantSplit/>
        </w:trPr>
        <w:tc>
          <w:tcPr>
            <w:tcW w:w="1900" w:type="dxa"/>
            <w:vAlign w:val="center"/>
          </w:tcPr>
          <w:p>
            <w:pPr>
              <w:pStyle w:val="TableText"/>
            </w:pPr>
            <w:r>
              <w:t>Do not conclude</w:t>
            </w:r>
          </w:p>
        </w:tc>
        <w:tc>
          <w:tcPr>
            <w:tcW w:w="7460" w:type="dxa"/>
            <w:vAlign w:val="center"/>
          </w:tcPr>
          <w:p>
            <w:pPr>
              <w:pStyle w:val="TableText"/>
            </w:pPr>
            <w:r>
              <w:t>Loss is not return. Falling training loss does not establish validation or test improvement.</w:t>
            </w:r>
          </w:p>
        </w:tc>
      </w:tr>
      <w:tr>
        <w:trPr>
          <w:cantSplit/>
        </w:trPr>
        <w:tc>
          <w:tcPr>
            <w:tcW w:w="1900" w:type="dxa"/>
            <w:vAlign w:val="center"/>
          </w:tcPr>
          <w:p>
            <w:pPr>
              <w:pStyle w:val="TableText"/>
            </w:pPr>
            <w:r>
              <w:t>Read together with</w:t>
            </w:r>
          </w:p>
        </w:tc>
        <w:tc>
          <w:tcPr>
            <w:tcW w:w="7460" w:type="dxa"/>
            <w:vAlign w:val="center"/>
          </w:tcPr>
          <w:p>
            <w:pPr>
              <w:pStyle w:val="TableText"/>
            </w:pPr>
            <w:r>
              <w:t>Validation selection score and the checkpoint trajectory.</w:t>
            </w:r>
          </w:p>
        </w:tc>
      </w:tr>
    </w:tbl>
    <w:p>
      <w:pPr>
        <w:pStyle w:val="31"/>
      </w:pPr>
      <w:r>
        <w:t>8.2 global_step, epoch, and validation_evaluations / training progress</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global_step counts optimizer updates, epoch counts completed sampler passes, and validation_evaluations counts interim checks. They describe progress, not model quality.</w:t>
            </w:r>
          </w:p>
        </w:tc>
      </w:tr>
      <w:tr>
        <w:trPr>
          <w:cantSplit/>
        </w:trPr>
        <w:tc>
          <w:tcPr>
            <w:tcW w:w="1900" w:type="dxa"/>
            <w:vAlign w:val="center"/>
          </w:tcPr>
          <w:p>
            <w:pPr>
              <w:pStyle w:val="TableText"/>
            </w:pPr>
            <w:r>
              <w:t>Stock-market example</w:t>
            </w:r>
          </w:p>
        </w:tc>
        <w:tc>
          <w:tcPr>
            <w:tcW w:w="7460" w:type="dxa"/>
            <w:vAlign w:val="center"/>
          </w:tcPr>
          <w:p>
            <w:pPr>
              <w:pStyle w:val="TableText"/>
            </w:pPr>
            <w:r>
              <w:t>global_step=3,908 does not mean 3,908 stocks or dates. Each step can contain a full batch. epoch=2.0 means two passes under this run's sampler settings.</w:t>
            </w:r>
          </w:p>
        </w:tc>
      </w:tr>
      <w:tr>
        <w:trPr>
          <w:cantSplit/>
        </w:trPr>
        <w:tc>
          <w:tcPr>
            <w:tcW w:w="1900" w:type="dxa"/>
            <w:vAlign w:val="center"/>
          </w:tcPr>
          <w:p>
            <w:pPr>
              <w:pStyle w:val="TableText"/>
            </w:pPr>
            <w:r>
              <w:t>Exact calculation</w:t>
            </w:r>
          </w:p>
        </w:tc>
        <w:tc>
          <w:tcPr>
            <w:tcW w:w="7460" w:type="dxa"/>
            <w:vAlign w:val="center"/>
          </w:tcPr>
          <w:p>
            <w:pPr>
              <w:pStyle w:val="TableText"/>
            </w:pPr>
            <w:r>
              <w:t>Increment global_step after each optimizer step; record epoch from sampler progress; increment validation_evaluations at the configured cadence.</w:t>
            </w:r>
          </w:p>
        </w:tc>
      </w:tr>
      <w:tr>
        <w:trPr>
          <w:cantSplit/>
        </w:trPr>
        <w:tc>
          <w:tcPr>
            <w:tcW w:w="1900" w:type="dxa"/>
            <w:vAlign w:val="center"/>
          </w:tcPr>
          <w:p>
            <w:pPr>
              <w:pStyle w:val="TableText"/>
            </w:pPr>
            <w:r>
              <w:t>How to read it</w:t>
            </w:r>
          </w:p>
        </w:tc>
        <w:tc>
          <w:tcPr>
            <w:tcW w:w="7460" w:type="dxa"/>
            <w:vAlign w:val="center"/>
          </w:tcPr>
          <w:p>
            <w:pPr>
              <w:pStyle w:val="TableText"/>
            </w:pPr>
            <w:r>
              <w:t>Use these fields to locate checkpoints, reproduce training, and confirm planned termination.</w:t>
            </w:r>
          </w:p>
        </w:tc>
      </w:tr>
      <w:tr>
        <w:trPr>
          <w:cantSplit/>
        </w:trPr>
        <w:tc>
          <w:tcPr>
            <w:tcW w:w="1900" w:type="dxa"/>
            <w:vAlign w:val="center"/>
          </w:tcPr>
          <w:p>
            <w:pPr>
              <w:pStyle w:val="TableText"/>
            </w:pPr>
            <w:r>
              <w:t>Current run</w:t>
            </w:r>
          </w:p>
        </w:tc>
        <w:tc>
          <w:tcPr>
            <w:tcW w:w="7460" w:type="dxa"/>
            <w:vAlign w:val="center"/>
          </w:tcPr>
          <w:p>
            <w:pPr>
              <w:pStyle w:val="TableText"/>
            </w:pPr>
            <w:r>
              <w:t>global_step=3,908, epoch=2.0, validation_evaluations=10, and stop reason=epochs_completed.</w:t>
            </w:r>
          </w:p>
        </w:tc>
      </w:tr>
      <w:tr>
        <w:trPr>
          <w:cantSplit/>
        </w:trPr>
        <w:tc>
          <w:tcPr>
            <w:tcW w:w="1900" w:type="dxa"/>
            <w:vAlign w:val="center"/>
          </w:tcPr>
          <w:p>
            <w:pPr>
              <w:pStyle w:val="TableText"/>
            </w:pPr>
            <w:r>
              <w:t>Do not conclude</w:t>
            </w:r>
          </w:p>
        </w:tc>
        <w:tc>
          <w:tcPr>
            <w:tcW w:w="7460" w:type="dxa"/>
            <w:vAlign w:val="center"/>
          </w:tcPr>
          <w:p>
            <w:pPr>
              <w:pStyle w:val="TableText"/>
            </w:pPr>
            <w:r>
              <w:t>More steps do not guarantee a better model, and the final step being best does not rule out overfitting.</w:t>
            </w:r>
          </w:p>
        </w:tc>
      </w:tr>
      <w:tr>
        <w:trPr>
          <w:cantSplit/>
        </w:trPr>
        <w:tc>
          <w:tcPr>
            <w:tcW w:w="1900" w:type="dxa"/>
            <w:vAlign w:val="center"/>
          </w:tcPr>
          <w:p>
            <w:pPr>
              <w:pStyle w:val="TableText"/>
            </w:pPr>
            <w:r>
              <w:t>Read together with</w:t>
            </w:r>
          </w:p>
        </w:tc>
        <w:tc>
          <w:tcPr>
            <w:tcW w:w="7460" w:type="dxa"/>
            <w:vAlign w:val="center"/>
          </w:tcPr>
          <w:p>
            <w:pPr>
              <w:pStyle w:val="TableText"/>
            </w:pPr>
            <w:r>
              <w:t>Checkpoint scores, multiple seeds, and Stage 2.</w:t>
            </w:r>
          </w:p>
        </w:tc>
      </w:tr>
    </w:tbl>
    <w:p>
      <w:pPr>
        <w:pStyle w:val="31"/>
      </w:pPr>
      <w:r>
        <w:t>8.3 Best checkpoint / lowest validation 14-horizon score</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After each validation, retain the checkpoint with the lowest selection score. This is the model-selection rule.</w:t>
            </w:r>
          </w:p>
        </w:tc>
      </w:tr>
      <w:tr>
        <w:trPr>
          <w:cantSplit/>
        </w:trPr>
        <w:tc>
          <w:tcPr>
            <w:tcW w:w="1900" w:type="dxa"/>
            <w:vAlign w:val="center"/>
          </w:tcPr>
          <w:p>
            <w:pPr>
              <w:pStyle w:val="TableText"/>
            </w:pPr>
            <w:r>
              <w:t>Stock-market example</w:t>
            </w:r>
          </w:p>
        </w:tc>
        <w:tc>
          <w:tcPr>
            <w:tcW w:w="7460" w:type="dxa"/>
            <w:vAlign w:val="center"/>
          </w:tcPr>
          <w:p>
            <w:pPr>
              <w:pStyle w:val="TableText"/>
            </w:pPr>
            <w:r>
              <w:t>Checkpoint A scores 0.3150 and B 0.3148, so B is selected. A difference of only one ten-thousandth may be a plateau or single-seed noise rather than a meaningful leap.</w:t>
            </w:r>
          </w:p>
        </w:tc>
      </w:tr>
      <w:tr>
        <w:trPr>
          <w:cantSplit/>
        </w:trPr>
        <w:tc>
          <w:tcPr>
            <w:tcW w:w="1900" w:type="dxa"/>
            <w:vAlign w:val="center"/>
          </w:tcPr>
          <w:p>
            <w:pPr>
              <w:pStyle w:val="TableText"/>
            </w:pPr>
            <w:r>
              <w:t>Exact calculation</w:t>
            </w:r>
          </w:p>
        </w:tc>
        <w:tc>
          <w:tcPr>
            <w:tcW w:w="7460" w:type="dxa"/>
            <w:vAlign w:val="center"/>
          </w:tcPr>
          <w:p>
            <w:pPr>
              <w:pStyle w:val="TableText"/>
            </w:pPr>
            <w:r>
              <w:t>Compare selection scores ascending on the fixed validation split. checkpoint-003908 scores 0.314759 versus 0.314827 at checkpoint-003518, a relative reduction of about 0.0215%.</w:t>
            </w:r>
          </w:p>
        </w:tc>
      </w:tr>
      <w:tr>
        <w:trPr>
          <w:cantSplit/>
        </w:trPr>
        <w:tc>
          <w:tcPr>
            <w:tcW w:w="1900" w:type="dxa"/>
            <w:vAlign w:val="center"/>
          </w:tcPr>
          <w:p>
            <w:pPr>
              <w:pStyle w:val="TableText"/>
            </w:pPr>
            <w:r>
              <w:t>How to read it</w:t>
            </w:r>
          </w:p>
        </w:tc>
        <w:tc>
          <w:tcPr>
            <w:tcW w:w="7460" w:type="dxa"/>
            <w:vAlign w:val="center"/>
          </w:tcPr>
          <w:p>
            <w:pPr>
              <w:pStyle w:val="TableText"/>
            </w:pPr>
            <w:r>
              <w:t>It is the best checkpoint under the current validation protocol. Interpret small differences with seed dispersion.</w:t>
            </w:r>
          </w:p>
        </w:tc>
      </w:tr>
      <w:tr>
        <w:trPr>
          <w:cantSplit/>
        </w:trPr>
        <w:tc>
          <w:tcPr>
            <w:tcW w:w="1900" w:type="dxa"/>
            <w:vAlign w:val="center"/>
          </w:tcPr>
          <w:p>
            <w:pPr>
              <w:pStyle w:val="TableText"/>
            </w:pPr>
            <w:r>
              <w:t>Current run</w:t>
            </w:r>
          </w:p>
        </w:tc>
        <w:tc>
          <w:tcPr>
            <w:tcW w:w="7460" w:type="dxa"/>
            <w:vAlign w:val="center"/>
          </w:tcPr>
          <w:p>
            <w:pPr>
              <w:pStyle w:val="TableText"/>
            </w:pPr>
            <w:r>
              <w:t>Best checkpoint is 003908, with only a tiny late-stage improvement consistent with a plateau.</w:t>
            </w:r>
          </w:p>
        </w:tc>
      </w:tr>
      <w:tr>
        <w:trPr>
          <w:cantSplit/>
        </w:trPr>
        <w:tc>
          <w:tcPr>
            <w:tcW w:w="1900" w:type="dxa"/>
            <w:vAlign w:val="center"/>
          </w:tcPr>
          <w:p>
            <w:pPr>
              <w:pStyle w:val="TableText"/>
            </w:pPr>
            <w:r>
              <w:t>Do not conclude</w:t>
            </w:r>
          </w:p>
        </w:tc>
        <w:tc>
          <w:tcPr>
            <w:tcW w:w="7460" w:type="dxa"/>
            <w:vAlign w:val="center"/>
          </w:tcPr>
          <w:p>
            <w:pPr>
              <w:pStyle w:val="TableText"/>
            </w:pPr>
            <w:r>
              <w:t>Best on validation is not best on unseen test or deployable. Repeatedly viewing test to choose checkpoints contaminates test.</w:t>
            </w:r>
          </w:p>
        </w:tc>
      </w:tr>
      <w:tr>
        <w:trPr>
          <w:cantSplit/>
        </w:trPr>
        <w:tc>
          <w:tcPr>
            <w:tcW w:w="1900" w:type="dxa"/>
            <w:vAlign w:val="center"/>
          </w:tcPr>
          <w:p>
            <w:pPr>
              <w:pStyle w:val="TableText"/>
            </w:pPr>
            <w:r>
              <w:t>Read together with</w:t>
            </w:r>
          </w:p>
        </w:tc>
        <w:tc>
          <w:tcPr>
            <w:tcW w:w="7460" w:type="dxa"/>
            <w:vAlign w:val="center"/>
          </w:tcPr>
          <w:p>
            <w:pPr>
              <w:pStyle w:val="TableText"/>
            </w:pPr>
            <w:r>
              <w:t>test_unlocked, seed dispersion, and preregistered Stage 2 thresholds.</w:t>
            </w:r>
          </w:p>
        </w:tc>
      </w:tr>
    </w:tbl>
    <w:p>
      <w:pPr>
        <w:pStyle w:val="31"/>
      </w:pPr>
      <w:r>
        <w:t>8.4 Seed aggregation and leaderboard / separating skill from luck</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Repeat the same model with different random seeds and check stability, then place the cross-seed median on the leaderboard.</w:t>
            </w:r>
          </w:p>
        </w:tc>
      </w:tr>
      <w:tr>
        <w:trPr>
          <w:cantSplit/>
        </w:trPr>
        <w:tc>
          <w:tcPr>
            <w:tcW w:w="1900" w:type="dxa"/>
            <w:vAlign w:val="center"/>
          </w:tcPr>
          <w:p>
            <w:pPr>
              <w:pStyle w:val="TableText"/>
            </w:pPr>
            <w:r>
              <w:t>Stock-market example</w:t>
            </w:r>
          </w:p>
        </w:tc>
        <w:tc>
          <w:tcPr>
            <w:tcW w:w="7460" w:type="dxa"/>
            <w:vAlign w:val="center"/>
          </w:tcPr>
          <w:p>
            <w:pPr>
              <w:pStyle w:val="TableText"/>
            </w:pPr>
            <w:r>
              <w:t>Scores [0.30,0.32,0.50] have median 0.32, min 0.30, max 0.50. Reporting only the best 0.30 hides instability; median and worst case are more informative.</w:t>
            </w:r>
          </w:p>
        </w:tc>
      </w:tr>
      <w:tr>
        <w:trPr>
          <w:cantSplit/>
        </w:trPr>
        <w:tc>
          <w:tcPr>
            <w:tcW w:w="1900" w:type="dxa"/>
            <w:vAlign w:val="center"/>
          </w:tcPr>
          <w:p>
            <w:pPr>
              <w:pStyle w:val="TableText"/>
            </w:pPr>
            <w:r>
              <w:t>Exact calculation</w:t>
            </w:r>
          </w:p>
        </w:tc>
        <w:tc>
          <w:tcPr>
            <w:tcW w:w="7460" w:type="dxa"/>
            <w:vAlign w:val="center"/>
          </w:tcPr>
          <w:p>
            <w:pPr>
              <w:pStyle w:val="TableText"/>
            </w:pPr>
            <w:r>
              <w:t>Learned baselines store seed_results. Numeric fields aggregate count, median, min, and max. Comparison rows use across-seed medians. Primary rank sorts selection score ascending with model name as a deterministic tie-break.</w:t>
            </w:r>
          </w:p>
        </w:tc>
      </w:tr>
      <w:tr>
        <w:trPr>
          <w:cantSplit/>
        </w:trPr>
        <w:tc>
          <w:tcPr>
            <w:tcW w:w="1900" w:type="dxa"/>
            <w:vAlign w:val="center"/>
          </w:tcPr>
          <w:p>
            <w:pPr>
              <w:pStyle w:val="TableText"/>
            </w:pPr>
            <w:r>
              <w:t>How to read it</w:t>
            </w:r>
          </w:p>
        </w:tc>
        <w:tc>
          <w:tcPr>
            <w:tcW w:w="7460" w:type="dxa"/>
            <w:vAlign w:val="center"/>
          </w:tcPr>
          <w:p>
            <w:pPr>
              <w:pStyle w:val="TableText"/>
            </w:pPr>
            <w:r>
              <w:t>Narrow seed ranges indicate greater stability. Read score and risk-metric dispersion together.</w:t>
            </w:r>
          </w:p>
        </w:tc>
      </w:tr>
      <w:tr>
        <w:trPr>
          <w:cantSplit/>
        </w:trPr>
        <w:tc>
          <w:tcPr>
            <w:tcW w:w="1900" w:type="dxa"/>
            <w:vAlign w:val="center"/>
          </w:tcPr>
          <w:p>
            <w:pPr>
              <w:pStyle w:val="TableText"/>
            </w:pPr>
            <w:r>
              <w:t>Current run</w:t>
            </w:r>
          </w:p>
        </w:tc>
        <w:tc>
          <w:tcPr>
            <w:tcW w:w="7460" w:type="dxa"/>
            <w:vAlign w:val="center"/>
          </w:tcPr>
          <w:p>
            <w:pPr>
              <w:pStyle w:val="TableText"/>
            </w:pPr>
            <w:r>
              <w:t>Learned models requested only seed 42, so count=1 and median=min=max. Seed variability is unknown.</w:t>
            </w:r>
          </w:p>
        </w:tc>
      </w:tr>
      <w:tr>
        <w:trPr>
          <w:cantSplit/>
        </w:trPr>
        <w:tc>
          <w:tcPr>
            <w:tcW w:w="1900" w:type="dxa"/>
            <w:vAlign w:val="center"/>
          </w:tcPr>
          <w:p>
            <w:pPr>
              <w:pStyle w:val="TableText"/>
            </w:pPr>
            <w:r>
              <w:t>Do not conclude</w:t>
            </w:r>
          </w:p>
        </w:tc>
        <w:tc>
          <w:tcPr>
            <w:tcW w:w="7460" w:type="dxa"/>
            <w:vAlign w:val="center"/>
          </w:tcPr>
          <w:p>
            <w:pPr>
              <w:pStyle w:val="TableText"/>
            </w:pPr>
            <w:r>
              <w:t>Single-seed rank 1 is not stable rank 1. Models using different splits, scales, horizons, or costs cannot share the same leaderboard.</w:t>
            </w:r>
          </w:p>
        </w:tc>
      </w:tr>
      <w:tr>
        <w:trPr>
          <w:cantSplit/>
        </w:trPr>
        <w:tc>
          <w:tcPr>
            <w:tcW w:w="1900" w:type="dxa"/>
            <w:vAlign w:val="center"/>
          </w:tcPr>
          <w:p>
            <w:pPr>
              <w:pStyle w:val="TableText"/>
            </w:pPr>
            <w:r>
              <w:t>Read together with</w:t>
            </w:r>
          </w:p>
        </w:tc>
        <w:tc>
          <w:tcPr>
            <w:tcW w:w="7460" w:type="dxa"/>
            <w:vAlign w:val="center"/>
          </w:tcPr>
          <w:p>
            <w:pPr>
              <w:pStyle w:val="TableText"/>
            </w:pPr>
            <w:r>
              <w:t>Multi-seed Stage 2 and time-slice/bootstrap stability.</w:t>
            </w:r>
          </w:p>
        </w:tc>
      </w:tr>
    </w:tbl>
    <w:p>
      <w:pPr>
        <w:pStyle w:val="31"/>
      </w:pPr>
      <w:r>
        <w:t>8.5 state, exit_code, timed_out, and test_unlocked / evidence boundary</w:t>
      </w:r>
    </w:p>
    <w:tbl>
      <w:tblPr>
        <w:tblStyle w:val="BenchmarkTable"/>
        <w:tblW w:w="9360" w:type="dxa"/>
        <w:tblLayout w:type="fixed"/>
      </w:tblPr>
      <w:tblGrid>
        <w:gridCol w:w="1900"/>
        <w:gridCol w:w="7460"/>
      </w:tblGrid>
      <w:tr>
        <w:trPr>
          <w:tblHeader/>
        </w:trPr>
        <w:tc>
          <w:tcPr>
            <w:tcW w:w="1900" w:type="dxa"/>
            <w:shd w:val="clear" w:fill="DCE6F1"/>
            <w:vAlign w:val="center"/>
          </w:tcPr>
          <w:p>
            <w:pPr>
              <w:pStyle w:val="TableHeader"/>
            </w:pPr>
            <w:r>
              <w:t>Item</w:t>
            </w:r>
          </w:p>
        </w:tc>
        <w:tc>
          <w:tcPr>
            <w:tcW w:w="7460" w:type="dxa"/>
            <w:shd w:val="clear" w:fill="DCE6F1"/>
            <w:vAlign w:val="center"/>
          </w:tcPr>
          <w:p>
            <w:pPr>
              <w:pStyle w:val="TableHeader"/>
            </w:pPr>
            <w:r>
              <w:t>Explanation</w:t>
            </w:r>
          </w:p>
        </w:tc>
      </w:tr>
      <w:tr>
        <w:trPr>
          <w:cantSplit/>
        </w:trPr>
        <w:tc>
          <w:tcPr>
            <w:tcW w:w="1900" w:type="dxa"/>
            <w:vAlign w:val="center"/>
          </w:tcPr>
          <w:p>
            <w:pPr>
              <w:pStyle w:val="TableText"/>
            </w:pPr>
            <w:r>
              <w:t>Plain-language question</w:t>
            </w:r>
          </w:p>
        </w:tc>
        <w:tc>
          <w:tcPr>
            <w:tcW w:w="7460" w:type="dxa"/>
            <w:vAlign w:val="center"/>
          </w:tcPr>
          <w:p>
            <w:pPr>
              <w:pStyle w:val="TableText"/>
            </w:pPr>
            <w:r>
              <w:t>First verify that the process completed cleanly, then determine whether only validation was viewed. These fields prove workflow state, not model effectiveness.</w:t>
            </w:r>
          </w:p>
        </w:tc>
      </w:tr>
      <w:tr>
        <w:trPr>
          <w:cantSplit/>
        </w:trPr>
        <w:tc>
          <w:tcPr>
            <w:tcW w:w="1900" w:type="dxa"/>
            <w:vAlign w:val="center"/>
          </w:tcPr>
          <w:p>
            <w:pPr>
              <w:pStyle w:val="TableText"/>
            </w:pPr>
            <w:r>
              <w:t>Stock-market example</w:t>
            </w:r>
          </w:p>
        </w:tc>
        <w:tc>
          <w:tcPr>
            <w:tcW w:w="7460" w:type="dxa"/>
            <w:vAlign w:val="center"/>
          </w:tcPr>
          <w:p>
            <w:pPr>
              <w:pStyle w:val="TableText"/>
            </w:pPr>
            <w:r>
              <w:t>state=complete and exit_code=0 only mean clean program termination. If test_unlocked=false, all attractive scores remain validation evidence.</w:t>
            </w:r>
          </w:p>
        </w:tc>
      </w:tr>
      <w:tr>
        <w:trPr>
          <w:cantSplit/>
        </w:trPr>
        <w:tc>
          <w:tcPr>
            <w:tcW w:w="1900" w:type="dxa"/>
            <w:vAlign w:val="center"/>
          </w:tcPr>
          <w:p>
            <w:pPr>
              <w:pStyle w:val="TableText"/>
            </w:pPr>
            <w:r>
              <w:t>Exact calculation</w:t>
            </w:r>
          </w:p>
        </w:tc>
        <w:tc>
          <w:tcPr>
            <w:tcW w:w="7460" w:type="dxa"/>
            <w:vAlign w:val="center"/>
          </w:tcPr>
          <w:p>
            <w:pPr>
              <w:pStyle w:val="TableText"/>
            </w:pPr>
            <w:r>
              <w:t>Supervisor and lifecycle markers record completion, exit, and timeout. The validation artifact separately records the test_unlocked protocol flag.</w:t>
            </w:r>
          </w:p>
        </w:tc>
      </w:tr>
      <w:tr>
        <w:trPr>
          <w:cantSplit/>
        </w:trPr>
        <w:tc>
          <w:tcPr>
            <w:tcW w:w="1900" w:type="dxa"/>
            <w:vAlign w:val="center"/>
          </w:tcPr>
          <w:p>
            <w:pPr>
              <w:pStyle w:val="TableText"/>
            </w:pPr>
            <w:r>
              <w:t>How to read it</w:t>
            </w:r>
          </w:p>
        </w:tc>
        <w:tc>
          <w:tcPr>
            <w:tcW w:w="7460" w:type="dxa"/>
            <w:vAlign w:val="center"/>
          </w:tcPr>
          <w:p>
            <w:pPr>
              <w:pStyle w:val="TableText"/>
            </w:pPr>
            <w:r>
              <w:t>Ready/completed, exit 0, and no timeout establish run completion. test=false requires wording such as 'proceed to Stage 2', not 'passed final test'.</w:t>
            </w:r>
          </w:p>
        </w:tc>
      </w:tr>
      <w:tr>
        <w:trPr>
          <w:cantSplit/>
        </w:trPr>
        <w:tc>
          <w:tcPr>
            <w:tcW w:w="1900" w:type="dxa"/>
            <w:vAlign w:val="center"/>
          </w:tcPr>
          <w:p>
            <w:pPr>
              <w:pStyle w:val="TableText"/>
            </w:pPr>
            <w:r>
              <w:t>Current run</w:t>
            </w:r>
          </w:p>
        </w:tc>
        <w:tc>
          <w:tcPr>
            <w:tcW w:w="7460" w:type="dxa"/>
            <w:vAlign w:val="center"/>
          </w:tcPr>
          <w:p>
            <w:pPr>
              <w:pStyle w:val="TableText"/>
            </w:pPr>
            <w:r>
              <w:t>test_unlocked=false. Test rows were counted but not used for model selection or performance reporting.</w:t>
            </w:r>
          </w:p>
        </w:tc>
      </w:tr>
      <w:tr>
        <w:trPr>
          <w:cantSplit/>
        </w:trPr>
        <w:tc>
          <w:tcPr>
            <w:tcW w:w="1900" w:type="dxa"/>
            <w:vAlign w:val="center"/>
          </w:tcPr>
          <w:p>
            <w:pPr>
              <w:pStyle w:val="TableText"/>
            </w:pPr>
            <w:r>
              <w:t>Do not conclude</w:t>
            </w:r>
          </w:p>
        </w:tc>
        <w:tc>
          <w:tcPr>
            <w:tcW w:w="7460" w:type="dxa"/>
            <w:vAlign w:val="center"/>
          </w:tcPr>
          <w:p>
            <w:pPr>
              <w:pStyle w:val="TableText"/>
            </w:pPr>
            <w:r>
              <w:t>A completed run does not prove model quality, and good validation does not prove future-market or live-trading performance.</w:t>
            </w:r>
          </w:p>
        </w:tc>
      </w:tr>
      <w:tr>
        <w:trPr>
          <w:cantSplit/>
        </w:trPr>
        <w:tc>
          <w:tcPr>
            <w:tcW w:w="1900" w:type="dxa"/>
            <w:vAlign w:val="center"/>
          </w:tcPr>
          <w:p>
            <w:pPr>
              <w:pStyle w:val="TableText"/>
            </w:pPr>
            <w:r>
              <w:t>Read together with</w:t>
            </w:r>
          </w:p>
        </w:tc>
        <w:tc>
          <w:tcPr>
            <w:tcW w:w="7460" w:type="dxa"/>
            <w:vAlign w:val="center"/>
          </w:tcPr>
          <w:p>
            <w:pPr>
              <w:pStyle w:val="TableText"/>
            </w:pPr>
            <w:r>
              <w:t>Stage 2, multiple seeds, one-time test, and deployment execution validation.</w:t>
            </w:r>
          </w:p>
        </w:tc>
      </w:tr>
    </w:tbl>
    <w:p>
      <w:pPr>
        <w:pStyle w:val="11"/>
      </w:pPr>
      <w:r>
        <w:t>9. Complete day-1-through-day-14 values for this run</w:t>
      </w:r>
    </w:p>
    <w:p>
      <w:pPr>
        <w:pStyle w:val="a"/>
      </w:pPr>
      <w:r>
        <w:t>These tables do not single out day five. Read every row and its trend: rising raw error may simply follow a larger target scale; normalized error is more comparable; improving correlation and direction do not imply improving drawdown.</w:t>
      </w:r>
    </w:p>
    <w:p>
      <w:pPr>
        <w:pStyle w:val="Decision"/>
        <w:keepNext/>
        <w:spacing w:after="80"/>
      </w:pPr>
      <w:r>
        <w:t>Table 4 | Error and q50 metrics</w:t>
      </w:r>
    </w:p>
    <w:tbl>
      <w:tblPr>
        <w:tblStyle w:val="BenchmarkTable"/>
        <w:tblW w:w="9360" w:type="dxa"/>
        <w:tblLayout w:type="fixed"/>
      </w:tblPr>
      <w:tblGrid>
        <w:gridCol w:w="700"/>
        <w:gridCol w:w="1500"/>
        <w:gridCol w:w="1850"/>
        <w:gridCol w:w="1750"/>
        <w:gridCol w:w="1800"/>
        <w:gridCol w:w="1760"/>
      </w:tblGrid>
      <w:tr>
        <w:trPr>
          <w:tblHeader/>
        </w:trPr>
        <w:tc>
          <w:tcPr>
            <w:tcW w:w="700" w:type="dxa"/>
            <w:shd w:val="clear" w:fill="DCE6F1"/>
            <w:vAlign w:val="center"/>
          </w:tcPr>
          <w:p>
            <w:pPr>
              <w:pStyle w:val="TableHeader"/>
            </w:pPr>
            <w:r>
              <w:t>H</w:t>
            </w:r>
          </w:p>
        </w:tc>
        <w:tc>
          <w:tcPr>
            <w:tcW w:w="1500" w:type="dxa"/>
            <w:shd w:val="clear" w:fill="DCE6F1"/>
            <w:vAlign w:val="center"/>
          </w:tcPr>
          <w:p>
            <w:pPr>
              <w:pStyle w:val="TableHeader"/>
            </w:pPr>
            <w:r>
              <w:t>Scale</w:t>
            </w:r>
          </w:p>
        </w:tc>
        <w:tc>
          <w:tcPr>
            <w:tcW w:w="1850" w:type="dxa"/>
            <w:shd w:val="clear" w:fill="DCE6F1"/>
            <w:vAlign w:val="center"/>
          </w:tcPr>
          <w:p>
            <w:pPr>
              <w:pStyle w:val="TableHeader"/>
            </w:pPr>
            <w:r>
              <w:t>Raw pinball</w:t>
            </w:r>
          </w:p>
        </w:tc>
        <w:tc>
          <w:tcPr>
            <w:tcW w:w="1750" w:type="dxa"/>
            <w:shd w:val="clear" w:fill="DCE6F1"/>
            <w:vAlign w:val="center"/>
          </w:tcPr>
          <w:p>
            <w:pPr>
              <w:pStyle w:val="TableHeader"/>
            </w:pPr>
            <w:r>
              <w:t>N-pinball</w:t>
            </w:r>
          </w:p>
        </w:tc>
        <w:tc>
          <w:tcPr>
            <w:tcW w:w="1800" w:type="dxa"/>
            <w:shd w:val="clear" w:fill="DCE6F1"/>
            <w:vAlign w:val="center"/>
          </w:tcPr>
          <w:p>
            <w:pPr>
              <w:pStyle w:val="TableHeader"/>
            </w:pPr>
            <w:r>
              <w:t>q50 MAE</w:t>
            </w:r>
          </w:p>
        </w:tc>
        <w:tc>
          <w:tcPr>
            <w:tcW w:w="1760" w:type="dxa"/>
            <w:shd w:val="clear" w:fill="DCE6F1"/>
            <w:vAlign w:val="center"/>
          </w:tcPr>
          <w:p>
            <w:pPr>
              <w:pStyle w:val="TableHeader"/>
            </w:pPr>
            <w:r>
              <w:t>N-MAE</w:t>
            </w:r>
          </w:p>
        </w:tc>
      </w:tr>
      <w:tr>
        <w:trPr>
          <w:cantSplit/>
        </w:trPr>
        <w:tc>
          <w:tcPr>
            <w:tcW w:w="700" w:type="dxa"/>
            <w:vAlign w:val="center"/>
          </w:tcPr>
          <w:p>
            <w:pPr>
              <w:pStyle w:val="TableText"/>
            </w:pPr>
            <w:r>
              <w:t>1d</w:t>
            </w:r>
          </w:p>
        </w:tc>
        <w:tc>
          <w:tcPr>
            <w:tcW w:w="1500" w:type="dxa"/>
            <w:vAlign w:val="center"/>
          </w:tcPr>
          <w:p>
            <w:pPr>
              <w:pStyle w:val="TableNumber"/>
            </w:pPr>
            <w:r>
              <w:t>0.01868</w:t>
            </w:r>
          </w:p>
        </w:tc>
        <w:tc>
          <w:tcPr>
            <w:tcW w:w="1850" w:type="dxa"/>
            <w:vAlign w:val="center"/>
          </w:tcPr>
          <w:p>
            <w:pPr>
              <w:pStyle w:val="TableNumber"/>
            </w:pPr>
            <w:r>
              <w:t>0.00700</w:t>
            </w:r>
          </w:p>
        </w:tc>
        <w:tc>
          <w:tcPr>
            <w:tcW w:w="1750" w:type="dxa"/>
            <w:vAlign w:val="center"/>
          </w:tcPr>
          <w:p>
            <w:pPr>
              <w:pStyle w:val="TableNumber"/>
            </w:pPr>
            <w:r>
              <w:t>0.3748</w:t>
            </w:r>
          </w:p>
        </w:tc>
        <w:tc>
          <w:tcPr>
            <w:tcW w:w="1800" w:type="dxa"/>
            <w:vAlign w:val="center"/>
          </w:tcPr>
          <w:p>
            <w:pPr>
              <w:pStyle w:val="TableNumber"/>
            </w:pPr>
            <w:r>
              <w:t>0.01962</w:t>
            </w:r>
          </w:p>
        </w:tc>
        <w:tc>
          <w:tcPr>
            <w:tcW w:w="1760" w:type="dxa"/>
            <w:vAlign w:val="center"/>
          </w:tcPr>
          <w:p>
            <w:pPr>
              <w:pStyle w:val="TableNumber"/>
            </w:pPr>
            <w:r>
              <w:t>1.0508</w:t>
            </w:r>
          </w:p>
        </w:tc>
      </w:tr>
      <w:tr>
        <w:trPr>
          <w:cantSplit/>
        </w:trPr>
        <w:tc>
          <w:tcPr>
            <w:tcW w:w="700" w:type="dxa"/>
            <w:vAlign w:val="center"/>
          </w:tcPr>
          <w:p>
            <w:pPr>
              <w:pStyle w:val="TableText"/>
            </w:pPr>
            <w:r>
              <w:t>2d</w:t>
            </w:r>
          </w:p>
        </w:tc>
        <w:tc>
          <w:tcPr>
            <w:tcW w:w="1500" w:type="dxa"/>
            <w:vAlign w:val="center"/>
          </w:tcPr>
          <w:p>
            <w:pPr>
              <w:pStyle w:val="TableNumber"/>
            </w:pPr>
            <w:r>
              <w:t>0.03052</w:t>
            </w:r>
          </w:p>
        </w:tc>
        <w:tc>
          <w:tcPr>
            <w:tcW w:w="1850" w:type="dxa"/>
            <w:vAlign w:val="center"/>
          </w:tcPr>
          <w:p>
            <w:pPr>
              <w:pStyle w:val="TableNumber"/>
            </w:pPr>
            <w:r>
              <w:t>0.01006</w:t>
            </w:r>
          </w:p>
        </w:tc>
        <w:tc>
          <w:tcPr>
            <w:tcW w:w="1750" w:type="dxa"/>
            <w:vAlign w:val="center"/>
          </w:tcPr>
          <w:p>
            <w:pPr>
              <w:pStyle w:val="TableNumber"/>
            </w:pPr>
            <w:r>
              <w:t>0.3295</w:t>
            </w:r>
          </w:p>
        </w:tc>
        <w:tc>
          <w:tcPr>
            <w:tcW w:w="1800" w:type="dxa"/>
            <w:vAlign w:val="center"/>
          </w:tcPr>
          <w:p>
            <w:pPr>
              <w:pStyle w:val="TableNumber"/>
            </w:pPr>
            <w:r>
              <w:t>0.02892</w:t>
            </w:r>
          </w:p>
        </w:tc>
        <w:tc>
          <w:tcPr>
            <w:tcW w:w="1760" w:type="dxa"/>
            <w:vAlign w:val="center"/>
          </w:tcPr>
          <w:p>
            <w:pPr>
              <w:pStyle w:val="TableNumber"/>
            </w:pPr>
            <w:r>
              <w:t>0.9478</w:t>
            </w:r>
          </w:p>
        </w:tc>
      </w:tr>
      <w:tr>
        <w:trPr>
          <w:cantSplit/>
        </w:trPr>
        <w:tc>
          <w:tcPr>
            <w:tcW w:w="700" w:type="dxa"/>
            <w:vAlign w:val="center"/>
          </w:tcPr>
          <w:p>
            <w:pPr>
              <w:pStyle w:val="TableText"/>
            </w:pPr>
            <w:r>
              <w:t>3d</w:t>
            </w:r>
          </w:p>
        </w:tc>
        <w:tc>
          <w:tcPr>
            <w:tcW w:w="1500" w:type="dxa"/>
            <w:vAlign w:val="center"/>
          </w:tcPr>
          <w:p>
            <w:pPr>
              <w:pStyle w:val="TableNumber"/>
            </w:pPr>
            <w:r>
              <w:t>0.03809</w:t>
            </w:r>
          </w:p>
        </w:tc>
        <w:tc>
          <w:tcPr>
            <w:tcW w:w="1850" w:type="dxa"/>
            <w:vAlign w:val="center"/>
          </w:tcPr>
          <w:p>
            <w:pPr>
              <w:pStyle w:val="TableNumber"/>
            </w:pPr>
            <w:r>
              <w:t>0.01258</w:t>
            </w:r>
          </w:p>
        </w:tc>
        <w:tc>
          <w:tcPr>
            <w:tcW w:w="1750" w:type="dxa"/>
            <w:vAlign w:val="center"/>
          </w:tcPr>
          <w:p>
            <w:pPr>
              <w:pStyle w:val="TableNumber"/>
            </w:pPr>
            <w:r>
              <w:t>0.3304</w:t>
            </w:r>
          </w:p>
        </w:tc>
        <w:tc>
          <w:tcPr>
            <w:tcW w:w="1800" w:type="dxa"/>
            <w:vAlign w:val="center"/>
          </w:tcPr>
          <w:p>
            <w:pPr>
              <w:pStyle w:val="TableNumber"/>
            </w:pPr>
            <w:r>
              <w:t>0.03626</w:t>
            </w:r>
          </w:p>
        </w:tc>
        <w:tc>
          <w:tcPr>
            <w:tcW w:w="1760" w:type="dxa"/>
            <w:vAlign w:val="center"/>
          </w:tcPr>
          <w:p>
            <w:pPr>
              <w:pStyle w:val="TableNumber"/>
            </w:pPr>
            <w:r>
              <w:t>0.9522</w:t>
            </w:r>
          </w:p>
        </w:tc>
      </w:tr>
      <w:tr>
        <w:trPr>
          <w:cantSplit/>
        </w:trPr>
        <w:tc>
          <w:tcPr>
            <w:tcW w:w="700" w:type="dxa"/>
            <w:vAlign w:val="center"/>
          </w:tcPr>
          <w:p>
            <w:pPr>
              <w:pStyle w:val="TableText"/>
            </w:pPr>
            <w:r>
              <w:t>4d</w:t>
            </w:r>
          </w:p>
        </w:tc>
        <w:tc>
          <w:tcPr>
            <w:tcW w:w="1500" w:type="dxa"/>
            <w:vAlign w:val="center"/>
          </w:tcPr>
          <w:p>
            <w:pPr>
              <w:pStyle w:val="TableNumber"/>
            </w:pPr>
            <w:r>
              <w:t>0.04517</w:t>
            </w:r>
          </w:p>
        </w:tc>
        <w:tc>
          <w:tcPr>
            <w:tcW w:w="1850" w:type="dxa"/>
            <w:vAlign w:val="center"/>
          </w:tcPr>
          <w:p>
            <w:pPr>
              <w:pStyle w:val="TableNumber"/>
            </w:pPr>
            <w:r>
              <w:t>0.01458</w:t>
            </w:r>
          </w:p>
        </w:tc>
        <w:tc>
          <w:tcPr>
            <w:tcW w:w="1750" w:type="dxa"/>
            <w:vAlign w:val="center"/>
          </w:tcPr>
          <w:p>
            <w:pPr>
              <w:pStyle w:val="TableNumber"/>
            </w:pPr>
            <w:r>
              <w:t>0.3228</w:t>
            </w:r>
          </w:p>
        </w:tc>
        <w:tc>
          <w:tcPr>
            <w:tcW w:w="1800" w:type="dxa"/>
            <w:vAlign w:val="center"/>
          </w:tcPr>
          <w:p>
            <w:pPr>
              <w:pStyle w:val="TableNumber"/>
            </w:pPr>
            <w:r>
              <w:t>0.04231</w:t>
            </w:r>
          </w:p>
        </w:tc>
        <w:tc>
          <w:tcPr>
            <w:tcW w:w="1760" w:type="dxa"/>
            <w:vAlign w:val="center"/>
          </w:tcPr>
          <w:p>
            <w:pPr>
              <w:pStyle w:val="TableNumber"/>
            </w:pPr>
            <w:r>
              <w:t>0.9368</w:t>
            </w:r>
          </w:p>
        </w:tc>
      </w:tr>
      <w:tr>
        <w:trPr>
          <w:cantSplit/>
        </w:trPr>
        <w:tc>
          <w:tcPr>
            <w:tcW w:w="700" w:type="dxa"/>
            <w:vAlign w:val="center"/>
          </w:tcPr>
          <w:p>
            <w:pPr>
              <w:pStyle w:val="TableText"/>
            </w:pPr>
            <w:r>
              <w:t>5d</w:t>
            </w:r>
          </w:p>
        </w:tc>
        <w:tc>
          <w:tcPr>
            <w:tcW w:w="1500" w:type="dxa"/>
            <w:vAlign w:val="center"/>
          </w:tcPr>
          <w:p>
            <w:pPr>
              <w:pStyle w:val="TableNumber"/>
            </w:pPr>
            <w:r>
              <w:t>0.05078</w:t>
            </w:r>
          </w:p>
        </w:tc>
        <w:tc>
          <w:tcPr>
            <w:tcW w:w="1850" w:type="dxa"/>
            <w:vAlign w:val="center"/>
          </w:tcPr>
          <w:p>
            <w:pPr>
              <w:pStyle w:val="TableNumber"/>
            </w:pPr>
            <w:r>
              <w:t>0.01629</w:t>
            </w:r>
          </w:p>
        </w:tc>
        <w:tc>
          <w:tcPr>
            <w:tcW w:w="1750" w:type="dxa"/>
            <w:vAlign w:val="center"/>
          </w:tcPr>
          <w:p>
            <w:pPr>
              <w:pStyle w:val="TableNumber"/>
            </w:pPr>
            <w:r>
              <w:t>0.3208</w:t>
            </w:r>
          </w:p>
        </w:tc>
        <w:tc>
          <w:tcPr>
            <w:tcW w:w="1800" w:type="dxa"/>
            <w:vAlign w:val="center"/>
          </w:tcPr>
          <w:p>
            <w:pPr>
              <w:pStyle w:val="TableNumber"/>
            </w:pPr>
            <w:r>
              <w:t>0.04728</w:t>
            </w:r>
          </w:p>
        </w:tc>
        <w:tc>
          <w:tcPr>
            <w:tcW w:w="1760" w:type="dxa"/>
            <w:vAlign w:val="center"/>
          </w:tcPr>
          <w:p>
            <w:pPr>
              <w:pStyle w:val="TableNumber"/>
            </w:pPr>
            <w:r>
              <w:t>0.9311</w:t>
            </w:r>
          </w:p>
        </w:tc>
      </w:tr>
      <w:tr>
        <w:trPr>
          <w:cantSplit/>
        </w:trPr>
        <w:tc>
          <w:tcPr>
            <w:tcW w:w="700" w:type="dxa"/>
            <w:vAlign w:val="center"/>
          </w:tcPr>
          <w:p>
            <w:pPr>
              <w:pStyle w:val="TableText"/>
            </w:pPr>
            <w:r>
              <w:t>6d</w:t>
            </w:r>
          </w:p>
        </w:tc>
        <w:tc>
          <w:tcPr>
            <w:tcW w:w="1500" w:type="dxa"/>
            <w:vAlign w:val="center"/>
          </w:tcPr>
          <w:p>
            <w:pPr>
              <w:pStyle w:val="TableNumber"/>
            </w:pPr>
            <w:r>
              <w:t>0.05615</w:t>
            </w:r>
          </w:p>
        </w:tc>
        <w:tc>
          <w:tcPr>
            <w:tcW w:w="1850" w:type="dxa"/>
            <w:vAlign w:val="center"/>
          </w:tcPr>
          <w:p>
            <w:pPr>
              <w:pStyle w:val="TableNumber"/>
            </w:pPr>
            <w:r>
              <w:t>0.01777</w:t>
            </w:r>
          </w:p>
        </w:tc>
        <w:tc>
          <w:tcPr>
            <w:tcW w:w="1750" w:type="dxa"/>
            <w:vAlign w:val="center"/>
          </w:tcPr>
          <w:p>
            <w:pPr>
              <w:pStyle w:val="TableNumber"/>
            </w:pPr>
            <w:r>
              <w:t>0.3165</w:t>
            </w:r>
          </w:p>
        </w:tc>
        <w:tc>
          <w:tcPr>
            <w:tcW w:w="1800" w:type="dxa"/>
            <w:vAlign w:val="center"/>
          </w:tcPr>
          <w:p>
            <w:pPr>
              <w:pStyle w:val="TableNumber"/>
            </w:pPr>
            <w:r>
              <w:t>0.05165</w:t>
            </w:r>
          </w:p>
        </w:tc>
        <w:tc>
          <w:tcPr>
            <w:tcW w:w="1760" w:type="dxa"/>
            <w:vAlign w:val="center"/>
          </w:tcPr>
          <w:p>
            <w:pPr>
              <w:pStyle w:val="TableNumber"/>
            </w:pPr>
            <w:r>
              <w:t>0.9198</w:t>
            </w:r>
          </w:p>
        </w:tc>
      </w:tr>
      <w:tr>
        <w:trPr>
          <w:cantSplit/>
        </w:trPr>
        <w:tc>
          <w:tcPr>
            <w:tcW w:w="700" w:type="dxa"/>
            <w:vAlign w:val="center"/>
          </w:tcPr>
          <w:p>
            <w:pPr>
              <w:pStyle w:val="TableText"/>
            </w:pPr>
            <w:r>
              <w:t>7d</w:t>
            </w:r>
          </w:p>
        </w:tc>
        <w:tc>
          <w:tcPr>
            <w:tcW w:w="1500" w:type="dxa"/>
            <w:vAlign w:val="center"/>
          </w:tcPr>
          <w:p>
            <w:pPr>
              <w:pStyle w:val="TableNumber"/>
            </w:pPr>
            <w:r>
              <w:t>0.06152</w:t>
            </w:r>
          </w:p>
        </w:tc>
        <w:tc>
          <w:tcPr>
            <w:tcW w:w="1850" w:type="dxa"/>
            <w:vAlign w:val="center"/>
          </w:tcPr>
          <w:p>
            <w:pPr>
              <w:pStyle w:val="TableNumber"/>
            </w:pPr>
            <w:r>
              <w:t>0.01918</w:t>
            </w:r>
          </w:p>
        </w:tc>
        <w:tc>
          <w:tcPr>
            <w:tcW w:w="1750" w:type="dxa"/>
            <w:vAlign w:val="center"/>
          </w:tcPr>
          <w:p>
            <w:pPr>
              <w:pStyle w:val="TableNumber"/>
            </w:pPr>
            <w:r>
              <w:t>0.3117</w:t>
            </w:r>
          </w:p>
        </w:tc>
        <w:tc>
          <w:tcPr>
            <w:tcW w:w="1800" w:type="dxa"/>
            <w:vAlign w:val="center"/>
          </w:tcPr>
          <w:p>
            <w:pPr>
              <w:pStyle w:val="TableNumber"/>
            </w:pPr>
            <w:r>
              <w:t>0.05589</w:t>
            </w:r>
          </w:p>
        </w:tc>
        <w:tc>
          <w:tcPr>
            <w:tcW w:w="1760" w:type="dxa"/>
            <w:vAlign w:val="center"/>
          </w:tcPr>
          <w:p>
            <w:pPr>
              <w:pStyle w:val="TableNumber"/>
            </w:pPr>
            <w:r>
              <w:t>0.9085</w:t>
            </w:r>
          </w:p>
        </w:tc>
      </w:tr>
      <w:tr>
        <w:trPr>
          <w:cantSplit/>
        </w:trPr>
        <w:tc>
          <w:tcPr>
            <w:tcW w:w="700" w:type="dxa"/>
            <w:vAlign w:val="center"/>
          </w:tcPr>
          <w:p>
            <w:pPr>
              <w:pStyle w:val="TableText"/>
            </w:pPr>
            <w:r>
              <w:t>8d</w:t>
            </w:r>
          </w:p>
        </w:tc>
        <w:tc>
          <w:tcPr>
            <w:tcW w:w="1500" w:type="dxa"/>
            <w:vAlign w:val="center"/>
          </w:tcPr>
          <w:p>
            <w:pPr>
              <w:pStyle w:val="TableNumber"/>
            </w:pPr>
            <w:r>
              <w:t>0.06592</w:t>
            </w:r>
          </w:p>
        </w:tc>
        <w:tc>
          <w:tcPr>
            <w:tcW w:w="1850" w:type="dxa"/>
            <w:vAlign w:val="center"/>
          </w:tcPr>
          <w:p>
            <w:pPr>
              <w:pStyle w:val="TableNumber"/>
            </w:pPr>
            <w:r>
              <w:t>0.02045</w:t>
            </w:r>
          </w:p>
        </w:tc>
        <w:tc>
          <w:tcPr>
            <w:tcW w:w="1750" w:type="dxa"/>
            <w:vAlign w:val="center"/>
          </w:tcPr>
          <w:p>
            <w:pPr>
              <w:pStyle w:val="TableNumber"/>
            </w:pPr>
            <w:r>
              <w:t>0.3102</w:t>
            </w:r>
          </w:p>
        </w:tc>
        <w:tc>
          <w:tcPr>
            <w:tcW w:w="1800" w:type="dxa"/>
            <w:vAlign w:val="center"/>
          </w:tcPr>
          <w:p>
            <w:pPr>
              <w:pStyle w:val="TableNumber"/>
            </w:pPr>
            <w:r>
              <w:t>0.05960</w:t>
            </w:r>
          </w:p>
        </w:tc>
        <w:tc>
          <w:tcPr>
            <w:tcW w:w="1760" w:type="dxa"/>
            <w:vAlign w:val="center"/>
          </w:tcPr>
          <w:p>
            <w:pPr>
              <w:pStyle w:val="TableNumber"/>
            </w:pPr>
            <w:r>
              <w:t>0.9042</w:t>
            </w:r>
          </w:p>
        </w:tc>
      </w:tr>
      <w:tr>
        <w:trPr>
          <w:cantSplit/>
        </w:trPr>
        <w:tc>
          <w:tcPr>
            <w:tcW w:w="700" w:type="dxa"/>
            <w:vAlign w:val="center"/>
          </w:tcPr>
          <w:p>
            <w:pPr>
              <w:pStyle w:val="TableText"/>
            </w:pPr>
            <w:r>
              <w:t>9d</w:t>
            </w:r>
          </w:p>
        </w:tc>
        <w:tc>
          <w:tcPr>
            <w:tcW w:w="1500" w:type="dxa"/>
            <w:vAlign w:val="center"/>
          </w:tcPr>
          <w:p>
            <w:pPr>
              <w:pStyle w:val="TableNumber"/>
            </w:pPr>
            <w:r>
              <w:t>0.07080</w:t>
            </w:r>
          </w:p>
        </w:tc>
        <w:tc>
          <w:tcPr>
            <w:tcW w:w="1850" w:type="dxa"/>
            <w:vAlign w:val="center"/>
          </w:tcPr>
          <w:p>
            <w:pPr>
              <w:pStyle w:val="TableNumber"/>
            </w:pPr>
            <w:r>
              <w:t>0.02159</w:t>
            </w:r>
          </w:p>
        </w:tc>
        <w:tc>
          <w:tcPr>
            <w:tcW w:w="1750" w:type="dxa"/>
            <w:vAlign w:val="center"/>
          </w:tcPr>
          <w:p>
            <w:pPr>
              <w:pStyle w:val="TableNumber"/>
            </w:pPr>
            <w:r>
              <w:t>0.3049</w:t>
            </w:r>
          </w:p>
        </w:tc>
        <w:tc>
          <w:tcPr>
            <w:tcW w:w="1800" w:type="dxa"/>
            <w:vAlign w:val="center"/>
          </w:tcPr>
          <w:p>
            <w:pPr>
              <w:pStyle w:val="TableNumber"/>
            </w:pPr>
            <w:r>
              <w:t>0.06307</w:t>
            </w:r>
          </w:p>
        </w:tc>
        <w:tc>
          <w:tcPr>
            <w:tcW w:w="1760" w:type="dxa"/>
            <w:vAlign w:val="center"/>
          </w:tcPr>
          <w:p>
            <w:pPr>
              <w:pStyle w:val="TableNumber"/>
            </w:pPr>
            <w:r>
              <w:t>0.8908</w:t>
            </w:r>
          </w:p>
        </w:tc>
      </w:tr>
      <w:tr>
        <w:trPr>
          <w:cantSplit/>
        </w:trPr>
        <w:tc>
          <w:tcPr>
            <w:tcW w:w="700" w:type="dxa"/>
            <w:vAlign w:val="center"/>
          </w:tcPr>
          <w:p>
            <w:pPr>
              <w:pStyle w:val="TableText"/>
            </w:pPr>
            <w:r>
              <w:t>10d</w:t>
            </w:r>
          </w:p>
        </w:tc>
        <w:tc>
          <w:tcPr>
            <w:tcW w:w="1500" w:type="dxa"/>
            <w:vAlign w:val="center"/>
          </w:tcPr>
          <w:p>
            <w:pPr>
              <w:pStyle w:val="TableNumber"/>
            </w:pPr>
            <w:r>
              <w:t>0.07520</w:t>
            </w:r>
          </w:p>
        </w:tc>
        <w:tc>
          <w:tcPr>
            <w:tcW w:w="1850" w:type="dxa"/>
            <w:vAlign w:val="center"/>
          </w:tcPr>
          <w:p>
            <w:pPr>
              <w:pStyle w:val="TableNumber"/>
            </w:pPr>
            <w:r>
              <w:t>0.02265</w:t>
            </w:r>
          </w:p>
        </w:tc>
        <w:tc>
          <w:tcPr>
            <w:tcW w:w="1750" w:type="dxa"/>
            <w:vAlign w:val="center"/>
          </w:tcPr>
          <w:p>
            <w:pPr>
              <w:pStyle w:val="TableNumber"/>
            </w:pPr>
            <w:r>
              <w:t>0.3012</w:t>
            </w:r>
          </w:p>
        </w:tc>
        <w:tc>
          <w:tcPr>
            <w:tcW w:w="1800" w:type="dxa"/>
            <w:vAlign w:val="center"/>
          </w:tcPr>
          <w:p>
            <w:pPr>
              <w:pStyle w:val="TableNumber"/>
            </w:pPr>
            <w:r>
              <w:t>0.06630</w:t>
            </w:r>
          </w:p>
        </w:tc>
        <w:tc>
          <w:tcPr>
            <w:tcW w:w="1760" w:type="dxa"/>
            <w:vAlign w:val="center"/>
          </w:tcPr>
          <w:p>
            <w:pPr>
              <w:pStyle w:val="TableNumber"/>
            </w:pPr>
            <w:r>
              <w:t>0.8817</w:t>
            </w:r>
          </w:p>
        </w:tc>
      </w:tr>
      <w:tr>
        <w:trPr>
          <w:cantSplit/>
        </w:trPr>
        <w:tc>
          <w:tcPr>
            <w:tcW w:w="700" w:type="dxa"/>
            <w:vAlign w:val="center"/>
          </w:tcPr>
          <w:p>
            <w:pPr>
              <w:pStyle w:val="TableText"/>
            </w:pPr>
            <w:r>
              <w:t>11d</w:t>
            </w:r>
          </w:p>
        </w:tc>
        <w:tc>
          <w:tcPr>
            <w:tcW w:w="1500" w:type="dxa"/>
            <w:vAlign w:val="center"/>
          </w:tcPr>
          <w:p>
            <w:pPr>
              <w:pStyle w:val="TableNumber"/>
            </w:pPr>
            <w:r>
              <w:t>0.07861</w:t>
            </w:r>
          </w:p>
        </w:tc>
        <w:tc>
          <w:tcPr>
            <w:tcW w:w="1850" w:type="dxa"/>
            <w:vAlign w:val="center"/>
          </w:tcPr>
          <w:p>
            <w:pPr>
              <w:pStyle w:val="TableNumber"/>
            </w:pPr>
            <w:r>
              <w:t>0.02375</w:t>
            </w:r>
          </w:p>
        </w:tc>
        <w:tc>
          <w:tcPr>
            <w:tcW w:w="1750" w:type="dxa"/>
            <w:vAlign w:val="center"/>
          </w:tcPr>
          <w:p>
            <w:pPr>
              <w:pStyle w:val="TableNumber"/>
            </w:pPr>
            <w:r>
              <w:t>0.3021</w:t>
            </w:r>
          </w:p>
        </w:tc>
        <w:tc>
          <w:tcPr>
            <w:tcW w:w="1800" w:type="dxa"/>
            <w:vAlign w:val="center"/>
          </w:tcPr>
          <w:p>
            <w:pPr>
              <w:pStyle w:val="TableNumber"/>
            </w:pPr>
            <w:r>
              <w:t>0.06970</w:t>
            </w:r>
          </w:p>
        </w:tc>
        <w:tc>
          <w:tcPr>
            <w:tcW w:w="1760" w:type="dxa"/>
            <w:vAlign w:val="center"/>
          </w:tcPr>
          <w:p>
            <w:pPr>
              <w:pStyle w:val="TableNumber"/>
            </w:pPr>
            <w:r>
              <w:t>0.8867</w:t>
            </w:r>
          </w:p>
        </w:tc>
      </w:tr>
      <w:tr>
        <w:trPr>
          <w:cantSplit/>
        </w:trPr>
        <w:tc>
          <w:tcPr>
            <w:tcW w:w="700" w:type="dxa"/>
            <w:vAlign w:val="center"/>
          </w:tcPr>
          <w:p>
            <w:pPr>
              <w:pStyle w:val="TableText"/>
            </w:pPr>
            <w:r>
              <w:t>12d</w:t>
            </w:r>
          </w:p>
        </w:tc>
        <w:tc>
          <w:tcPr>
            <w:tcW w:w="1500" w:type="dxa"/>
            <w:vAlign w:val="center"/>
          </w:tcPr>
          <w:p>
            <w:pPr>
              <w:pStyle w:val="TableNumber"/>
            </w:pPr>
            <w:r>
              <w:t>0.08350</w:t>
            </w:r>
          </w:p>
        </w:tc>
        <w:tc>
          <w:tcPr>
            <w:tcW w:w="1850" w:type="dxa"/>
            <w:vAlign w:val="center"/>
          </w:tcPr>
          <w:p>
            <w:pPr>
              <w:pStyle w:val="TableNumber"/>
            </w:pPr>
            <w:r>
              <w:t>0.02475</w:t>
            </w:r>
          </w:p>
        </w:tc>
        <w:tc>
          <w:tcPr>
            <w:tcW w:w="1750" w:type="dxa"/>
            <w:vAlign w:val="center"/>
          </w:tcPr>
          <w:p>
            <w:pPr>
              <w:pStyle w:val="TableNumber"/>
            </w:pPr>
            <w:r>
              <w:t>0.2964</w:t>
            </w:r>
          </w:p>
        </w:tc>
        <w:tc>
          <w:tcPr>
            <w:tcW w:w="1800" w:type="dxa"/>
            <w:vAlign w:val="center"/>
          </w:tcPr>
          <w:p>
            <w:pPr>
              <w:pStyle w:val="TableNumber"/>
            </w:pPr>
            <w:r>
              <w:t>0.07274</w:t>
            </w:r>
          </w:p>
        </w:tc>
        <w:tc>
          <w:tcPr>
            <w:tcW w:w="1760" w:type="dxa"/>
            <w:vAlign w:val="center"/>
          </w:tcPr>
          <w:p>
            <w:pPr>
              <w:pStyle w:val="TableNumber"/>
            </w:pPr>
            <w:r>
              <w:t>0.8712</w:t>
            </w:r>
          </w:p>
        </w:tc>
      </w:tr>
      <w:tr>
        <w:trPr>
          <w:cantSplit/>
        </w:trPr>
        <w:tc>
          <w:tcPr>
            <w:tcW w:w="700" w:type="dxa"/>
            <w:vAlign w:val="center"/>
          </w:tcPr>
          <w:p>
            <w:pPr>
              <w:pStyle w:val="TableText"/>
            </w:pPr>
            <w:r>
              <w:t>13d</w:t>
            </w:r>
          </w:p>
        </w:tc>
        <w:tc>
          <w:tcPr>
            <w:tcW w:w="1500" w:type="dxa"/>
            <w:vAlign w:val="center"/>
          </w:tcPr>
          <w:p>
            <w:pPr>
              <w:pStyle w:val="TableNumber"/>
            </w:pPr>
            <w:r>
              <w:t>0.08789</w:t>
            </w:r>
          </w:p>
        </w:tc>
        <w:tc>
          <w:tcPr>
            <w:tcW w:w="1850" w:type="dxa"/>
            <w:vAlign w:val="center"/>
          </w:tcPr>
          <w:p>
            <w:pPr>
              <w:pStyle w:val="TableNumber"/>
            </w:pPr>
            <w:r>
              <w:t>0.02577</w:t>
            </w:r>
          </w:p>
        </w:tc>
        <w:tc>
          <w:tcPr>
            <w:tcW w:w="1750" w:type="dxa"/>
            <w:vAlign w:val="center"/>
          </w:tcPr>
          <w:p>
            <w:pPr>
              <w:pStyle w:val="TableNumber"/>
            </w:pPr>
            <w:r>
              <w:t>0.2932</w:t>
            </w:r>
          </w:p>
        </w:tc>
        <w:tc>
          <w:tcPr>
            <w:tcW w:w="1800" w:type="dxa"/>
            <w:vAlign w:val="center"/>
          </w:tcPr>
          <w:p>
            <w:pPr>
              <w:pStyle w:val="TableNumber"/>
            </w:pPr>
            <w:r>
              <w:t>0.07582</w:t>
            </w:r>
          </w:p>
        </w:tc>
        <w:tc>
          <w:tcPr>
            <w:tcW w:w="1760" w:type="dxa"/>
            <w:vAlign w:val="center"/>
          </w:tcPr>
          <w:p>
            <w:pPr>
              <w:pStyle w:val="TableNumber"/>
            </w:pPr>
            <w:r>
              <w:t>0.8626</w:t>
            </w:r>
          </w:p>
        </w:tc>
      </w:tr>
      <w:tr>
        <w:trPr>
          <w:cantSplit/>
        </w:trPr>
        <w:tc>
          <w:tcPr>
            <w:tcW w:w="700" w:type="dxa"/>
            <w:vAlign w:val="center"/>
          </w:tcPr>
          <w:p>
            <w:pPr>
              <w:pStyle w:val="TableText"/>
            </w:pPr>
            <w:r>
              <w:t>14d</w:t>
            </w:r>
          </w:p>
        </w:tc>
        <w:tc>
          <w:tcPr>
            <w:tcW w:w="1500" w:type="dxa"/>
            <w:vAlign w:val="center"/>
          </w:tcPr>
          <w:p>
            <w:pPr>
              <w:pStyle w:val="TableNumber"/>
            </w:pPr>
            <w:r>
              <w:t>0.09131</w:t>
            </w:r>
          </w:p>
        </w:tc>
        <w:tc>
          <w:tcPr>
            <w:tcW w:w="1850" w:type="dxa"/>
            <w:vAlign w:val="center"/>
          </w:tcPr>
          <w:p>
            <w:pPr>
              <w:pStyle w:val="TableNumber"/>
            </w:pPr>
            <w:r>
              <w:t>0.02667</w:t>
            </w:r>
          </w:p>
        </w:tc>
        <w:tc>
          <w:tcPr>
            <w:tcW w:w="1750" w:type="dxa"/>
            <w:vAlign w:val="center"/>
          </w:tcPr>
          <w:p>
            <w:pPr>
              <w:pStyle w:val="TableNumber"/>
            </w:pPr>
            <w:r>
              <w:t>0.2921</w:t>
            </w:r>
          </w:p>
        </w:tc>
        <w:tc>
          <w:tcPr>
            <w:tcW w:w="1800" w:type="dxa"/>
            <w:vAlign w:val="center"/>
          </w:tcPr>
          <w:p>
            <w:pPr>
              <w:pStyle w:val="TableNumber"/>
            </w:pPr>
            <w:r>
              <w:t>0.07854</w:t>
            </w:r>
          </w:p>
        </w:tc>
        <w:tc>
          <w:tcPr>
            <w:tcW w:w="1760" w:type="dxa"/>
            <w:vAlign w:val="center"/>
          </w:tcPr>
          <w:p>
            <w:pPr>
              <w:pStyle w:val="TableNumber"/>
            </w:pPr>
            <w:r>
              <w:t>0.8602</w:t>
            </w:r>
          </w:p>
        </w:tc>
      </w:tr>
    </w:tbl>
    <w:p>
      <w:pPr>
        <w:pStyle w:val="Decision"/>
        <w:keepNext/>
        <w:spacing w:after="80"/>
      </w:pPr>
      <w:r>
        <w:t>Table 5 | q50 co-movement, direction, and q10–q90 interval</w:t>
      </w:r>
    </w:p>
    <w:tbl>
      <w:tblPr>
        <w:tblStyle w:val="BenchmarkTable"/>
        <w:tblW w:w="9360" w:type="dxa"/>
        <w:tblLayout w:type="fixed"/>
      </w:tblPr>
      <w:tblGrid>
        <w:gridCol w:w="700"/>
        <w:gridCol w:w="1700"/>
        <w:gridCol w:w="1750"/>
        <w:gridCol w:w="1750"/>
        <w:gridCol w:w="1900"/>
        <w:gridCol w:w="1560"/>
      </w:tblGrid>
      <w:tr>
        <w:trPr>
          <w:tblHeader/>
        </w:trPr>
        <w:tc>
          <w:tcPr>
            <w:tcW w:w="700" w:type="dxa"/>
            <w:shd w:val="clear" w:fill="DCE6F1"/>
            <w:vAlign w:val="center"/>
          </w:tcPr>
          <w:p>
            <w:pPr>
              <w:pStyle w:val="TableHeader"/>
            </w:pPr>
            <w:r>
              <w:t>H</w:t>
            </w:r>
          </w:p>
        </w:tc>
        <w:tc>
          <w:tcPr>
            <w:tcW w:w="1700" w:type="dxa"/>
            <w:shd w:val="clear" w:fill="DCE6F1"/>
            <w:vAlign w:val="center"/>
          </w:tcPr>
          <w:p>
            <w:pPr>
              <w:pStyle w:val="TableHeader"/>
            </w:pPr>
            <w:r>
              <w:t>q50 corr.</w:t>
            </w:r>
          </w:p>
        </w:tc>
        <w:tc>
          <w:tcPr>
            <w:tcW w:w="1750" w:type="dxa"/>
            <w:shd w:val="clear" w:fill="DCE6F1"/>
            <w:vAlign w:val="center"/>
          </w:tcPr>
          <w:p>
            <w:pPr>
              <w:pStyle w:val="TableHeader"/>
            </w:pPr>
            <w:r>
              <w:t>Direction</w:t>
            </w:r>
          </w:p>
        </w:tc>
        <w:tc>
          <w:tcPr>
            <w:tcW w:w="1750" w:type="dxa"/>
            <w:shd w:val="clear" w:fill="DCE6F1"/>
            <w:vAlign w:val="center"/>
          </w:tcPr>
          <w:p>
            <w:pPr>
              <w:pStyle w:val="TableHeader"/>
            </w:pPr>
            <w:r>
              <w:t>Coverage</w:t>
            </w:r>
          </w:p>
        </w:tc>
        <w:tc>
          <w:tcPr>
            <w:tcW w:w="1900" w:type="dxa"/>
            <w:shd w:val="clear" w:fill="DCE6F1"/>
            <w:vAlign w:val="center"/>
          </w:tcPr>
          <w:p>
            <w:pPr>
              <w:pStyle w:val="TableHeader"/>
            </w:pPr>
            <w:r>
              <w:t>Gap to 80%</w:t>
            </w:r>
          </w:p>
        </w:tc>
        <w:tc>
          <w:tcPr>
            <w:tcW w:w="1560" w:type="dxa"/>
            <w:shd w:val="clear" w:fill="DCE6F1"/>
            <w:vAlign w:val="center"/>
          </w:tcPr>
          <w:p>
            <w:pPr>
              <w:pStyle w:val="TableHeader"/>
            </w:pPr>
            <w:r>
              <w:t>Width</w:t>
            </w:r>
          </w:p>
        </w:tc>
      </w:tr>
      <w:tr>
        <w:trPr>
          <w:cantSplit/>
        </w:trPr>
        <w:tc>
          <w:tcPr>
            <w:tcW w:w="700" w:type="dxa"/>
            <w:vAlign w:val="center"/>
          </w:tcPr>
          <w:p>
            <w:pPr>
              <w:pStyle w:val="TableText"/>
            </w:pPr>
            <w:r>
              <w:t>1d</w:t>
            </w:r>
          </w:p>
        </w:tc>
        <w:tc>
          <w:tcPr>
            <w:tcW w:w="1700" w:type="dxa"/>
            <w:vAlign w:val="center"/>
          </w:tcPr>
          <w:p>
            <w:pPr>
              <w:pStyle w:val="TableNumber"/>
            </w:pPr>
            <w:r>
              <w:t>0.0507</w:t>
            </w:r>
          </w:p>
        </w:tc>
        <w:tc>
          <w:tcPr>
            <w:tcW w:w="1750" w:type="dxa"/>
            <w:vAlign w:val="center"/>
          </w:tcPr>
          <w:p>
            <w:pPr>
              <w:pStyle w:val="TableNumber"/>
            </w:pPr>
            <w:r>
              <w:t>49.40%</w:t>
            </w:r>
          </w:p>
        </w:tc>
        <w:tc>
          <w:tcPr>
            <w:tcW w:w="1750" w:type="dxa"/>
            <w:vAlign w:val="center"/>
          </w:tcPr>
          <w:p>
            <w:pPr>
              <w:pStyle w:val="TableNumber"/>
            </w:pPr>
            <w:r>
              <w:t>83.59%</w:t>
            </w:r>
          </w:p>
        </w:tc>
        <w:tc>
          <w:tcPr>
            <w:tcW w:w="1900" w:type="dxa"/>
            <w:vAlign w:val="center"/>
          </w:tcPr>
          <w:p>
            <w:pPr>
              <w:pStyle w:val="TableNumber"/>
            </w:pPr>
            <w:r>
              <w:t>3.59 pp</w:t>
            </w:r>
          </w:p>
        </w:tc>
        <w:tc>
          <w:tcPr>
            <w:tcW w:w="1560" w:type="dxa"/>
            <w:vAlign w:val="center"/>
          </w:tcPr>
          <w:p>
            <w:pPr>
              <w:pStyle w:val="TableNumber"/>
            </w:pPr>
            <w:r>
              <w:t>0.0604</w:t>
            </w:r>
          </w:p>
        </w:tc>
      </w:tr>
      <w:tr>
        <w:trPr>
          <w:cantSplit/>
        </w:trPr>
        <w:tc>
          <w:tcPr>
            <w:tcW w:w="700" w:type="dxa"/>
            <w:vAlign w:val="center"/>
          </w:tcPr>
          <w:p>
            <w:pPr>
              <w:pStyle w:val="TableText"/>
            </w:pPr>
            <w:r>
              <w:t>2d</w:t>
            </w:r>
          </w:p>
        </w:tc>
        <w:tc>
          <w:tcPr>
            <w:tcW w:w="1700" w:type="dxa"/>
            <w:vAlign w:val="center"/>
          </w:tcPr>
          <w:p>
            <w:pPr>
              <w:pStyle w:val="TableNumber"/>
            </w:pPr>
            <w:r>
              <w:t>0.0598</w:t>
            </w:r>
          </w:p>
        </w:tc>
        <w:tc>
          <w:tcPr>
            <w:tcW w:w="1750" w:type="dxa"/>
            <w:vAlign w:val="center"/>
          </w:tcPr>
          <w:p>
            <w:pPr>
              <w:pStyle w:val="TableNumber"/>
            </w:pPr>
            <w:r>
              <w:t>50.36%</w:t>
            </w:r>
          </w:p>
        </w:tc>
        <w:tc>
          <w:tcPr>
            <w:tcW w:w="1750" w:type="dxa"/>
            <w:vAlign w:val="center"/>
          </w:tcPr>
          <w:p>
            <w:pPr>
              <w:pStyle w:val="TableNumber"/>
            </w:pPr>
            <w:r>
              <w:t>82.11%</w:t>
            </w:r>
          </w:p>
        </w:tc>
        <w:tc>
          <w:tcPr>
            <w:tcW w:w="1900" w:type="dxa"/>
            <w:vAlign w:val="center"/>
          </w:tcPr>
          <w:p>
            <w:pPr>
              <w:pStyle w:val="TableNumber"/>
            </w:pPr>
            <w:r>
              <w:t>2.11 pp</w:t>
            </w:r>
          </w:p>
        </w:tc>
        <w:tc>
          <w:tcPr>
            <w:tcW w:w="1560" w:type="dxa"/>
            <w:vAlign w:val="center"/>
          </w:tcPr>
          <w:p>
            <w:pPr>
              <w:pStyle w:val="TableNumber"/>
            </w:pPr>
            <w:r>
              <w:t>0.0880</w:t>
            </w:r>
          </w:p>
        </w:tc>
      </w:tr>
      <w:tr>
        <w:trPr>
          <w:cantSplit/>
        </w:trPr>
        <w:tc>
          <w:tcPr>
            <w:tcW w:w="700" w:type="dxa"/>
            <w:vAlign w:val="center"/>
          </w:tcPr>
          <w:p>
            <w:pPr>
              <w:pStyle w:val="TableText"/>
            </w:pPr>
            <w:r>
              <w:t>3d</w:t>
            </w:r>
          </w:p>
        </w:tc>
        <w:tc>
          <w:tcPr>
            <w:tcW w:w="1700" w:type="dxa"/>
            <w:vAlign w:val="center"/>
          </w:tcPr>
          <w:p>
            <w:pPr>
              <w:pStyle w:val="TableNumber"/>
            </w:pPr>
            <w:r>
              <w:t>0.0694</w:t>
            </w:r>
          </w:p>
        </w:tc>
        <w:tc>
          <w:tcPr>
            <w:tcW w:w="1750" w:type="dxa"/>
            <w:vAlign w:val="center"/>
          </w:tcPr>
          <w:p>
            <w:pPr>
              <w:pStyle w:val="TableNumber"/>
            </w:pPr>
            <w:r>
              <w:t>51.73%</w:t>
            </w:r>
          </w:p>
        </w:tc>
        <w:tc>
          <w:tcPr>
            <w:tcW w:w="1750" w:type="dxa"/>
            <w:vAlign w:val="center"/>
          </w:tcPr>
          <w:p>
            <w:pPr>
              <w:pStyle w:val="TableNumber"/>
            </w:pPr>
            <w:r>
              <w:t>80.69%</w:t>
            </w:r>
          </w:p>
        </w:tc>
        <w:tc>
          <w:tcPr>
            <w:tcW w:w="1900" w:type="dxa"/>
            <w:vAlign w:val="center"/>
          </w:tcPr>
          <w:p>
            <w:pPr>
              <w:pStyle w:val="TableNumber"/>
            </w:pPr>
            <w:r>
              <w:t>0.69 pp</w:t>
            </w:r>
          </w:p>
        </w:tc>
        <w:tc>
          <w:tcPr>
            <w:tcW w:w="1560" w:type="dxa"/>
            <w:vAlign w:val="center"/>
          </w:tcPr>
          <w:p>
            <w:pPr>
              <w:pStyle w:val="TableNumber"/>
            </w:pPr>
            <w:r>
              <w:t>0.1072</w:t>
            </w:r>
          </w:p>
        </w:tc>
      </w:tr>
      <w:tr>
        <w:trPr>
          <w:cantSplit/>
        </w:trPr>
        <w:tc>
          <w:tcPr>
            <w:tcW w:w="700" w:type="dxa"/>
            <w:vAlign w:val="center"/>
          </w:tcPr>
          <w:p>
            <w:pPr>
              <w:pStyle w:val="TableText"/>
            </w:pPr>
            <w:r>
              <w:t>4d</w:t>
            </w:r>
          </w:p>
        </w:tc>
        <w:tc>
          <w:tcPr>
            <w:tcW w:w="1700" w:type="dxa"/>
            <w:vAlign w:val="center"/>
          </w:tcPr>
          <w:p>
            <w:pPr>
              <w:pStyle w:val="TableNumber"/>
            </w:pPr>
            <w:r>
              <w:t>0.0733</w:t>
            </w:r>
          </w:p>
        </w:tc>
        <w:tc>
          <w:tcPr>
            <w:tcW w:w="1750" w:type="dxa"/>
            <w:vAlign w:val="center"/>
          </w:tcPr>
          <w:p>
            <w:pPr>
              <w:pStyle w:val="TableNumber"/>
            </w:pPr>
            <w:r>
              <w:t>53.13%</w:t>
            </w:r>
          </w:p>
        </w:tc>
        <w:tc>
          <w:tcPr>
            <w:tcW w:w="1750" w:type="dxa"/>
            <w:vAlign w:val="center"/>
          </w:tcPr>
          <w:p>
            <w:pPr>
              <w:pStyle w:val="TableNumber"/>
            </w:pPr>
            <w:r>
              <w:t>79.62%</w:t>
            </w:r>
          </w:p>
        </w:tc>
        <w:tc>
          <w:tcPr>
            <w:tcW w:w="1900" w:type="dxa"/>
            <w:vAlign w:val="center"/>
          </w:tcPr>
          <w:p>
            <w:pPr>
              <w:pStyle w:val="TableNumber"/>
            </w:pPr>
            <w:r>
              <w:t>0.38 pp</w:t>
            </w:r>
          </w:p>
        </w:tc>
        <w:tc>
          <w:tcPr>
            <w:tcW w:w="1560" w:type="dxa"/>
            <w:vAlign w:val="center"/>
          </w:tcPr>
          <w:p>
            <w:pPr>
              <w:pStyle w:val="TableNumber"/>
            </w:pPr>
            <w:r>
              <w:t>0.1218</w:t>
            </w:r>
          </w:p>
        </w:tc>
      </w:tr>
      <w:tr>
        <w:trPr>
          <w:cantSplit/>
        </w:trPr>
        <w:tc>
          <w:tcPr>
            <w:tcW w:w="700" w:type="dxa"/>
            <w:vAlign w:val="center"/>
          </w:tcPr>
          <w:p>
            <w:pPr>
              <w:pStyle w:val="TableText"/>
            </w:pPr>
            <w:r>
              <w:t>5d</w:t>
            </w:r>
          </w:p>
        </w:tc>
        <w:tc>
          <w:tcPr>
            <w:tcW w:w="1700" w:type="dxa"/>
            <w:vAlign w:val="center"/>
          </w:tcPr>
          <w:p>
            <w:pPr>
              <w:pStyle w:val="TableNumber"/>
            </w:pPr>
            <w:r>
              <w:t>0.0788</w:t>
            </w:r>
          </w:p>
        </w:tc>
        <w:tc>
          <w:tcPr>
            <w:tcW w:w="1750" w:type="dxa"/>
            <w:vAlign w:val="center"/>
          </w:tcPr>
          <w:p>
            <w:pPr>
              <w:pStyle w:val="TableNumber"/>
            </w:pPr>
            <w:r>
              <w:t>53.55%</w:t>
            </w:r>
          </w:p>
        </w:tc>
        <w:tc>
          <w:tcPr>
            <w:tcW w:w="1750" w:type="dxa"/>
            <w:vAlign w:val="center"/>
          </w:tcPr>
          <w:p>
            <w:pPr>
              <w:pStyle w:val="TableNumber"/>
            </w:pPr>
            <w:r>
              <w:t>79.12%</w:t>
            </w:r>
          </w:p>
        </w:tc>
        <w:tc>
          <w:tcPr>
            <w:tcW w:w="1900" w:type="dxa"/>
            <w:vAlign w:val="center"/>
          </w:tcPr>
          <w:p>
            <w:pPr>
              <w:pStyle w:val="TableNumber"/>
            </w:pPr>
            <w:r>
              <w:t>0.89 pp</w:t>
            </w:r>
          </w:p>
        </w:tc>
        <w:tc>
          <w:tcPr>
            <w:tcW w:w="1560" w:type="dxa"/>
            <w:vAlign w:val="center"/>
          </w:tcPr>
          <w:p>
            <w:pPr>
              <w:pStyle w:val="TableNumber"/>
            </w:pPr>
            <w:r>
              <w:t>0.1353</w:t>
            </w:r>
          </w:p>
        </w:tc>
      </w:tr>
      <w:tr>
        <w:trPr>
          <w:cantSplit/>
        </w:trPr>
        <w:tc>
          <w:tcPr>
            <w:tcW w:w="700" w:type="dxa"/>
            <w:vAlign w:val="center"/>
          </w:tcPr>
          <w:p>
            <w:pPr>
              <w:pStyle w:val="TableText"/>
            </w:pPr>
            <w:r>
              <w:t>6d</w:t>
            </w:r>
          </w:p>
        </w:tc>
        <w:tc>
          <w:tcPr>
            <w:tcW w:w="1700" w:type="dxa"/>
            <w:vAlign w:val="center"/>
          </w:tcPr>
          <w:p>
            <w:pPr>
              <w:pStyle w:val="TableNumber"/>
            </w:pPr>
            <w:r>
              <w:t>0.0809</w:t>
            </w:r>
          </w:p>
        </w:tc>
        <w:tc>
          <w:tcPr>
            <w:tcW w:w="1750" w:type="dxa"/>
            <w:vAlign w:val="center"/>
          </w:tcPr>
          <w:p>
            <w:pPr>
              <w:pStyle w:val="TableNumber"/>
            </w:pPr>
            <w:r>
              <w:t>54.50%</w:t>
            </w:r>
          </w:p>
        </w:tc>
        <w:tc>
          <w:tcPr>
            <w:tcW w:w="1750" w:type="dxa"/>
            <w:vAlign w:val="center"/>
          </w:tcPr>
          <w:p>
            <w:pPr>
              <w:pStyle w:val="TableNumber"/>
            </w:pPr>
            <w:r>
              <w:t>79.17%</w:t>
            </w:r>
          </w:p>
        </w:tc>
        <w:tc>
          <w:tcPr>
            <w:tcW w:w="1900" w:type="dxa"/>
            <w:vAlign w:val="center"/>
          </w:tcPr>
          <w:p>
            <w:pPr>
              <w:pStyle w:val="TableNumber"/>
            </w:pPr>
            <w:r>
              <w:t>0.83 pp</w:t>
            </w:r>
          </w:p>
        </w:tc>
        <w:tc>
          <w:tcPr>
            <w:tcW w:w="1560" w:type="dxa"/>
            <w:vAlign w:val="center"/>
          </w:tcPr>
          <w:p>
            <w:pPr>
              <w:pStyle w:val="TableNumber"/>
            </w:pPr>
            <w:r>
              <w:t>0.1485</w:t>
            </w:r>
          </w:p>
        </w:tc>
      </w:tr>
      <w:tr>
        <w:trPr>
          <w:cantSplit/>
        </w:trPr>
        <w:tc>
          <w:tcPr>
            <w:tcW w:w="700" w:type="dxa"/>
            <w:vAlign w:val="center"/>
          </w:tcPr>
          <w:p>
            <w:pPr>
              <w:pStyle w:val="TableText"/>
            </w:pPr>
            <w:r>
              <w:t>7d</w:t>
            </w:r>
          </w:p>
        </w:tc>
        <w:tc>
          <w:tcPr>
            <w:tcW w:w="1700" w:type="dxa"/>
            <w:vAlign w:val="center"/>
          </w:tcPr>
          <w:p>
            <w:pPr>
              <w:pStyle w:val="TableNumber"/>
            </w:pPr>
            <w:r>
              <w:t>0.0828</w:t>
            </w:r>
          </w:p>
        </w:tc>
        <w:tc>
          <w:tcPr>
            <w:tcW w:w="1750" w:type="dxa"/>
            <w:vAlign w:val="center"/>
          </w:tcPr>
          <w:p>
            <w:pPr>
              <w:pStyle w:val="TableNumber"/>
            </w:pPr>
            <w:r>
              <w:t>53.84%</w:t>
            </w:r>
          </w:p>
        </w:tc>
        <w:tc>
          <w:tcPr>
            <w:tcW w:w="1750" w:type="dxa"/>
            <w:vAlign w:val="center"/>
          </w:tcPr>
          <w:p>
            <w:pPr>
              <w:pStyle w:val="TableNumber"/>
            </w:pPr>
            <w:r>
              <w:t>78.44%</w:t>
            </w:r>
          </w:p>
        </w:tc>
        <w:tc>
          <w:tcPr>
            <w:tcW w:w="1900" w:type="dxa"/>
            <w:vAlign w:val="center"/>
          </w:tcPr>
          <w:p>
            <w:pPr>
              <w:pStyle w:val="TableNumber"/>
            </w:pPr>
            <w:r>
              <w:t>1.57 pp</w:t>
            </w:r>
          </w:p>
        </w:tc>
        <w:tc>
          <w:tcPr>
            <w:tcW w:w="1560" w:type="dxa"/>
            <w:vAlign w:val="center"/>
          </w:tcPr>
          <w:p>
            <w:pPr>
              <w:pStyle w:val="TableNumber"/>
            </w:pPr>
            <w:r>
              <w:t>0.1588</w:t>
            </w:r>
          </w:p>
        </w:tc>
      </w:tr>
      <w:tr>
        <w:trPr>
          <w:cantSplit/>
        </w:trPr>
        <w:tc>
          <w:tcPr>
            <w:tcW w:w="700" w:type="dxa"/>
            <w:vAlign w:val="center"/>
          </w:tcPr>
          <w:p>
            <w:pPr>
              <w:pStyle w:val="TableText"/>
            </w:pPr>
            <w:r>
              <w:t>8d</w:t>
            </w:r>
          </w:p>
        </w:tc>
        <w:tc>
          <w:tcPr>
            <w:tcW w:w="1700" w:type="dxa"/>
            <w:vAlign w:val="center"/>
          </w:tcPr>
          <w:p>
            <w:pPr>
              <w:pStyle w:val="TableNumber"/>
            </w:pPr>
            <w:r>
              <w:t>0.0847</w:t>
            </w:r>
          </w:p>
        </w:tc>
        <w:tc>
          <w:tcPr>
            <w:tcW w:w="1750" w:type="dxa"/>
            <w:vAlign w:val="center"/>
          </w:tcPr>
          <w:p>
            <w:pPr>
              <w:pStyle w:val="TableNumber"/>
            </w:pPr>
            <w:r>
              <w:t>54.52%</w:t>
            </w:r>
          </w:p>
        </w:tc>
        <w:tc>
          <w:tcPr>
            <w:tcW w:w="1750" w:type="dxa"/>
            <w:vAlign w:val="center"/>
          </w:tcPr>
          <w:p>
            <w:pPr>
              <w:pStyle w:val="TableNumber"/>
            </w:pPr>
            <w:r>
              <w:t>77.90%</w:t>
            </w:r>
          </w:p>
        </w:tc>
        <w:tc>
          <w:tcPr>
            <w:tcW w:w="1900" w:type="dxa"/>
            <w:vAlign w:val="center"/>
          </w:tcPr>
          <w:p>
            <w:pPr>
              <w:pStyle w:val="TableNumber"/>
            </w:pPr>
            <w:r>
              <w:t>2.11 pp</w:t>
            </w:r>
          </w:p>
        </w:tc>
        <w:tc>
          <w:tcPr>
            <w:tcW w:w="1560" w:type="dxa"/>
            <w:vAlign w:val="center"/>
          </w:tcPr>
          <w:p>
            <w:pPr>
              <w:pStyle w:val="TableNumber"/>
            </w:pPr>
            <w:r>
              <w:t>0.1687</w:t>
            </w:r>
          </w:p>
        </w:tc>
      </w:tr>
      <w:tr>
        <w:trPr>
          <w:cantSplit/>
        </w:trPr>
        <w:tc>
          <w:tcPr>
            <w:tcW w:w="700" w:type="dxa"/>
            <w:vAlign w:val="center"/>
          </w:tcPr>
          <w:p>
            <w:pPr>
              <w:pStyle w:val="TableText"/>
            </w:pPr>
            <w:r>
              <w:t>9d</w:t>
            </w:r>
          </w:p>
        </w:tc>
        <w:tc>
          <w:tcPr>
            <w:tcW w:w="1700" w:type="dxa"/>
            <w:vAlign w:val="center"/>
          </w:tcPr>
          <w:p>
            <w:pPr>
              <w:pStyle w:val="TableNumber"/>
            </w:pPr>
            <w:r>
              <w:t>0.0950</w:t>
            </w:r>
          </w:p>
        </w:tc>
        <w:tc>
          <w:tcPr>
            <w:tcW w:w="1750" w:type="dxa"/>
            <w:vAlign w:val="center"/>
          </w:tcPr>
          <w:p>
            <w:pPr>
              <w:pStyle w:val="TableNumber"/>
            </w:pPr>
            <w:r>
              <w:t>55.09%</w:t>
            </w:r>
          </w:p>
        </w:tc>
        <w:tc>
          <w:tcPr>
            <w:tcW w:w="1750" w:type="dxa"/>
            <w:vAlign w:val="center"/>
          </w:tcPr>
          <w:p>
            <w:pPr>
              <w:pStyle w:val="TableNumber"/>
            </w:pPr>
            <w:r>
              <w:t>77.53%</w:t>
            </w:r>
          </w:p>
        </w:tc>
        <w:tc>
          <w:tcPr>
            <w:tcW w:w="1900" w:type="dxa"/>
            <w:vAlign w:val="center"/>
          </w:tcPr>
          <w:p>
            <w:pPr>
              <w:pStyle w:val="TableNumber"/>
            </w:pPr>
            <w:r>
              <w:t>2.47 pp</w:t>
            </w:r>
          </w:p>
        </w:tc>
        <w:tc>
          <w:tcPr>
            <w:tcW w:w="1560" w:type="dxa"/>
            <w:vAlign w:val="center"/>
          </w:tcPr>
          <w:p>
            <w:pPr>
              <w:pStyle w:val="TableNumber"/>
            </w:pPr>
            <w:r>
              <w:t>0.1782</w:t>
            </w:r>
          </w:p>
        </w:tc>
      </w:tr>
      <w:tr>
        <w:trPr>
          <w:cantSplit/>
        </w:trPr>
        <w:tc>
          <w:tcPr>
            <w:tcW w:w="700" w:type="dxa"/>
            <w:vAlign w:val="center"/>
          </w:tcPr>
          <w:p>
            <w:pPr>
              <w:pStyle w:val="TableText"/>
            </w:pPr>
            <w:r>
              <w:t>10d</w:t>
            </w:r>
          </w:p>
        </w:tc>
        <w:tc>
          <w:tcPr>
            <w:tcW w:w="1700" w:type="dxa"/>
            <w:vAlign w:val="center"/>
          </w:tcPr>
          <w:p>
            <w:pPr>
              <w:pStyle w:val="TableNumber"/>
            </w:pPr>
            <w:r>
              <w:t>0.0971</w:t>
            </w:r>
          </w:p>
        </w:tc>
        <w:tc>
          <w:tcPr>
            <w:tcW w:w="1750" w:type="dxa"/>
            <w:vAlign w:val="center"/>
          </w:tcPr>
          <w:p>
            <w:pPr>
              <w:pStyle w:val="TableNumber"/>
            </w:pPr>
            <w:r>
              <w:t>55.62%</w:t>
            </w:r>
          </w:p>
        </w:tc>
        <w:tc>
          <w:tcPr>
            <w:tcW w:w="1750" w:type="dxa"/>
            <w:vAlign w:val="center"/>
          </w:tcPr>
          <w:p>
            <w:pPr>
              <w:pStyle w:val="TableNumber"/>
            </w:pPr>
            <w:r>
              <w:t>78.00%</w:t>
            </w:r>
          </w:p>
        </w:tc>
        <w:tc>
          <w:tcPr>
            <w:tcW w:w="1900" w:type="dxa"/>
            <w:vAlign w:val="center"/>
          </w:tcPr>
          <w:p>
            <w:pPr>
              <w:pStyle w:val="TableNumber"/>
            </w:pPr>
            <w:r>
              <w:t>2.00 pp</w:t>
            </w:r>
          </w:p>
        </w:tc>
        <w:tc>
          <w:tcPr>
            <w:tcW w:w="1560" w:type="dxa"/>
            <w:vAlign w:val="center"/>
          </w:tcPr>
          <w:p>
            <w:pPr>
              <w:pStyle w:val="TableNumber"/>
            </w:pPr>
            <w:r>
              <w:t>0.1880</w:t>
            </w:r>
          </w:p>
        </w:tc>
      </w:tr>
      <w:tr>
        <w:trPr>
          <w:cantSplit/>
        </w:trPr>
        <w:tc>
          <w:tcPr>
            <w:tcW w:w="700" w:type="dxa"/>
            <w:vAlign w:val="center"/>
          </w:tcPr>
          <w:p>
            <w:pPr>
              <w:pStyle w:val="TableText"/>
            </w:pPr>
            <w:r>
              <w:t>11d</w:t>
            </w:r>
          </w:p>
        </w:tc>
        <w:tc>
          <w:tcPr>
            <w:tcW w:w="1700" w:type="dxa"/>
            <w:vAlign w:val="center"/>
          </w:tcPr>
          <w:p>
            <w:pPr>
              <w:pStyle w:val="TableNumber"/>
            </w:pPr>
            <w:r>
              <w:t>0.1008</w:t>
            </w:r>
          </w:p>
        </w:tc>
        <w:tc>
          <w:tcPr>
            <w:tcW w:w="1750" w:type="dxa"/>
            <w:vAlign w:val="center"/>
          </w:tcPr>
          <w:p>
            <w:pPr>
              <w:pStyle w:val="TableNumber"/>
            </w:pPr>
            <w:r>
              <w:t>56.19%</w:t>
            </w:r>
          </w:p>
        </w:tc>
        <w:tc>
          <w:tcPr>
            <w:tcW w:w="1750" w:type="dxa"/>
            <w:vAlign w:val="center"/>
          </w:tcPr>
          <w:p>
            <w:pPr>
              <w:pStyle w:val="TableNumber"/>
            </w:pPr>
            <w:r>
              <w:t>77.13%</w:t>
            </w:r>
          </w:p>
        </w:tc>
        <w:tc>
          <w:tcPr>
            <w:tcW w:w="1900" w:type="dxa"/>
            <w:vAlign w:val="center"/>
          </w:tcPr>
          <w:p>
            <w:pPr>
              <w:pStyle w:val="TableNumber"/>
            </w:pPr>
            <w:r>
              <w:t>2.87 pp</w:t>
            </w:r>
          </w:p>
        </w:tc>
        <w:tc>
          <w:tcPr>
            <w:tcW w:w="1560" w:type="dxa"/>
            <w:vAlign w:val="center"/>
          </w:tcPr>
          <w:p>
            <w:pPr>
              <w:pStyle w:val="TableNumber"/>
            </w:pPr>
            <w:r>
              <w:t>0.1975</w:t>
            </w:r>
          </w:p>
        </w:tc>
      </w:tr>
      <w:tr>
        <w:trPr>
          <w:cantSplit/>
        </w:trPr>
        <w:tc>
          <w:tcPr>
            <w:tcW w:w="700" w:type="dxa"/>
            <w:vAlign w:val="center"/>
          </w:tcPr>
          <w:p>
            <w:pPr>
              <w:pStyle w:val="TableText"/>
            </w:pPr>
            <w:r>
              <w:t>12d</w:t>
            </w:r>
          </w:p>
        </w:tc>
        <w:tc>
          <w:tcPr>
            <w:tcW w:w="1700" w:type="dxa"/>
            <w:vAlign w:val="center"/>
          </w:tcPr>
          <w:p>
            <w:pPr>
              <w:pStyle w:val="TableNumber"/>
            </w:pPr>
            <w:r>
              <w:t>0.1046</w:t>
            </w:r>
          </w:p>
        </w:tc>
        <w:tc>
          <w:tcPr>
            <w:tcW w:w="1750" w:type="dxa"/>
            <w:vAlign w:val="center"/>
          </w:tcPr>
          <w:p>
            <w:pPr>
              <w:pStyle w:val="TableNumber"/>
            </w:pPr>
            <w:r>
              <w:t>56.29%</w:t>
            </w:r>
          </w:p>
        </w:tc>
        <w:tc>
          <w:tcPr>
            <w:tcW w:w="1750" w:type="dxa"/>
            <w:vAlign w:val="center"/>
          </w:tcPr>
          <w:p>
            <w:pPr>
              <w:pStyle w:val="TableNumber"/>
            </w:pPr>
            <w:r>
              <w:t>76.55%</w:t>
            </w:r>
          </w:p>
        </w:tc>
        <w:tc>
          <w:tcPr>
            <w:tcW w:w="1900" w:type="dxa"/>
            <w:vAlign w:val="center"/>
          </w:tcPr>
          <w:p>
            <w:pPr>
              <w:pStyle w:val="TableNumber"/>
            </w:pPr>
            <w:r>
              <w:t>3.45 pp</w:t>
            </w:r>
          </w:p>
        </w:tc>
        <w:tc>
          <w:tcPr>
            <w:tcW w:w="1560" w:type="dxa"/>
            <w:vAlign w:val="center"/>
          </w:tcPr>
          <w:p>
            <w:pPr>
              <w:pStyle w:val="TableNumber"/>
            </w:pPr>
            <w:r>
              <w:t>0.2050</w:t>
            </w:r>
          </w:p>
        </w:tc>
      </w:tr>
      <w:tr>
        <w:trPr>
          <w:cantSplit/>
        </w:trPr>
        <w:tc>
          <w:tcPr>
            <w:tcW w:w="700" w:type="dxa"/>
            <w:vAlign w:val="center"/>
          </w:tcPr>
          <w:p>
            <w:pPr>
              <w:pStyle w:val="TableText"/>
            </w:pPr>
            <w:r>
              <w:t>13d</w:t>
            </w:r>
          </w:p>
        </w:tc>
        <w:tc>
          <w:tcPr>
            <w:tcW w:w="1700" w:type="dxa"/>
            <w:vAlign w:val="center"/>
          </w:tcPr>
          <w:p>
            <w:pPr>
              <w:pStyle w:val="TableNumber"/>
            </w:pPr>
            <w:r>
              <w:t>0.1000</w:t>
            </w:r>
          </w:p>
        </w:tc>
        <w:tc>
          <w:tcPr>
            <w:tcW w:w="1750" w:type="dxa"/>
            <w:vAlign w:val="center"/>
          </w:tcPr>
          <w:p>
            <w:pPr>
              <w:pStyle w:val="TableNumber"/>
            </w:pPr>
            <w:r>
              <w:t>55.24%</w:t>
            </w:r>
          </w:p>
        </w:tc>
        <w:tc>
          <w:tcPr>
            <w:tcW w:w="1750" w:type="dxa"/>
            <w:vAlign w:val="center"/>
          </w:tcPr>
          <w:p>
            <w:pPr>
              <w:pStyle w:val="TableNumber"/>
            </w:pPr>
            <w:r>
              <w:t>76.05%</w:t>
            </w:r>
          </w:p>
        </w:tc>
        <w:tc>
          <w:tcPr>
            <w:tcW w:w="1900" w:type="dxa"/>
            <w:vAlign w:val="center"/>
          </w:tcPr>
          <w:p>
            <w:pPr>
              <w:pStyle w:val="TableNumber"/>
            </w:pPr>
            <w:r>
              <w:t>3.95 pp</w:t>
            </w:r>
          </w:p>
        </w:tc>
        <w:tc>
          <w:tcPr>
            <w:tcW w:w="1560" w:type="dxa"/>
            <w:vAlign w:val="center"/>
          </w:tcPr>
          <w:p>
            <w:pPr>
              <w:pStyle w:val="TableNumber"/>
            </w:pPr>
            <w:r>
              <w:t>0.2129</w:t>
            </w:r>
          </w:p>
        </w:tc>
      </w:tr>
      <w:tr>
        <w:trPr>
          <w:cantSplit/>
        </w:trPr>
        <w:tc>
          <w:tcPr>
            <w:tcW w:w="700" w:type="dxa"/>
            <w:vAlign w:val="center"/>
          </w:tcPr>
          <w:p>
            <w:pPr>
              <w:pStyle w:val="TableText"/>
            </w:pPr>
            <w:r>
              <w:t>14d</w:t>
            </w:r>
          </w:p>
        </w:tc>
        <w:tc>
          <w:tcPr>
            <w:tcW w:w="1700" w:type="dxa"/>
            <w:vAlign w:val="center"/>
          </w:tcPr>
          <w:p>
            <w:pPr>
              <w:pStyle w:val="TableNumber"/>
            </w:pPr>
            <w:r>
              <w:t>0.1065</w:t>
            </w:r>
          </w:p>
        </w:tc>
        <w:tc>
          <w:tcPr>
            <w:tcW w:w="1750" w:type="dxa"/>
            <w:vAlign w:val="center"/>
          </w:tcPr>
          <w:p>
            <w:pPr>
              <w:pStyle w:val="TableNumber"/>
            </w:pPr>
            <w:r>
              <w:t>55.30%</w:t>
            </w:r>
          </w:p>
        </w:tc>
        <w:tc>
          <w:tcPr>
            <w:tcW w:w="1750" w:type="dxa"/>
            <w:vAlign w:val="center"/>
          </w:tcPr>
          <w:p>
            <w:pPr>
              <w:pStyle w:val="TableNumber"/>
            </w:pPr>
            <w:r>
              <w:t>76.81%</w:t>
            </w:r>
          </w:p>
        </w:tc>
        <w:tc>
          <w:tcPr>
            <w:tcW w:w="1900" w:type="dxa"/>
            <w:vAlign w:val="center"/>
          </w:tcPr>
          <w:p>
            <w:pPr>
              <w:pStyle w:val="TableNumber"/>
            </w:pPr>
            <w:r>
              <w:t>3.19 pp</w:t>
            </w:r>
          </w:p>
        </w:tc>
        <w:tc>
          <w:tcPr>
            <w:tcW w:w="1560" w:type="dxa"/>
            <w:vAlign w:val="center"/>
          </w:tcPr>
          <w:p>
            <w:pPr>
              <w:pStyle w:val="TableNumber"/>
            </w:pPr>
            <w:r>
              <w:t>0.2224</w:t>
            </w:r>
          </w:p>
        </w:tc>
      </w:tr>
    </w:tbl>
    <w:p>
      <w:pPr>
        <w:pStyle w:val="Decision"/>
        <w:keepNext/>
        <w:spacing w:after="80"/>
      </w:pPr>
      <w:r>
        <w:t>Table 6 | Same-date ranking and simplified capital path</w:t>
      </w:r>
    </w:p>
    <w:tbl>
      <w:tblPr>
        <w:tblStyle w:val="BenchmarkTable"/>
        <w:tblW w:w="9360" w:type="dxa"/>
        <w:tblLayout w:type="fixed"/>
      </w:tblPr>
      <w:tblGrid>
        <w:gridCol w:w="550"/>
        <w:gridCol w:w="1150"/>
        <w:gridCol w:w="1050"/>
        <w:gridCol w:w="1500"/>
        <w:gridCol w:w="1100"/>
        <w:gridCol w:w="1250"/>
        <w:gridCol w:w="1450"/>
        <w:gridCol w:w="1310"/>
      </w:tblGrid>
      <w:tr>
        <w:trPr>
          <w:tblHeader/>
        </w:trPr>
        <w:tc>
          <w:tcPr>
            <w:tcW w:w="550" w:type="dxa"/>
            <w:shd w:val="clear" w:fill="DCE6F1"/>
            <w:vAlign w:val="center"/>
          </w:tcPr>
          <w:p>
            <w:pPr>
              <w:pStyle w:val="TableHeader"/>
            </w:pPr>
            <w:r>
              <w:t>H</w:t>
            </w:r>
          </w:p>
        </w:tc>
        <w:tc>
          <w:tcPr>
            <w:tcW w:w="1150" w:type="dxa"/>
            <w:shd w:val="clear" w:fill="DCE6F1"/>
            <w:vAlign w:val="center"/>
          </w:tcPr>
          <w:p>
            <w:pPr>
              <w:pStyle w:val="TableHeader"/>
            </w:pPr>
            <w:r>
              <w:t>RankIC</w:t>
            </w:r>
          </w:p>
        </w:tc>
        <w:tc>
          <w:tcPr>
            <w:tcW w:w="1050" w:type="dxa"/>
            <w:shd w:val="clear" w:fill="DCE6F1"/>
            <w:vAlign w:val="center"/>
          </w:tcPr>
          <w:p>
            <w:pPr>
              <w:pStyle w:val="TableHeader"/>
            </w:pPr>
            <w:r>
              <w:t>ICIR</w:t>
            </w:r>
          </w:p>
        </w:tc>
        <w:tc>
          <w:tcPr>
            <w:tcW w:w="1500" w:type="dxa"/>
            <w:shd w:val="clear" w:fill="DCE6F1"/>
            <w:vAlign w:val="center"/>
          </w:tcPr>
          <w:p>
            <w:pPr>
              <w:pStyle w:val="TableHeader"/>
            </w:pPr>
            <w:r>
              <w:t>Net mean</w:t>
            </w:r>
          </w:p>
        </w:tc>
        <w:tc>
          <w:tcPr>
            <w:tcW w:w="1100" w:type="dxa"/>
            <w:shd w:val="clear" w:fill="DCE6F1"/>
            <w:vAlign w:val="center"/>
          </w:tcPr>
          <w:p>
            <w:pPr>
              <w:pStyle w:val="TableHeader"/>
            </w:pPr>
            <w:r>
              <w:t>Sharpe</w:t>
            </w:r>
          </w:p>
        </w:tc>
        <w:tc>
          <w:tcPr>
            <w:tcW w:w="1250" w:type="dxa"/>
            <w:shd w:val="clear" w:fill="DCE6F1"/>
            <w:vAlign w:val="center"/>
          </w:tcPr>
          <w:p>
            <w:pPr>
              <w:pStyle w:val="TableHeader"/>
            </w:pPr>
            <w:r>
              <w:t>MDD</w:t>
            </w:r>
          </w:p>
        </w:tc>
        <w:tc>
          <w:tcPr>
            <w:tcW w:w="1450" w:type="dxa"/>
            <w:shd w:val="clear" w:fill="DCE6F1"/>
            <w:vAlign w:val="center"/>
          </w:tcPr>
          <w:p>
            <w:pPr>
              <w:pStyle w:val="TableHeader"/>
            </w:pPr>
            <w:r>
              <w:t>Turnover</w:t>
            </w:r>
          </w:p>
        </w:tc>
        <w:tc>
          <w:tcPr>
            <w:tcW w:w="1310" w:type="dxa"/>
            <w:shd w:val="clear" w:fill="DCE6F1"/>
            <w:vAlign w:val="center"/>
          </w:tcPr>
          <w:p>
            <w:pPr>
              <w:pStyle w:val="TableHeader"/>
            </w:pPr>
            <w:r>
              <w:t>Dates</w:t>
            </w:r>
          </w:p>
        </w:tc>
      </w:tr>
      <w:tr>
        <w:trPr>
          <w:cantSplit/>
        </w:trPr>
        <w:tc>
          <w:tcPr>
            <w:tcW w:w="550" w:type="dxa"/>
            <w:vAlign w:val="center"/>
          </w:tcPr>
          <w:p>
            <w:pPr>
              <w:pStyle w:val="TableText"/>
            </w:pPr>
            <w:r>
              <w:t>1d</w:t>
            </w:r>
          </w:p>
        </w:tc>
        <w:tc>
          <w:tcPr>
            <w:tcW w:w="1150" w:type="dxa"/>
            <w:vAlign w:val="center"/>
          </w:tcPr>
          <w:p>
            <w:pPr>
              <w:pStyle w:val="TableNumber"/>
            </w:pPr>
            <w:r>
              <w:t>0.0521</w:t>
            </w:r>
          </w:p>
        </w:tc>
        <w:tc>
          <w:tcPr>
            <w:tcW w:w="1050" w:type="dxa"/>
            <w:vAlign w:val="center"/>
          </w:tcPr>
          <w:p>
            <w:pPr>
              <w:pStyle w:val="TableNumber"/>
            </w:pPr>
            <w:r>
              <w:t>0.397</w:t>
            </w:r>
          </w:p>
        </w:tc>
        <w:tc>
          <w:tcPr>
            <w:tcW w:w="1500" w:type="dxa"/>
            <w:vAlign w:val="center"/>
          </w:tcPr>
          <w:p>
            <w:pPr>
              <w:pStyle w:val="TableNumber"/>
            </w:pPr>
            <w:r>
              <w:t>+0.33%</w:t>
            </w:r>
          </w:p>
        </w:tc>
        <w:tc>
          <w:tcPr>
            <w:tcW w:w="1100" w:type="dxa"/>
            <w:vAlign w:val="center"/>
          </w:tcPr>
          <w:p>
            <w:pPr>
              <w:pStyle w:val="TableNumber"/>
            </w:pPr>
            <w:r>
              <w:t>3.04</w:t>
            </w:r>
          </w:p>
        </w:tc>
        <w:tc>
          <w:tcPr>
            <w:tcW w:w="1250" w:type="dxa"/>
            <w:vAlign w:val="center"/>
          </w:tcPr>
          <w:p>
            <w:pPr>
              <w:pStyle w:val="TableNumber"/>
            </w:pPr>
            <w:r>
              <w:t>-15.4%</w:t>
            </w:r>
          </w:p>
        </w:tc>
        <w:tc>
          <w:tcPr>
            <w:tcW w:w="1450" w:type="dxa"/>
            <w:vAlign w:val="center"/>
          </w:tcPr>
          <w:p>
            <w:pPr>
              <w:pStyle w:val="TableNumber"/>
            </w:pPr>
            <w:r>
              <w:t>0.466</w:t>
            </w:r>
          </w:p>
        </w:tc>
        <w:tc>
          <w:tcPr>
            <w:tcW w:w="1310" w:type="dxa"/>
            <w:vAlign w:val="center"/>
          </w:tcPr>
          <w:p>
            <w:pPr>
              <w:pStyle w:val="TableNumber"/>
            </w:pPr>
            <w:r>
              <w:t>155</w:t>
            </w:r>
          </w:p>
        </w:tc>
      </w:tr>
      <w:tr>
        <w:trPr>
          <w:cantSplit/>
        </w:trPr>
        <w:tc>
          <w:tcPr>
            <w:tcW w:w="550" w:type="dxa"/>
            <w:vAlign w:val="center"/>
          </w:tcPr>
          <w:p>
            <w:pPr>
              <w:pStyle w:val="TableText"/>
            </w:pPr>
            <w:r>
              <w:t>2d</w:t>
            </w:r>
          </w:p>
        </w:tc>
        <w:tc>
          <w:tcPr>
            <w:tcW w:w="1150" w:type="dxa"/>
            <w:vAlign w:val="center"/>
          </w:tcPr>
          <w:p>
            <w:pPr>
              <w:pStyle w:val="TableNumber"/>
            </w:pPr>
            <w:r>
              <w:t>0.0585</w:t>
            </w:r>
          </w:p>
        </w:tc>
        <w:tc>
          <w:tcPr>
            <w:tcW w:w="1050" w:type="dxa"/>
            <w:vAlign w:val="center"/>
          </w:tcPr>
          <w:p>
            <w:pPr>
              <w:pStyle w:val="TableNumber"/>
            </w:pPr>
            <w:r>
              <w:t>0.388</w:t>
            </w:r>
          </w:p>
        </w:tc>
        <w:tc>
          <w:tcPr>
            <w:tcW w:w="1500" w:type="dxa"/>
            <w:vAlign w:val="center"/>
          </w:tcPr>
          <w:p>
            <w:pPr>
              <w:pStyle w:val="TableNumber"/>
            </w:pPr>
            <w:r>
              <w:t>+0.60%</w:t>
            </w:r>
          </w:p>
        </w:tc>
        <w:tc>
          <w:tcPr>
            <w:tcW w:w="1100" w:type="dxa"/>
            <w:vAlign w:val="center"/>
          </w:tcPr>
          <w:p>
            <w:pPr>
              <w:pStyle w:val="TableNumber"/>
            </w:pPr>
            <w:r>
              <w:t>2.83</w:t>
            </w:r>
          </w:p>
        </w:tc>
        <w:tc>
          <w:tcPr>
            <w:tcW w:w="1250" w:type="dxa"/>
            <w:vAlign w:val="center"/>
          </w:tcPr>
          <w:p>
            <w:pPr>
              <w:pStyle w:val="TableNumber"/>
            </w:pPr>
            <w:r>
              <w:t>-20.4%</w:t>
            </w:r>
          </w:p>
        </w:tc>
        <w:tc>
          <w:tcPr>
            <w:tcW w:w="1450" w:type="dxa"/>
            <w:vAlign w:val="center"/>
          </w:tcPr>
          <w:p>
            <w:pPr>
              <w:pStyle w:val="TableNumber"/>
            </w:pPr>
            <w:r>
              <w:t>0.420</w:t>
            </w:r>
          </w:p>
        </w:tc>
        <w:tc>
          <w:tcPr>
            <w:tcW w:w="1310" w:type="dxa"/>
            <w:vAlign w:val="center"/>
          </w:tcPr>
          <w:p>
            <w:pPr>
              <w:pStyle w:val="TableNumber"/>
            </w:pPr>
            <w:r>
              <w:t>155</w:t>
            </w:r>
          </w:p>
        </w:tc>
      </w:tr>
      <w:tr>
        <w:trPr>
          <w:cantSplit/>
        </w:trPr>
        <w:tc>
          <w:tcPr>
            <w:tcW w:w="550" w:type="dxa"/>
            <w:vAlign w:val="center"/>
          </w:tcPr>
          <w:p>
            <w:pPr>
              <w:pStyle w:val="TableText"/>
            </w:pPr>
            <w:r>
              <w:t>3d</w:t>
            </w:r>
          </w:p>
        </w:tc>
        <w:tc>
          <w:tcPr>
            <w:tcW w:w="1150" w:type="dxa"/>
            <w:vAlign w:val="center"/>
          </w:tcPr>
          <w:p>
            <w:pPr>
              <w:pStyle w:val="TableNumber"/>
            </w:pPr>
            <w:r>
              <w:t>0.0720</w:t>
            </w:r>
          </w:p>
        </w:tc>
        <w:tc>
          <w:tcPr>
            <w:tcW w:w="1050" w:type="dxa"/>
            <w:vAlign w:val="center"/>
          </w:tcPr>
          <w:p>
            <w:pPr>
              <w:pStyle w:val="TableNumber"/>
            </w:pPr>
            <w:r>
              <w:t>0.465</w:t>
            </w:r>
          </w:p>
        </w:tc>
        <w:tc>
          <w:tcPr>
            <w:tcW w:w="1500" w:type="dxa"/>
            <w:vAlign w:val="center"/>
          </w:tcPr>
          <w:p>
            <w:pPr>
              <w:pStyle w:val="TableNumber"/>
            </w:pPr>
            <w:r>
              <w:t>+0.99%</w:t>
            </w:r>
          </w:p>
        </w:tc>
        <w:tc>
          <w:tcPr>
            <w:tcW w:w="1100" w:type="dxa"/>
            <w:vAlign w:val="center"/>
          </w:tcPr>
          <w:p>
            <w:pPr>
              <w:pStyle w:val="TableNumber"/>
            </w:pPr>
            <w:r>
              <w:t>2.92</w:t>
            </w:r>
          </w:p>
        </w:tc>
        <w:tc>
          <w:tcPr>
            <w:tcW w:w="1250" w:type="dxa"/>
            <w:vAlign w:val="center"/>
          </w:tcPr>
          <w:p>
            <w:pPr>
              <w:pStyle w:val="TableNumber"/>
            </w:pPr>
            <w:r>
              <w:t>-26.3%</w:t>
            </w:r>
          </w:p>
        </w:tc>
        <w:tc>
          <w:tcPr>
            <w:tcW w:w="1450" w:type="dxa"/>
            <w:vAlign w:val="center"/>
          </w:tcPr>
          <w:p>
            <w:pPr>
              <w:pStyle w:val="TableNumber"/>
            </w:pPr>
            <w:r>
              <w:t>0.435</w:t>
            </w:r>
          </w:p>
        </w:tc>
        <w:tc>
          <w:tcPr>
            <w:tcW w:w="1310" w:type="dxa"/>
            <w:vAlign w:val="center"/>
          </w:tcPr>
          <w:p>
            <w:pPr>
              <w:pStyle w:val="TableNumber"/>
            </w:pPr>
            <w:r>
              <w:t>155</w:t>
            </w:r>
          </w:p>
        </w:tc>
      </w:tr>
      <w:tr>
        <w:trPr>
          <w:cantSplit/>
        </w:trPr>
        <w:tc>
          <w:tcPr>
            <w:tcW w:w="550" w:type="dxa"/>
            <w:vAlign w:val="center"/>
          </w:tcPr>
          <w:p>
            <w:pPr>
              <w:pStyle w:val="TableText"/>
            </w:pPr>
            <w:r>
              <w:t>4d</w:t>
            </w:r>
          </w:p>
        </w:tc>
        <w:tc>
          <w:tcPr>
            <w:tcW w:w="1150" w:type="dxa"/>
            <w:vAlign w:val="center"/>
          </w:tcPr>
          <w:p>
            <w:pPr>
              <w:pStyle w:val="TableNumber"/>
            </w:pPr>
            <w:r>
              <w:t>0.0704</w:t>
            </w:r>
          </w:p>
        </w:tc>
        <w:tc>
          <w:tcPr>
            <w:tcW w:w="1050" w:type="dxa"/>
            <w:vAlign w:val="center"/>
          </w:tcPr>
          <w:p>
            <w:pPr>
              <w:pStyle w:val="TableNumber"/>
            </w:pPr>
            <w:r>
              <w:t>0.430</w:t>
            </w:r>
          </w:p>
        </w:tc>
        <w:tc>
          <w:tcPr>
            <w:tcW w:w="1500" w:type="dxa"/>
            <w:vAlign w:val="center"/>
          </w:tcPr>
          <w:p>
            <w:pPr>
              <w:pStyle w:val="TableNumber"/>
            </w:pPr>
            <w:r>
              <w:t>+1.12%</w:t>
            </w:r>
          </w:p>
        </w:tc>
        <w:tc>
          <w:tcPr>
            <w:tcW w:w="1100" w:type="dxa"/>
            <w:vAlign w:val="center"/>
          </w:tcPr>
          <w:p>
            <w:pPr>
              <w:pStyle w:val="TableNumber"/>
            </w:pPr>
            <w:r>
              <w:t>2.37</w:t>
            </w:r>
          </w:p>
        </w:tc>
        <w:tc>
          <w:tcPr>
            <w:tcW w:w="1250" w:type="dxa"/>
            <w:vAlign w:val="center"/>
          </w:tcPr>
          <w:p>
            <w:pPr>
              <w:pStyle w:val="TableNumber"/>
            </w:pPr>
            <w:r>
              <w:t>-34.2%</w:t>
            </w:r>
          </w:p>
        </w:tc>
        <w:tc>
          <w:tcPr>
            <w:tcW w:w="1450" w:type="dxa"/>
            <w:vAlign w:val="center"/>
          </w:tcPr>
          <w:p>
            <w:pPr>
              <w:pStyle w:val="TableNumber"/>
            </w:pPr>
            <w:r>
              <w:t>0.428</w:t>
            </w:r>
          </w:p>
        </w:tc>
        <w:tc>
          <w:tcPr>
            <w:tcW w:w="1310" w:type="dxa"/>
            <w:vAlign w:val="center"/>
          </w:tcPr>
          <w:p>
            <w:pPr>
              <w:pStyle w:val="TableNumber"/>
            </w:pPr>
            <w:r>
              <w:t>155</w:t>
            </w:r>
          </w:p>
        </w:tc>
      </w:tr>
      <w:tr>
        <w:trPr>
          <w:cantSplit/>
        </w:trPr>
        <w:tc>
          <w:tcPr>
            <w:tcW w:w="550" w:type="dxa"/>
            <w:vAlign w:val="center"/>
          </w:tcPr>
          <w:p>
            <w:pPr>
              <w:pStyle w:val="TableText"/>
            </w:pPr>
            <w:r>
              <w:t>5d</w:t>
            </w:r>
          </w:p>
        </w:tc>
        <w:tc>
          <w:tcPr>
            <w:tcW w:w="1150" w:type="dxa"/>
            <w:vAlign w:val="center"/>
          </w:tcPr>
          <w:p>
            <w:pPr>
              <w:pStyle w:val="TableNumber"/>
            </w:pPr>
            <w:r>
              <w:t>0.0759</w:t>
            </w:r>
          </w:p>
        </w:tc>
        <w:tc>
          <w:tcPr>
            <w:tcW w:w="1050" w:type="dxa"/>
            <w:vAlign w:val="center"/>
          </w:tcPr>
          <w:p>
            <w:pPr>
              <w:pStyle w:val="TableNumber"/>
            </w:pPr>
            <w:r>
              <w:t>0.457</w:t>
            </w:r>
          </w:p>
        </w:tc>
        <w:tc>
          <w:tcPr>
            <w:tcW w:w="1500" w:type="dxa"/>
            <w:vAlign w:val="center"/>
          </w:tcPr>
          <w:p>
            <w:pPr>
              <w:pStyle w:val="TableNumber"/>
            </w:pPr>
            <w:r>
              <w:t>+1.28%</w:t>
            </w:r>
          </w:p>
        </w:tc>
        <w:tc>
          <w:tcPr>
            <w:tcW w:w="1100" w:type="dxa"/>
            <w:vAlign w:val="center"/>
          </w:tcPr>
          <w:p>
            <w:pPr>
              <w:pStyle w:val="TableNumber"/>
            </w:pPr>
            <w:r>
              <w:t>2.23</w:t>
            </w:r>
          </w:p>
        </w:tc>
        <w:tc>
          <w:tcPr>
            <w:tcW w:w="1250" w:type="dxa"/>
            <w:vAlign w:val="center"/>
          </w:tcPr>
          <w:p>
            <w:pPr>
              <w:pStyle w:val="TableNumber"/>
            </w:pPr>
            <w:r>
              <w:t>-39.3%</w:t>
            </w:r>
          </w:p>
        </w:tc>
        <w:tc>
          <w:tcPr>
            <w:tcW w:w="1450" w:type="dxa"/>
            <w:vAlign w:val="center"/>
          </w:tcPr>
          <w:p>
            <w:pPr>
              <w:pStyle w:val="TableNumber"/>
            </w:pPr>
            <w:r>
              <w:t>0.421</w:t>
            </w:r>
          </w:p>
        </w:tc>
        <w:tc>
          <w:tcPr>
            <w:tcW w:w="1310" w:type="dxa"/>
            <w:vAlign w:val="center"/>
          </w:tcPr>
          <w:p>
            <w:pPr>
              <w:pStyle w:val="TableNumber"/>
            </w:pPr>
            <w:r>
              <w:t>155</w:t>
            </w:r>
          </w:p>
        </w:tc>
      </w:tr>
      <w:tr>
        <w:trPr>
          <w:cantSplit/>
        </w:trPr>
        <w:tc>
          <w:tcPr>
            <w:tcW w:w="550" w:type="dxa"/>
            <w:vAlign w:val="center"/>
          </w:tcPr>
          <w:p>
            <w:pPr>
              <w:pStyle w:val="TableText"/>
            </w:pPr>
            <w:r>
              <w:t>6d</w:t>
            </w:r>
          </w:p>
        </w:tc>
        <w:tc>
          <w:tcPr>
            <w:tcW w:w="1150" w:type="dxa"/>
            <w:vAlign w:val="center"/>
          </w:tcPr>
          <w:p>
            <w:pPr>
              <w:pStyle w:val="TableNumber"/>
            </w:pPr>
            <w:r>
              <w:t>0.0679</w:t>
            </w:r>
          </w:p>
        </w:tc>
        <w:tc>
          <w:tcPr>
            <w:tcW w:w="1050" w:type="dxa"/>
            <w:vAlign w:val="center"/>
          </w:tcPr>
          <w:p>
            <w:pPr>
              <w:pStyle w:val="TableNumber"/>
            </w:pPr>
            <w:r>
              <w:t>0.385</w:t>
            </w:r>
          </w:p>
        </w:tc>
        <w:tc>
          <w:tcPr>
            <w:tcW w:w="1500" w:type="dxa"/>
            <w:vAlign w:val="center"/>
          </w:tcPr>
          <w:p>
            <w:pPr>
              <w:pStyle w:val="TableNumber"/>
            </w:pPr>
            <w:r>
              <w:t>+1.23%</w:t>
            </w:r>
          </w:p>
        </w:tc>
        <w:tc>
          <w:tcPr>
            <w:tcW w:w="1100" w:type="dxa"/>
            <w:vAlign w:val="center"/>
          </w:tcPr>
          <w:p>
            <w:pPr>
              <w:pStyle w:val="TableNumber"/>
            </w:pPr>
            <w:r>
              <w:t>1.72</w:t>
            </w:r>
          </w:p>
        </w:tc>
        <w:tc>
          <w:tcPr>
            <w:tcW w:w="1250" w:type="dxa"/>
            <w:vAlign w:val="center"/>
          </w:tcPr>
          <w:p>
            <w:pPr>
              <w:pStyle w:val="TableNumber"/>
            </w:pPr>
            <w:r>
              <w:t>-44.7%</w:t>
            </w:r>
          </w:p>
        </w:tc>
        <w:tc>
          <w:tcPr>
            <w:tcW w:w="1450" w:type="dxa"/>
            <w:vAlign w:val="center"/>
          </w:tcPr>
          <w:p>
            <w:pPr>
              <w:pStyle w:val="TableNumber"/>
            </w:pPr>
            <w:r>
              <w:t>0.426</w:t>
            </w:r>
          </w:p>
        </w:tc>
        <w:tc>
          <w:tcPr>
            <w:tcW w:w="1310" w:type="dxa"/>
            <w:vAlign w:val="center"/>
          </w:tcPr>
          <w:p>
            <w:pPr>
              <w:pStyle w:val="TableNumber"/>
            </w:pPr>
            <w:r>
              <w:t>155</w:t>
            </w:r>
          </w:p>
        </w:tc>
      </w:tr>
      <w:tr>
        <w:trPr>
          <w:cantSplit/>
        </w:trPr>
        <w:tc>
          <w:tcPr>
            <w:tcW w:w="550" w:type="dxa"/>
            <w:vAlign w:val="center"/>
          </w:tcPr>
          <w:p>
            <w:pPr>
              <w:pStyle w:val="TableText"/>
            </w:pPr>
            <w:r>
              <w:t>7d</w:t>
            </w:r>
          </w:p>
        </w:tc>
        <w:tc>
          <w:tcPr>
            <w:tcW w:w="1150" w:type="dxa"/>
            <w:vAlign w:val="center"/>
          </w:tcPr>
          <w:p>
            <w:pPr>
              <w:pStyle w:val="TableNumber"/>
            </w:pPr>
            <w:r>
              <w:t>0.0676</w:t>
            </w:r>
          </w:p>
        </w:tc>
        <w:tc>
          <w:tcPr>
            <w:tcW w:w="1050" w:type="dxa"/>
            <w:vAlign w:val="center"/>
          </w:tcPr>
          <w:p>
            <w:pPr>
              <w:pStyle w:val="TableNumber"/>
            </w:pPr>
            <w:r>
              <w:t>0.379</w:t>
            </w:r>
          </w:p>
        </w:tc>
        <w:tc>
          <w:tcPr>
            <w:tcW w:w="1500" w:type="dxa"/>
            <w:vAlign w:val="center"/>
          </w:tcPr>
          <w:p>
            <w:pPr>
              <w:pStyle w:val="TableNumber"/>
            </w:pPr>
            <w:r>
              <w:t>+1.72%</w:t>
            </w:r>
          </w:p>
        </w:tc>
        <w:tc>
          <w:tcPr>
            <w:tcW w:w="1100" w:type="dxa"/>
            <w:vAlign w:val="center"/>
          </w:tcPr>
          <w:p>
            <w:pPr>
              <w:pStyle w:val="TableNumber"/>
            </w:pPr>
            <w:r>
              <w:t>2.05</w:t>
            </w:r>
          </w:p>
        </w:tc>
        <w:tc>
          <w:tcPr>
            <w:tcW w:w="1250" w:type="dxa"/>
            <w:vAlign w:val="center"/>
          </w:tcPr>
          <w:p>
            <w:pPr>
              <w:pStyle w:val="TableNumber"/>
            </w:pPr>
            <w:r>
              <w:t>-40.6%</w:t>
            </w:r>
          </w:p>
        </w:tc>
        <w:tc>
          <w:tcPr>
            <w:tcW w:w="1450" w:type="dxa"/>
            <w:vAlign w:val="center"/>
          </w:tcPr>
          <w:p>
            <w:pPr>
              <w:pStyle w:val="TableNumber"/>
            </w:pPr>
            <w:r>
              <w:t>0.413</w:t>
            </w:r>
          </w:p>
        </w:tc>
        <w:tc>
          <w:tcPr>
            <w:tcW w:w="1310" w:type="dxa"/>
            <w:vAlign w:val="center"/>
          </w:tcPr>
          <w:p>
            <w:pPr>
              <w:pStyle w:val="TableNumber"/>
            </w:pPr>
            <w:r>
              <w:t>155</w:t>
            </w:r>
          </w:p>
        </w:tc>
      </w:tr>
      <w:tr>
        <w:trPr>
          <w:cantSplit/>
        </w:trPr>
        <w:tc>
          <w:tcPr>
            <w:tcW w:w="550" w:type="dxa"/>
            <w:vAlign w:val="center"/>
          </w:tcPr>
          <w:p>
            <w:pPr>
              <w:pStyle w:val="TableText"/>
            </w:pPr>
            <w:r>
              <w:t>8d</w:t>
            </w:r>
          </w:p>
        </w:tc>
        <w:tc>
          <w:tcPr>
            <w:tcW w:w="1150" w:type="dxa"/>
            <w:vAlign w:val="center"/>
          </w:tcPr>
          <w:p>
            <w:pPr>
              <w:pStyle w:val="TableNumber"/>
            </w:pPr>
            <w:r>
              <w:t>0.0569</w:t>
            </w:r>
          </w:p>
        </w:tc>
        <w:tc>
          <w:tcPr>
            <w:tcW w:w="1050" w:type="dxa"/>
            <w:vAlign w:val="center"/>
          </w:tcPr>
          <w:p>
            <w:pPr>
              <w:pStyle w:val="TableNumber"/>
            </w:pPr>
            <w:r>
              <w:t>0.300</w:t>
            </w:r>
          </w:p>
        </w:tc>
        <w:tc>
          <w:tcPr>
            <w:tcW w:w="1500" w:type="dxa"/>
            <w:vAlign w:val="center"/>
          </w:tcPr>
          <w:p>
            <w:pPr>
              <w:pStyle w:val="TableNumber"/>
            </w:pPr>
            <w:r>
              <w:t>+1.86%</w:t>
            </w:r>
          </w:p>
        </w:tc>
        <w:tc>
          <w:tcPr>
            <w:tcW w:w="1100" w:type="dxa"/>
            <w:vAlign w:val="center"/>
          </w:tcPr>
          <w:p>
            <w:pPr>
              <w:pStyle w:val="TableNumber"/>
            </w:pPr>
            <w:r>
              <w:t>1.90</w:t>
            </w:r>
          </w:p>
        </w:tc>
        <w:tc>
          <w:tcPr>
            <w:tcW w:w="1250" w:type="dxa"/>
            <w:vAlign w:val="center"/>
          </w:tcPr>
          <w:p>
            <w:pPr>
              <w:pStyle w:val="TableNumber"/>
            </w:pPr>
            <w:r>
              <w:t>-46.1%</w:t>
            </w:r>
          </w:p>
        </w:tc>
        <w:tc>
          <w:tcPr>
            <w:tcW w:w="1450" w:type="dxa"/>
            <w:vAlign w:val="center"/>
          </w:tcPr>
          <w:p>
            <w:pPr>
              <w:pStyle w:val="TableNumber"/>
            </w:pPr>
            <w:r>
              <w:t>0.419</w:t>
            </w:r>
          </w:p>
        </w:tc>
        <w:tc>
          <w:tcPr>
            <w:tcW w:w="1310" w:type="dxa"/>
            <w:vAlign w:val="center"/>
          </w:tcPr>
          <w:p>
            <w:pPr>
              <w:pStyle w:val="TableNumber"/>
            </w:pPr>
            <w:r>
              <w:t>155</w:t>
            </w:r>
          </w:p>
        </w:tc>
      </w:tr>
      <w:tr>
        <w:trPr>
          <w:cantSplit/>
        </w:trPr>
        <w:tc>
          <w:tcPr>
            <w:tcW w:w="550" w:type="dxa"/>
            <w:vAlign w:val="center"/>
          </w:tcPr>
          <w:p>
            <w:pPr>
              <w:pStyle w:val="TableText"/>
            </w:pPr>
            <w:r>
              <w:t>9d</w:t>
            </w:r>
          </w:p>
        </w:tc>
        <w:tc>
          <w:tcPr>
            <w:tcW w:w="1150" w:type="dxa"/>
            <w:vAlign w:val="center"/>
          </w:tcPr>
          <w:p>
            <w:pPr>
              <w:pStyle w:val="TableNumber"/>
            </w:pPr>
            <w:r>
              <w:t>0.0610</w:t>
            </w:r>
          </w:p>
        </w:tc>
        <w:tc>
          <w:tcPr>
            <w:tcW w:w="1050" w:type="dxa"/>
            <w:vAlign w:val="center"/>
          </w:tcPr>
          <w:p>
            <w:pPr>
              <w:pStyle w:val="TableNumber"/>
            </w:pPr>
            <w:r>
              <w:t>0.318</w:t>
            </w:r>
          </w:p>
        </w:tc>
        <w:tc>
          <w:tcPr>
            <w:tcW w:w="1500" w:type="dxa"/>
            <w:vAlign w:val="center"/>
          </w:tcPr>
          <w:p>
            <w:pPr>
              <w:pStyle w:val="TableNumber"/>
            </w:pPr>
            <w:r>
              <w:t>+2.17%</w:t>
            </w:r>
          </w:p>
        </w:tc>
        <w:tc>
          <w:tcPr>
            <w:tcW w:w="1100" w:type="dxa"/>
            <w:vAlign w:val="center"/>
          </w:tcPr>
          <w:p>
            <w:pPr>
              <w:pStyle w:val="TableNumber"/>
            </w:pPr>
            <w:r>
              <w:t>1.99</w:t>
            </w:r>
          </w:p>
        </w:tc>
        <w:tc>
          <w:tcPr>
            <w:tcW w:w="1250" w:type="dxa"/>
            <w:vAlign w:val="center"/>
          </w:tcPr>
          <w:p>
            <w:pPr>
              <w:pStyle w:val="TableNumber"/>
            </w:pPr>
            <w:r>
              <w:t>-47.9%</w:t>
            </w:r>
          </w:p>
        </w:tc>
        <w:tc>
          <w:tcPr>
            <w:tcW w:w="1450" w:type="dxa"/>
            <w:vAlign w:val="center"/>
          </w:tcPr>
          <w:p>
            <w:pPr>
              <w:pStyle w:val="TableNumber"/>
            </w:pPr>
            <w:r>
              <w:t>0.416</w:t>
            </w:r>
          </w:p>
        </w:tc>
        <w:tc>
          <w:tcPr>
            <w:tcW w:w="1310" w:type="dxa"/>
            <w:vAlign w:val="center"/>
          </w:tcPr>
          <w:p>
            <w:pPr>
              <w:pStyle w:val="TableNumber"/>
            </w:pPr>
            <w:r>
              <w:t>155</w:t>
            </w:r>
          </w:p>
        </w:tc>
      </w:tr>
      <w:tr>
        <w:trPr>
          <w:cantSplit/>
        </w:trPr>
        <w:tc>
          <w:tcPr>
            <w:tcW w:w="550" w:type="dxa"/>
            <w:vAlign w:val="center"/>
          </w:tcPr>
          <w:p>
            <w:pPr>
              <w:pStyle w:val="TableText"/>
            </w:pPr>
            <w:r>
              <w:t>10d</w:t>
            </w:r>
          </w:p>
        </w:tc>
        <w:tc>
          <w:tcPr>
            <w:tcW w:w="1150" w:type="dxa"/>
            <w:vAlign w:val="center"/>
          </w:tcPr>
          <w:p>
            <w:pPr>
              <w:pStyle w:val="TableNumber"/>
            </w:pPr>
            <w:r>
              <w:t>0.0630</w:t>
            </w:r>
          </w:p>
        </w:tc>
        <w:tc>
          <w:tcPr>
            <w:tcW w:w="1050" w:type="dxa"/>
            <w:vAlign w:val="center"/>
          </w:tcPr>
          <w:p>
            <w:pPr>
              <w:pStyle w:val="TableNumber"/>
            </w:pPr>
            <w:r>
              <w:t>0.339</w:t>
            </w:r>
          </w:p>
        </w:tc>
        <w:tc>
          <w:tcPr>
            <w:tcW w:w="1500" w:type="dxa"/>
            <w:vAlign w:val="center"/>
          </w:tcPr>
          <w:p>
            <w:pPr>
              <w:pStyle w:val="TableNumber"/>
            </w:pPr>
            <w:r>
              <w:t>+2.56%</w:t>
            </w:r>
          </w:p>
        </w:tc>
        <w:tc>
          <w:tcPr>
            <w:tcW w:w="1100" w:type="dxa"/>
            <w:vAlign w:val="center"/>
          </w:tcPr>
          <w:p>
            <w:pPr>
              <w:pStyle w:val="TableNumber"/>
            </w:pPr>
            <w:r>
              <w:t>2.08</w:t>
            </w:r>
          </w:p>
        </w:tc>
        <w:tc>
          <w:tcPr>
            <w:tcW w:w="1250" w:type="dxa"/>
            <w:vAlign w:val="center"/>
          </w:tcPr>
          <w:p>
            <w:pPr>
              <w:pStyle w:val="TableNumber"/>
            </w:pPr>
            <w:r>
              <w:t>-48.3%</w:t>
            </w:r>
          </w:p>
        </w:tc>
        <w:tc>
          <w:tcPr>
            <w:tcW w:w="1450" w:type="dxa"/>
            <w:vAlign w:val="center"/>
          </w:tcPr>
          <w:p>
            <w:pPr>
              <w:pStyle w:val="TableNumber"/>
            </w:pPr>
            <w:r>
              <w:t>0.420</w:t>
            </w:r>
          </w:p>
        </w:tc>
        <w:tc>
          <w:tcPr>
            <w:tcW w:w="1310" w:type="dxa"/>
            <w:vAlign w:val="center"/>
          </w:tcPr>
          <w:p>
            <w:pPr>
              <w:pStyle w:val="TableNumber"/>
            </w:pPr>
            <w:r>
              <w:t>155</w:t>
            </w:r>
          </w:p>
        </w:tc>
      </w:tr>
      <w:tr>
        <w:trPr>
          <w:cantSplit/>
        </w:trPr>
        <w:tc>
          <w:tcPr>
            <w:tcW w:w="550" w:type="dxa"/>
            <w:vAlign w:val="center"/>
          </w:tcPr>
          <w:p>
            <w:pPr>
              <w:pStyle w:val="TableText"/>
            </w:pPr>
            <w:r>
              <w:t>11d</w:t>
            </w:r>
          </w:p>
        </w:tc>
        <w:tc>
          <w:tcPr>
            <w:tcW w:w="1150" w:type="dxa"/>
            <w:vAlign w:val="center"/>
          </w:tcPr>
          <w:p>
            <w:pPr>
              <w:pStyle w:val="TableNumber"/>
            </w:pPr>
            <w:r>
              <w:t>0.0610</w:t>
            </w:r>
          </w:p>
        </w:tc>
        <w:tc>
          <w:tcPr>
            <w:tcW w:w="1050" w:type="dxa"/>
            <w:vAlign w:val="center"/>
          </w:tcPr>
          <w:p>
            <w:pPr>
              <w:pStyle w:val="TableNumber"/>
            </w:pPr>
            <w:r>
              <w:t>0.328</w:t>
            </w:r>
          </w:p>
        </w:tc>
        <w:tc>
          <w:tcPr>
            <w:tcW w:w="1500" w:type="dxa"/>
            <w:vAlign w:val="center"/>
          </w:tcPr>
          <w:p>
            <w:pPr>
              <w:pStyle w:val="TableNumber"/>
            </w:pPr>
            <w:r>
              <w:t>+2.75%</w:t>
            </w:r>
          </w:p>
        </w:tc>
        <w:tc>
          <w:tcPr>
            <w:tcW w:w="1100" w:type="dxa"/>
            <w:vAlign w:val="center"/>
          </w:tcPr>
          <w:p>
            <w:pPr>
              <w:pStyle w:val="TableNumber"/>
            </w:pPr>
            <w:r>
              <w:t>2.03</w:t>
            </w:r>
          </w:p>
        </w:tc>
        <w:tc>
          <w:tcPr>
            <w:tcW w:w="1250" w:type="dxa"/>
            <w:vAlign w:val="center"/>
          </w:tcPr>
          <w:p>
            <w:pPr>
              <w:pStyle w:val="TableNumber"/>
            </w:pPr>
            <w:r>
              <w:t>-49.7%</w:t>
            </w:r>
          </w:p>
        </w:tc>
        <w:tc>
          <w:tcPr>
            <w:tcW w:w="1450" w:type="dxa"/>
            <w:vAlign w:val="center"/>
          </w:tcPr>
          <w:p>
            <w:pPr>
              <w:pStyle w:val="TableNumber"/>
            </w:pPr>
            <w:r>
              <w:t>0.411</w:t>
            </w:r>
          </w:p>
        </w:tc>
        <w:tc>
          <w:tcPr>
            <w:tcW w:w="1310" w:type="dxa"/>
            <w:vAlign w:val="center"/>
          </w:tcPr>
          <w:p>
            <w:pPr>
              <w:pStyle w:val="TableNumber"/>
            </w:pPr>
            <w:r>
              <w:t>155</w:t>
            </w:r>
          </w:p>
        </w:tc>
      </w:tr>
      <w:tr>
        <w:trPr>
          <w:cantSplit/>
        </w:trPr>
        <w:tc>
          <w:tcPr>
            <w:tcW w:w="550" w:type="dxa"/>
            <w:vAlign w:val="center"/>
          </w:tcPr>
          <w:p>
            <w:pPr>
              <w:pStyle w:val="TableText"/>
            </w:pPr>
            <w:r>
              <w:t>12d</w:t>
            </w:r>
          </w:p>
        </w:tc>
        <w:tc>
          <w:tcPr>
            <w:tcW w:w="1150" w:type="dxa"/>
            <w:vAlign w:val="center"/>
          </w:tcPr>
          <w:p>
            <w:pPr>
              <w:pStyle w:val="TableNumber"/>
            </w:pPr>
            <w:r>
              <w:t>0.0593</w:t>
            </w:r>
          </w:p>
        </w:tc>
        <w:tc>
          <w:tcPr>
            <w:tcW w:w="1050" w:type="dxa"/>
            <w:vAlign w:val="center"/>
          </w:tcPr>
          <w:p>
            <w:pPr>
              <w:pStyle w:val="TableNumber"/>
            </w:pPr>
            <w:r>
              <w:t>0.323</w:t>
            </w:r>
          </w:p>
        </w:tc>
        <w:tc>
          <w:tcPr>
            <w:tcW w:w="1500" w:type="dxa"/>
            <w:vAlign w:val="center"/>
          </w:tcPr>
          <w:p>
            <w:pPr>
              <w:pStyle w:val="TableNumber"/>
            </w:pPr>
            <w:r>
              <w:t>+2.75%</w:t>
            </w:r>
          </w:p>
        </w:tc>
        <w:tc>
          <w:tcPr>
            <w:tcW w:w="1100" w:type="dxa"/>
            <w:vAlign w:val="center"/>
          </w:tcPr>
          <w:p>
            <w:pPr>
              <w:pStyle w:val="TableNumber"/>
            </w:pPr>
            <w:r>
              <w:t>1.89</w:t>
            </w:r>
          </w:p>
        </w:tc>
        <w:tc>
          <w:tcPr>
            <w:tcW w:w="1250" w:type="dxa"/>
            <w:vAlign w:val="center"/>
          </w:tcPr>
          <w:p>
            <w:pPr>
              <w:pStyle w:val="TableNumber"/>
            </w:pPr>
            <w:r>
              <w:t>-54.8%</w:t>
            </w:r>
          </w:p>
        </w:tc>
        <w:tc>
          <w:tcPr>
            <w:tcW w:w="1450" w:type="dxa"/>
            <w:vAlign w:val="center"/>
          </w:tcPr>
          <w:p>
            <w:pPr>
              <w:pStyle w:val="TableNumber"/>
            </w:pPr>
            <w:r>
              <w:t>0.408</w:t>
            </w:r>
          </w:p>
        </w:tc>
        <w:tc>
          <w:tcPr>
            <w:tcW w:w="1310" w:type="dxa"/>
            <w:vAlign w:val="center"/>
          </w:tcPr>
          <w:p>
            <w:pPr>
              <w:pStyle w:val="TableNumber"/>
            </w:pPr>
            <w:r>
              <w:t>155</w:t>
            </w:r>
          </w:p>
        </w:tc>
      </w:tr>
      <w:tr>
        <w:trPr>
          <w:cantSplit/>
        </w:trPr>
        <w:tc>
          <w:tcPr>
            <w:tcW w:w="550" w:type="dxa"/>
            <w:vAlign w:val="center"/>
          </w:tcPr>
          <w:p>
            <w:pPr>
              <w:pStyle w:val="TableText"/>
            </w:pPr>
            <w:r>
              <w:t>13d</w:t>
            </w:r>
          </w:p>
        </w:tc>
        <w:tc>
          <w:tcPr>
            <w:tcW w:w="1150" w:type="dxa"/>
            <w:vAlign w:val="center"/>
          </w:tcPr>
          <w:p>
            <w:pPr>
              <w:pStyle w:val="TableNumber"/>
            </w:pPr>
            <w:r>
              <w:t>0.0464</w:t>
            </w:r>
          </w:p>
        </w:tc>
        <w:tc>
          <w:tcPr>
            <w:tcW w:w="1050" w:type="dxa"/>
            <w:vAlign w:val="center"/>
          </w:tcPr>
          <w:p>
            <w:pPr>
              <w:pStyle w:val="TableNumber"/>
            </w:pPr>
            <w:r>
              <w:t>0.245</w:t>
            </w:r>
          </w:p>
        </w:tc>
        <w:tc>
          <w:tcPr>
            <w:tcW w:w="1500" w:type="dxa"/>
            <w:vAlign w:val="center"/>
          </w:tcPr>
          <w:p>
            <w:pPr>
              <w:pStyle w:val="TableNumber"/>
            </w:pPr>
            <w:r>
              <w:t>+2.59%</w:t>
            </w:r>
          </w:p>
        </w:tc>
        <w:tc>
          <w:tcPr>
            <w:tcW w:w="1100" w:type="dxa"/>
            <w:vAlign w:val="center"/>
          </w:tcPr>
          <w:p>
            <w:pPr>
              <w:pStyle w:val="TableNumber"/>
            </w:pPr>
            <w:r>
              <w:t>1.63</w:t>
            </w:r>
          </w:p>
        </w:tc>
        <w:tc>
          <w:tcPr>
            <w:tcW w:w="1250" w:type="dxa"/>
            <w:vAlign w:val="center"/>
          </w:tcPr>
          <w:p>
            <w:pPr>
              <w:pStyle w:val="TableNumber"/>
            </w:pPr>
            <w:r>
              <w:t>-66.7%</w:t>
            </w:r>
          </w:p>
        </w:tc>
        <w:tc>
          <w:tcPr>
            <w:tcW w:w="1450" w:type="dxa"/>
            <w:vAlign w:val="center"/>
          </w:tcPr>
          <w:p>
            <w:pPr>
              <w:pStyle w:val="TableNumber"/>
            </w:pPr>
            <w:r>
              <w:t>0.402</w:t>
            </w:r>
          </w:p>
        </w:tc>
        <w:tc>
          <w:tcPr>
            <w:tcW w:w="1310" w:type="dxa"/>
            <w:vAlign w:val="center"/>
          </w:tcPr>
          <w:p>
            <w:pPr>
              <w:pStyle w:val="TableNumber"/>
            </w:pPr>
            <w:r>
              <w:t>155</w:t>
            </w:r>
          </w:p>
        </w:tc>
      </w:tr>
      <w:tr>
        <w:trPr>
          <w:cantSplit/>
        </w:trPr>
        <w:tc>
          <w:tcPr>
            <w:tcW w:w="550" w:type="dxa"/>
            <w:vAlign w:val="center"/>
          </w:tcPr>
          <w:p>
            <w:pPr>
              <w:pStyle w:val="TableText"/>
            </w:pPr>
            <w:r>
              <w:t>14d</w:t>
            </w:r>
          </w:p>
        </w:tc>
        <w:tc>
          <w:tcPr>
            <w:tcW w:w="1150" w:type="dxa"/>
            <w:vAlign w:val="center"/>
          </w:tcPr>
          <w:p>
            <w:pPr>
              <w:pStyle w:val="TableNumber"/>
            </w:pPr>
            <w:r>
              <w:t>0.0483</w:t>
            </w:r>
          </w:p>
        </w:tc>
        <w:tc>
          <w:tcPr>
            <w:tcW w:w="1050" w:type="dxa"/>
            <w:vAlign w:val="center"/>
          </w:tcPr>
          <w:p>
            <w:pPr>
              <w:pStyle w:val="TableNumber"/>
            </w:pPr>
            <w:r>
              <w:t>0.260</w:t>
            </w:r>
          </w:p>
        </w:tc>
        <w:tc>
          <w:tcPr>
            <w:tcW w:w="1500" w:type="dxa"/>
            <w:vAlign w:val="center"/>
          </w:tcPr>
          <w:p>
            <w:pPr>
              <w:pStyle w:val="TableNumber"/>
            </w:pPr>
            <w:r>
              <w:t>+2.74%</w:t>
            </w:r>
          </w:p>
        </w:tc>
        <w:tc>
          <w:tcPr>
            <w:tcW w:w="1100" w:type="dxa"/>
            <w:vAlign w:val="center"/>
          </w:tcPr>
          <w:p>
            <w:pPr>
              <w:pStyle w:val="TableNumber"/>
            </w:pPr>
            <w:r>
              <w:t>1.62</w:t>
            </w:r>
          </w:p>
        </w:tc>
        <w:tc>
          <w:tcPr>
            <w:tcW w:w="1250" w:type="dxa"/>
            <w:vAlign w:val="center"/>
          </w:tcPr>
          <w:p>
            <w:pPr>
              <w:pStyle w:val="TableNumber"/>
            </w:pPr>
            <w:r>
              <w:t>-66.7%</w:t>
            </w:r>
          </w:p>
        </w:tc>
        <w:tc>
          <w:tcPr>
            <w:tcW w:w="1450" w:type="dxa"/>
            <w:vAlign w:val="center"/>
          </w:tcPr>
          <w:p>
            <w:pPr>
              <w:pStyle w:val="TableNumber"/>
            </w:pPr>
            <w:r>
              <w:t>0.403</w:t>
            </w:r>
          </w:p>
        </w:tc>
        <w:tc>
          <w:tcPr>
            <w:tcW w:w="1310" w:type="dxa"/>
            <w:vAlign w:val="center"/>
          </w:tcPr>
          <w:p>
            <w:pPr>
              <w:pStyle w:val="TableNumber"/>
            </w:pPr>
            <w:r>
              <w:t>155</w:t>
            </w:r>
          </w:p>
        </w:tc>
      </w:tr>
    </w:tbl>
    <w:p>
      <w:pPr>
        <w:pStyle w:val="Lead"/>
      </w:pPr>
      <w:r>
        <w:t>Combined reading: normalized pinball falls from 0.3748 at day 1 to 0.2921 at day 14, while q50 correlation rises from 0.0507 to 0.1065. Yet long-horizon coverage is mostly below 80% and MDD deepens from −15.4% to −66.7%. Distribution error and cross-sectional rank show broad strength, while the capital path becomes materially riskier at longer horizons.</w:t>
      </w:r>
    </w:p>
    <w:p>
      <w:pPr>
        <w:pStyle w:val="11"/>
      </w:pPr>
      <w:r>
        <w:t>10. Legacy metrics that do not apply</w:t>
      </w:r>
    </w:p>
    <w:tbl>
      <w:tblPr>
        <w:tblStyle w:val="BenchmarkTable"/>
        <w:tblW w:w="9360" w:type="dxa"/>
        <w:tblLayout w:type="fixed"/>
      </w:tblPr>
      <w:tblGrid>
        <w:gridCol w:w="2800"/>
        <w:gridCol w:w="3500"/>
        <w:gridCol w:w="3060"/>
      </w:tblGrid>
      <w:tr>
        <w:trPr>
          <w:tblHeader/>
        </w:trPr>
        <w:tc>
          <w:tcPr>
            <w:tcW w:w="2800" w:type="dxa"/>
            <w:shd w:val="clear" w:fill="DCE6F1"/>
            <w:vAlign w:val="center"/>
          </w:tcPr>
          <w:p>
            <w:pPr>
              <w:pStyle w:val="TableHeader"/>
            </w:pPr>
            <w:r>
              <w:t>Legacy metric or claim</w:t>
            </w:r>
          </w:p>
        </w:tc>
        <w:tc>
          <w:tcPr>
            <w:tcW w:w="3500" w:type="dxa"/>
            <w:shd w:val="clear" w:fill="DCE6F1"/>
            <w:vAlign w:val="center"/>
          </w:tcPr>
          <w:p>
            <w:pPr>
              <w:pStyle w:val="TableHeader"/>
            </w:pPr>
            <w:r>
              <w:t>Why it does not apply</w:t>
            </w:r>
          </w:p>
        </w:tc>
        <w:tc>
          <w:tcPr>
            <w:tcW w:w="3060" w:type="dxa"/>
            <w:shd w:val="clear" w:fill="DCE6F1"/>
            <w:vAlign w:val="center"/>
          </w:tcPr>
          <w:p>
            <w:pPr>
              <w:pStyle w:val="TableHeader"/>
            </w:pPr>
            <w:r>
              <w:t>Use instead</w:t>
            </w:r>
          </w:p>
        </w:tc>
      </w:tr>
      <w:tr>
        <w:trPr>
          <w:cantSplit/>
        </w:trPr>
        <w:tc>
          <w:tcPr>
            <w:tcW w:w="2800" w:type="dxa"/>
            <w:vAlign w:val="center"/>
          </w:tcPr>
          <w:p>
            <w:pPr>
              <w:pStyle w:val="TableText"/>
            </w:pPr>
            <w:r>
              <w:t>Accuracy, balanced accuracy, Macro-F1, MCC</w:t>
            </w:r>
          </w:p>
        </w:tc>
        <w:tc>
          <w:tcPr>
            <w:tcW w:w="3500" w:type="dxa"/>
            <w:vAlign w:val="center"/>
          </w:tcPr>
          <w:p>
            <w:pPr>
              <w:pStyle w:val="TableText"/>
            </w:pPr>
            <w:r>
              <w:t>There is no direction-classification head or class target; derived signals are not a trained classifier</w:t>
            </w:r>
          </w:p>
        </w:tc>
        <w:tc>
          <w:tcPr>
            <w:tcW w:w="3060" w:type="dxa"/>
            <w:vAlign w:val="center"/>
          </w:tcPr>
          <w:p>
            <w:pPr>
              <w:pStyle w:val="TableText"/>
            </w:pPr>
            <w:r>
              <w:t>Direction agreement only checks q50 sign and must not be relabeled classification accuracy</w:t>
            </w:r>
          </w:p>
        </w:tc>
      </w:tr>
      <w:tr>
        <w:trPr>
          <w:cantSplit/>
        </w:trPr>
        <w:tc>
          <w:tcPr>
            <w:tcW w:w="2800" w:type="dxa"/>
            <w:vAlign w:val="center"/>
          </w:tcPr>
          <w:p>
            <w:pPr>
              <w:pStyle w:val="TableText"/>
            </w:pPr>
            <w:r>
              <w:t>Brier score and ECE</w:t>
            </w:r>
          </w:p>
        </w:tc>
        <w:tc>
          <w:tcPr>
            <w:tcW w:w="3500" w:type="dxa"/>
            <w:vAlign w:val="center"/>
          </w:tcPr>
          <w:p>
            <w:pPr>
              <w:pStyle w:val="TableText"/>
            </w:pPr>
            <w:r>
              <w:t>There are no calibrated class probabilities</w:t>
            </w:r>
          </w:p>
        </w:tc>
        <w:tc>
          <w:tcPr>
            <w:tcW w:w="3060" w:type="dxa"/>
            <w:vAlign w:val="center"/>
          </w:tcPr>
          <w:p>
            <w:pPr>
              <w:pStyle w:val="TableText"/>
            </w:pPr>
            <w:r>
              <w:t>Pinball, coverage, and width for q10/q50/q90</w:t>
            </w:r>
          </w:p>
        </w:tc>
      </w:tr>
      <w:tr>
        <w:trPr>
          <w:cantSplit/>
        </w:trPr>
        <w:tc>
          <w:tcPr>
            <w:tcW w:w="2800" w:type="dxa"/>
            <w:vAlign w:val="center"/>
          </w:tcPr>
          <w:p>
            <w:pPr>
              <w:pStyle w:val="TableText"/>
            </w:pPr>
            <w:r>
              <w:t>Classification loss or loss weights</w:t>
            </w:r>
          </w:p>
        </w:tc>
        <w:tc>
          <w:tcPr>
            <w:tcW w:w="3500" w:type="dxa"/>
            <w:vAlign w:val="center"/>
          </w:tcPr>
          <w:p>
            <w:pPr>
              <w:pStyle w:val="TableText"/>
            </w:pPr>
            <w:r>
              <w:t>The only alpha objective is scale-normalized pinball</w:t>
            </w:r>
          </w:p>
        </w:tc>
        <w:tc>
          <w:tcPr>
            <w:tcW w:w="3060" w:type="dxa"/>
            <w:vAlign w:val="center"/>
          </w:tcPr>
          <w:p>
            <w:pPr>
              <w:pStyle w:val="TableText"/>
            </w:pPr>
            <w:r>
              <w:t>Training loss and 14-horizon selection score</w:t>
            </w:r>
          </w:p>
        </w:tc>
      </w:tr>
      <w:tr>
        <w:trPr>
          <w:cantSplit/>
        </w:trPr>
        <w:tc>
          <w:tcPr>
            <w:tcW w:w="2800" w:type="dxa"/>
            <w:vAlign w:val="center"/>
          </w:tcPr>
          <w:p>
            <w:pPr>
              <w:pStyle w:val="TableText"/>
            </w:pPr>
            <w:r>
              <w:t>Text overlap, grounding, generation success</w:t>
            </w:r>
          </w:p>
        </w:tc>
        <w:tc>
          <w:tcPr>
            <w:tcW w:w="3500" w:type="dxa"/>
            <w:vAlign w:val="center"/>
          </w:tcPr>
          <w:p>
            <w:pPr>
              <w:pStyle w:val="TableText"/>
            </w:pPr>
            <w:r>
              <w:t>The current output contract is numerical alpha quantiles only</w:t>
            </w:r>
          </w:p>
        </w:tc>
        <w:tc>
          <w:tcPr>
            <w:tcW w:w="3060" w:type="dxa"/>
            <w:vAlign w:val="center"/>
          </w:tcPr>
          <w:p>
            <w:pPr>
              <w:pStyle w:val="TableText"/>
            </w:pPr>
            <w:r>
              <w:t>Schema 5.0 numerical output and lifecycle fields</w:t>
            </w:r>
          </w:p>
        </w:tc>
      </w:tr>
      <w:tr>
        <w:trPr>
          <w:cantSplit/>
        </w:trPr>
        <w:tc>
          <w:tcPr>
            <w:tcW w:w="2800" w:type="dxa"/>
            <w:vAlign w:val="center"/>
          </w:tcPr>
          <w:p>
            <w:pPr>
              <w:pStyle w:val="TableText"/>
            </w:pPr>
            <w:r>
              <w:t>Evaluate only day five</w:t>
            </w:r>
          </w:p>
        </w:tc>
        <w:tc>
          <w:tcPr>
            <w:tcW w:w="3500" w:type="dxa"/>
            <w:vAlign w:val="center"/>
          </w:tcPr>
          <w:p>
            <w:pPr>
              <w:pStyle w:val="TableText"/>
            </w:pPr>
            <w:r>
              <w:t>The model directly emits one q triplet for every day from 1 through 14</w:t>
            </w:r>
          </w:p>
        </w:tc>
        <w:tc>
          <w:tcPr>
            <w:tcW w:w="3060" w:type="dxa"/>
            <w:vAlign w:val="center"/>
          </w:tcPr>
          <w:p>
            <w:pPr>
              <w:pStyle w:val="TableText"/>
            </w:pPr>
            <w:r>
              <w:t>14-horizon score plus all per-horizon and cross-sectional rows</w:t>
            </w:r>
          </w:p>
        </w:tc>
      </w:tr>
      <w:tr>
        <w:trPr>
          <w:cantSplit/>
        </w:trPr>
        <w:tc>
          <w:tcPr>
            <w:tcW w:w="2800" w:type="dxa"/>
            <w:vAlign w:val="center"/>
          </w:tcPr>
          <w:p>
            <w:pPr>
              <w:pStyle w:val="TableText"/>
            </w:pPr>
            <w:r>
              <w:t>Legacy 1-day / 20-day auxiliary diagnostics</w:t>
            </w:r>
          </w:p>
        </w:tc>
        <w:tc>
          <w:tcPr>
            <w:tcW w:w="3500" w:type="dxa"/>
            <w:vAlign w:val="center"/>
          </w:tcPr>
          <w:p>
            <w:pPr>
              <w:pStyle w:val="TableText"/>
            </w:pPr>
            <w:r>
              <w:t>Formal horizons are now 1–14</w:t>
            </w:r>
          </w:p>
        </w:tc>
        <w:tc>
          <w:tcPr>
            <w:tcW w:w="3060" w:type="dxa"/>
            <w:vAlign w:val="center"/>
          </w:tcPr>
          <w:p>
            <w:pPr>
              <w:pStyle w:val="TableText"/>
            </w:pPr>
            <w:r>
              <w:t>per_horizon/&lt;h&gt;d</w:t>
            </w:r>
          </w:p>
        </w:tc>
      </w:tr>
    </w:tbl>
    <w:p>
      <w:pPr>
        <w:pStyle w:val="11"/>
      </w:pPr>
      <w:r>
        <w:t>11. How to read a report from beginning to end</w:t>
      </w:r>
    </w:p>
    <w:tbl>
      <w:tblPr>
        <w:tblStyle w:val="BenchmarkTable"/>
        <w:tblW w:w="9360" w:type="dxa"/>
        <w:tblLayout w:type="fixed"/>
      </w:tblPr>
      <w:tblGrid>
        <w:gridCol w:w="900"/>
        <w:gridCol w:w="2900"/>
        <w:gridCol w:w="5560"/>
      </w:tblGrid>
      <w:tr>
        <w:trPr>
          <w:tblHeader/>
        </w:trPr>
        <w:tc>
          <w:tcPr>
            <w:tcW w:w="900" w:type="dxa"/>
            <w:shd w:val="clear" w:fill="DCE6F1"/>
            <w:vAlign w:val="center"/>
          </w:tcPr>
          <w:p>
            <w:pPr>
              <w:pStyle w:val="TableHeader"/>
            </w:pPr>
            <w:r>
              <w:t>Order</w:t>
            </w:r>
          </w:p>
        </w:tc>
        <w:tc>
          <w:tcPr>
            <w:tcW w:w="2900" w:type="dxa"/>
            <w:shd w:val="clear" w:fill="DCE6F1"/>
            <w:vAlign w:val="center"/>
          </w:tcPr>
          <w:p>
            <w:pPr>
              <w:pStyle w:val="TableHeader"/>
            </w:pPr>
            <w:r>
              <w:t>Action</w:t>
            </w:r>
          </w:p>
        </w:tc>
        <w:tc>
          <w:tcPr>
            <w:tcW w:w="5560" w:type="dxa"/>
            <w:shd w:val="clear" w:fill="DCE6F1"/>
            <w:vAlign w:val="center"/>
          </w:tcPr>
          <w:p>
            <w:pPr>
              <w:pStyle w:val="TableHeader"/>
            </w:pPr>
            <w:r>
              <w:t>Question that must be answered</w:t>
            </w:r>
          </w:p>
        </w:tc>
      </w:tr>
      <w:tr>
        <w:trPr>
          <w:cantSplit/>
        </w:trPr>
        <w:tc>
          <w:tcPr>
            <w:tcW w:w="900" w:type="dxa"/>
            <w:vAlign w:val="center"/>
          </w:tcPr>
          <w:p>
            <w:pPr>
              <w:pStyle w:val="TableText"/>
            </w:pPr>
            <w:r>
              <w:t>1</w:t>
            </w:r>
          </w:p>
        </w:tc>
        <w:tc>
          <w:tcPr>
            <w:tcW w:w="2900" w:type="dxa"/>
            <w:vAlign w:val="center"/>
          </w:tcPr>
          <w:p>
            <w:pPr>
              <w:pStyle w:val="TableText"/>
            </w:pPr>
            <w:r>
              <w:t>Confirm target, horizons, split, and sample count</w:t>
            </w:r>
          </w:p>
        </w:tc>
        <w:tc>
          <w:tcPr>
            <w:tcW w:w="5560" w:type="dxa"/>
            <w:vAlign w:val="center"/>
          </w:tcPr>
          <w:p>
            <w:pPr>
              <w:pStyle w:val="TableText"/>
            </w:pPr>
            <w:r>
              <w:t>Is this benchmark-relative day-1-to-day-14 validation, and is test still locked?</w:t>
            </w:r>
          </w:p>
        </w:tc>
      </w:tr>
      <w:tr>
        <w:trPr>
          <w:cantSplit/>
        </w:trPr>
        <w:tc>
          <w:tcPr>
            <w:tcW w:w="900" w:type="dxa"/>
            <w:vAlign w:val="center"/>
          </w:tcPr>
          <w:p>
            <w:pPr>
              <w:pStyle w:val="TableText"/>
            </w:pPr>
            <w:r>
              <w:t>2</w:t>
            </w:r>
          </w:p>
        </w:tc>
        <w:tc>
          <w:tcPr>
            <w:tcW w:w="2900" w:type="dxa"/>
            <w:vAlign w:val="center"/>
          </w:tcPr>
          <w:p>
            <w:pPr>
              <w:pStyle w:val="TableText"/>
            </w:pPr>
            <w:r>
              <w:t>Read selection score and every N-pinball row</w:t>
            </w:r>
          </w:p>
        </w:tc>
        <w:tc>
          <w:tcPr>
            <w:tcW w:w="5560" w:type="dxa"/>
            <w:vAlign w:val="center"/>
          </w:tcPr>
          <w:p>
            <w:pPr>
              <w:pStyle w:val="TableText"/>
            </w:pPr>
            <w:r>
              <w:t>Is the aggregate win supported by most horizons?</w:t>
            </w:r>
          </w:p>
        </w:tc>
      </w:tr>
      <w:tr>
        <w:trPr>
          <w:cantSplit/>
        </w:trPr>
        <w:tc>
          <w:tcPr>
            <w:tcW w:w="900" w:type="dxa"/>
            <w:vAlign w:val="center"/>
          </w:tcPr>
          <w:p>
            <w:pPr>
              <w:pStyle w:val="TableText"/>
            </w:pPr>
            <w:r>
              <w:t>3</w:t>
            </w:r>
          </w:p>
        </w:tc>
        <w:tc>
          <w:tcPr>
            <w:tcW w:w="2900" w:type="dxa"/>
            <w:vAlign w:val="center"/>
          </w:tcPr>
          <w:p>
            <w:pPr>
              <w:pStyle w:val="TableText"/>
            </w:pPr>
            <w:r>
              <w:t>Read q50 MAE, correlation, and direction</w:t>
            </w:r>
          </w:p>
        </w:tc>
        <w:tc>
          <w:tcPr>
            <w:tcW w:w="5560" w:type="dxa"/>
            <w:vAlign w:val="center"/>
          </w:tcPr>
          <w:p>
            <w:pPr>
              <w:pStyle w:val="TableText"/>
            </w:pPr>
            <w:r>
              <w:t>Do magnitude, co-movement, and sign support the same conclusion?</w:t>
            </w:r>
          </w:p>
        </w:tc>
      </w:tr>
      <w:tr>
        <w:trPr>
          <w:cantSplit/>
        </w:trPr>
        <w:tc>
          <w:tcPr>
            <w:tcW w:w="900" w:type="dxa"/>
            <w:vAlign w:val="center"/>
          </w:tcPr>
          <w:p>
            <w:pPr>
              <w:pStyle w:val="TableText"/>
            </w:pPr>
            <w:r>
              <w:t>4</w:t>
            </w:r>
          </w:p>
        </w:tc>
        <w:tc>
          <w:tcPr>
            <w:tcW w:w="2900" w:type="dxa"/>
            <w:vAlign w:val="center"/>
          </w:tcPr>
          <w:p>
            <w:pPr>
              <w:pStyle w:val="TableText"/>
            </w:pPr>
            <w:r>
              <w:t>Read coverage, width, and coverage error</w:t>
            </w:r>
          </w:p>
        </w:tc>
        <w:tc>
          <w:tcPr>
            <w:tcW w:w="5560" w:type="dxa"/>
            <w:vAlign w:val="center"/>
          </w:tcPr>
          <w:p>
            <w:pPr>
              <w:pStyle w:val="TableText"/>
            </w:pPr>
            <w:r>
              <w:t>Is the interval near 80% without becoming uselessly wide?</w:t>
            </w:r>
          </w:p>
        </w:tc>
      </w:tr>
      <w:tr>
        <w:trPr>
          <w:cantSplit/>
        </w:trPr>
        <w:tc>
          <w:tcPr>
            <w:tcW w:w="900" w:type="dxa"/>
            <w:vAlign w:val="center"/>
          </w:tcPr>
          <w:p>
            <w:pPr>
              <w:pStyle w:val="TableText"/>
            </w:pPr>
            <w:r>
              <w:t>5</w:t>
            </w:r>
          </w:p>
        </w:tc>
        <w:tc>
          <w:tcPr>
            <w:tcW w:w="2900" w:type="dxa"/>
            <w:vAlign w:val="center"/>
          </w:tcPr>
          <w:p>
            <w:pPr>
              <w:pStyle w:val="TableText"/>
            </w:pPr>
            <w:r>
              <w:t>Read RankIC, ICIR, net, and turnover</w:t>
            </w:r>
          </w:p>
        </w:tc>
        <w:tc>
          <w:tcPr>
            <w:tcW w:w="5560" w:type="dxa"/>
            <w:vAlign w:val="center"/>
          </w:tcPr>
          <w:p>
            <w:pPr>
              <w:pStyle w:val="TableText"/>
            </w:pPr>
            <w:r>
              <w:t>Is same-date rank signal stable and positive after simplified cost?</w:t>
            </w:r>
          </w:p>
        </w:tc>
      </w:tr>
      <w:tr>
        <w:trPr>
          <w:cantSplit/>
        </w:trPr>
        <w:tc>
          <w:tcPr>
            <w:tcW w:w="900" w:type="dxa"/>
            <w:vAlign w:val="center"/>
          </w:tcPr>
          <w:p>
            <w:pPr>
              <w:pStyle w:val="TableText"/>
            </w:pPr>
            <w:r>
              <w:t>6</w:t>
            </w:r>
          </w:p>
        </w:tc>
        <w:tc>
          <w:tcPr>
            <w:tcW w:w="2900" w:type="dxa"/>
            <w:vAlign w:val="center"/>
          </w:tcPr>
          <w:p>
            <w:pPr>
              <w:pStyle w:val="TableText"/>
            </w:pPr>
            <w:r>
              <w:t>Read Sharpe and MDD</w:t>
            </w:r>
          </w:p>
        </w:tc>
        <w:tc>
          <w:tcPr>
            <w:tcW w:w="5560" w:type="dxa"/>
            <w:vAlign w:val="center"/>
          </w:tcPr>
          <w:p>
            <w:pPr>
              <w:pStyle w:val="TableText"/>
            </w:pPr>
            <w:r>
              <w:t>Does the return-to-variability number hide an intolerable capital decline?</w:t>
            </w:r>
          </w:p>
        </w:tc>
      </w:tr>
      <w:tr>
        <w:trPr>
          <w:cantSplit/>
        </w:trPr>
        <w:tc>
          <w:tcPr>
            <w:tcW w:w="900" w:type="dxa"/>
            <w:vAlign w:val="center"/>
          </w:tcPr>
          <w:p>
            <w:pPr>
              <w:pStyle w:val="TableText"/>
            </w:pPr>
            <w:r>
              <w:t>7</w:t>
            </w:r>
          </w:p>
        </w:tc>
        <w:tc>
          <w:tcPr>
            <w:tcW w:w="2900" w:type="dxa"/>
            <w:vAlign w:val="center"/>
          </w:tcPr>
          <w:p>
            <w:pPr>
              <w:pStyle w:val="TableText"/>
            </w:pPr>
            <w:r>
              <w:t>Read provider, year, and seed evidence</w:t>
            </w:r>
          </w:p>
        </w:tc>
        <w:tc>
          <w:tcPr>
            <w:tcW w:w="5560" w:type="dxa"/>
            <w:vAlign w:val="center"/>
          </w:tcPr>
          <w:p>
            <w:pPr>
              <w:pStyle w:val="TableText"/>
            </w:pPr>
            <w:r>
              <w:t>Is performance confined to one year, data source, or random seed?</w:t>
            </w:r>
          </w:p>
        </w:tc>
      </w:tr>
      <w:tr>
        <w:trPr>
          <w:cantSplit/>
        </w:trPr>
        <w:tc>
          <w:tcPr>
            <w:tcW w:w="900" w:type="dxa"/>
            <w:vAlign w:val="center"/>
          </w:tcPr>
          <w:p>
            <w:pPr>
              <w:pStyle w:val="TableText"/>
            </w:pPr>
            <w:r>
              <w:t>8</w:t>
            </w:r>
          </w:p>
        </w:tc>
        <w:tc>
          <w:tcPr>
            <w:tcW w:w="2900" w:type="dxa"/>
            <w:vAlign w:val="center"/>
          </w:tcPr>
          <w:p>
            <w:pPr>
              <w:pStyle w:val="TableText"/>
            </w:pPr>
            <w:r>
              <w:t>State the evidence boundary</w:t>
            </w:r>
          </w:p>
        </w:tc>
        <w:tc>
          <w:tcPr>
            <w:tcW w:w="5560" w:type="dxa"/>
            <w:vAlign w:val="center"/>
          </w:tcPr>
          <w:p>
            <w:pPr>
              <w:pStyle w:val="TableText"/>
            </w:pPr>
            <w:r>
              <w:t>Does the evidence support only Stage 2 rather than deployment?</w:t>
            </w:r>
          </w:p>
        </w:tc>
      </w:tr>
    </w:tbl>
    <w:p>
      <w:pPr>
        <w:pStyle w:val="21"/>
      </w:pPr>
      <w:r>
        <w:t>Common mistranslations</w:t>
      </w:r>
    </w:p>
    <w:tbl>
      <w:tblPr>
        <w:tblStyle w:val="BenchmarkTable"/>
        <w:tblW w:w="9360" w:type="dxa"/>
        <w:tblLayout w:type="fixed"/>
      </w:tblPr>
      <w:tblGrid>
        <w:gridCol w:w="4200"/>
        <w:gridCol w:w="5160"/>
      </w:tblGrid>
      <w:tr>
        <w:trPr>
          <w:tblHeader/>
        </w:trPr>
        <w:tc>
          <w:tcPr>
            <w:tcW w:w="4200" w:type="dxa"/>
            <w:shd w:val="clear" w:fill="DCE6F1"/>
            <w:vAlign w:val="center"/>
          </w:tcPr>
          <w:p>
            <w:pPr>
              <w:pStyle w:val="TableHeader"/>
            </w:pPr>
            <w:r>
              <w:t>Wrong statement</w:t>
            </w:r>
          </w:p>
        </w:tc>
        <w:tc>
          <w:tcPr>
            <w:tcW w:w="5160" w:type="dxa"/>
            <w:shd w:val="clear" w:fill="DCE6F1"/>
            <w:vAlign w:val="center"/>
          </w:tcPr>
          <w:p>
            <w:pPr>
              <w:pStyle w:val="TableHeader"/>
            </w:pPr>
            <w:r>
              <w:t>Correct statement</w:t>
            </w:r>
          </w:p>
        </w:tc>
      </w:tr>
      <w:tr>
        <w:trPr>
          <w:cantSplit/>
        </w:trPr>
        <w:tc>
          <w:tcPr>
            <w:tcW w:w="4200" w:type="dxa"/>
            <w:vAlign w:val="center"/>
          </w:tcPr>
          <w:p>
            <w:pPr>
              <w:pStyle w:val="TableText"/>
            </w:pPr>
            <w:r>
              <w:t>q90=0.25 means a 90% chance of gaining 25%</w:t>
            </w:r>
          </w:p>
        </w:tc>
        <w:tc>
          <w:tcPr>
            <w:tcW w:w="5160" w:type="dxa"/>
            <w:vAlign w:val="center"/>
          </w:tcPr>
          <w:p>
            <w:pPr>
              <w:pStyle w:val="TableText"/>
            </w:pPr>
            <w:r>
              <w:t>q90 is an upper location for benchmark-relative alpha, not a probability statement</w:t>
            </w:r>
          </w:p>
        </w:tc>
      </w:tr>
      <w:tr>
        <w:trPr>
          <w:cantSplit/>
        </w:trPr>
        <w:tc>
          <w:tcPr>
            <w:tcW w:w="4200" w:type="dxa"/>
            <w:vAlign w:val="center"/>
          </w:tcPr>
          <w:p>
            <w:pPr>
              <w:pStyle w:val="TableText"/>
            </w:pPr>
            <w:r>
              <w:t>Score improved 6.49%, so return rose 6.49%</w:t>
            </w:r>
          </w:p>
        </w:tc>
        <w:tc>
          <w:tcPr>
            <w:tcW w:w="5160" w:type="dxa"/>
            <w:vAlign w:val="center"/>
          </w:tcPr>
          <w:p>
            <w:pPr>
              <w:pStyle w:val="TableText"/>
            </w:pPr>
            <w:r>
              <w:t>The 14-horizon normalized-pinball error fell 6.49%; return is a separate diagnostic</w:t>
            </w:r>
          </w:p>
        </w:tc>
      </w:tr>
      <w:tr>
        <w:trPr>
          <w:cantSplit/>
        </w:trPr>
        <w:tc>
          <w:tcPr>
            <w:tcW w:w="4200" w:type="dxa"/>
            <w:vAlign w:val="center"/>
          </w:tcPr>
          <w:p>
            <w:pPr>
              <w:pStyle w:val="TableText"/>
            </w:pPr>
            <w:r>
              <w:t>Coverage is 100%, so the model is most precise</w:t>
            </w:r>
          </w:p>
        </w:tc>
        <w:tc>
          <w:tcPr>
            <w:tcW w:w="5160" w:type="dxa"/>
            <w:vAlign w:val="center"/>
          </w:tcPr>
          <w:p>
            <w:pPr>
              <w:pStyle w:val="TableText"/>
            </w:pPr>
            <w:r>
              <w:t>The interval may simply be too wide; read width</w:t>
            </w:r>
          </w:p>
        </w:tc>
      </w:tr>
      <w:tr>
        <w:trPr>
          <w:cantSplit/>
        </w:trPr>
        <w:tc>
          <w:tcPr>
            <w:tcW w:w="4200" w:type="dxa"/>
            <w:vAlign w:val="center"/>
          </w:tcPr>
          <w:p>
            <w:pPr>
              <w:pStyle w:val="TableText"/>
            </w:pPr>
            <w:r>
              <w:t>RankIC is 0.08, so return is 8%</w:t>
            </w:r>
          </w:p>
        </w:tc>
        <w:tc>
          <w:tcPr>
            <w:tcW w:w="5160" w:type="dxa"/>
            <w:vAlign w:val="center"/>
          </w:tcPr>
          <w:p>
            <w:pPr>
              <w:pStyle w:val="TableText"/>
            </w:pPr>
            <w:r>
              <w:t>RankIC is correlation between same-date ranks and has no return unit</w:t>
            </w:r>
          </w:p>
        </w:tc>
      </w:tr>
      <w:tr>
        <w:trPr>
          <w:cantSplit/>
        </w:trPr>
        <w:tc>
          <w:tcPr>
            <w:tcW w:w="4200" w:type="dxa"/>
            <w:vAlign w:val="center"/>
          </w:tcPr>
          <w:p>
            <w:pPr>
              <w:pStyle w:val="TableText"/>
            </w:pPr>
            <w:r>
              <w:t>Sharpe is 3, so deploy it</w:t>
            </w:r>
          </w:p>
        </w:tc>
        <w:tc>
          <w:tcPr>
            <w:tcW w:w="5160" w:type="dxa"/>
            <w:vAlign w:val="center"/>
          </w:tcPr>
          <w:p>
            <w:pPr>
              <w:pStyle w:val="TableText"/>
            </w:pPr>
            <w:r>
              <w:t>Test, multiple seeds, overlap correction, and full market costs are still missing</w:t>
            </w:r>
          </w:p>
        </w:tc>
      </w:tr>
      <w:tr>
        <w:trPr>
          <w:cantSplit/>
        </w:trPr>
        <w:tc>
          <w:tcPr>
            <w:tcW w:w="4200" w:type="dxa"/>
            <w:vAlign w:val="center"/>
          </w:tcPr>
          <w:p>
            <w:pPr>
              <w:pStyle w:val="TableText"/>
            </w:pPr>
            <w:r>
              <w:t>Bearish share is 97%, so decline probability is 97%</w:t>
            </w:r>
          </w:p>
        </w:tc>
        <w:tc>
          <w:tcPr>
            <w:tcW w:w="5160" w:type="dxa"/>
            <w:vAlign w:val="center"/>
          </w:tcPr>
          <w:p>
            <w:pPr>
              <w:pStyle w:val="TableText"/>
            </w:pPr>
            <w:r>
              <w:t>This is theta=0 post-processing of q50, not probability</w:t>
            </w:r>
          </w:p>
        </w:tc>
      </w:tr>
    </w:tbl>
    <w:p>
      <w:pPr>
        <w:pStyle w:val="a"/>
        <w:spacing w:after="0"/>
      </w:pPr>
      <w:r>
        <w:br w:type="page"/>
      </w:r>
    </w:p>
    <w:p>
      <w:pPr>
        <w:pStyle w:val="11"/>
      </w:pPr>
      <w:r>
        <w:t>Appendix A | Formula quick reference</w:t>
      </w:r>
    </w:p>
    <w:tbl>
      <w:tblPr>
        <w:tblStyle w:val="BenchmarkTable"/>
        <w:tblW w:w="9360" w:type="dxa"/>
        <w:tblLayout w:type="fixed"/>
      </w:tblPr>
      <w:tblGrid>
        <w:gridCol w:w="2200"/>
        <w:gridCol w:w="4500"/>
        <w:gridCol w:w="2660"/>
      </w:tblGrid>
      <w:tr>
        <w:trPr>
          <w:tblHeader/>
        </w:trPr>
        <w:tc>
          <w:tcPr>
            <w:tcW w:w="2200" w:type="dxa"/>
            <w:shd w:val="clear" w:fill="DCE6F1"/>
            <w:vAlign w:val="center"/>
          </w:tcPr>
          <w:p>
            <w:pPr>
              <w:pStyle w:val="TableHeader"/>
            </w:pPr>
            <w:r>
              <w:t>Metric</w:t>
            </w:r>
          </w:p>
        </w:tc>
        <w:tc>
          <w:tcPr>
            <w:tcW w:w="4500" w:type="dxa"/>
            <w:shd w:val="clear" w:fill="DCE6F1"/>
            <w:vAlign w:val="center"/>
          </w:tcPr>
          <w:p>
            <w:pPr>
              <w:pStyle w:val="TableHeader"/>
            </w:pPr>
            <w:r>
              <w:t>Formula</w:t>
            </w:r>
          </w:p>
        </w:tc>
        <w:tc>
          <w:tcPr>
            <w:tcW w:w="2660" w:type="dxa"/>
            <w:shd w:val="clear" w:fill="DCE6F1"/>
            <w:vAlign w:val="center"/>
          </w:tcPr>
          <w:p>
            <w:pPr>
              <w:pStyle w:val="TableHeader"/>
            </w:pPr>
            <w:r>
              <w:t>Unit / preferred direction</w:t>
            </w:r>
          </w:p>
        </w:tc>
      </w:tr>
      <w:tr>
        <w:trPr>
          <w:cantSplit/>
        </w:trPr>
        <w:tc>
          <w:tcPr>
            <w:tcW w:w="2200" w:type="dxa"/>
            <w:vAlign w:val="center"/>
          </w:tcPr>
          <w:p>
            <w:pPr>
              <w:pStyle w:val="TableText"/>
            </w:pPr>
            <w:r>
              <w:t>Target alpha</w:t>
            </w:r>
          </w:p>
        </w:tc>
        <w:tc>
          <w:tcPr>
            <w:tcW w:w="4500" w:type="dxa"/>
            <w:vAlign w:val="center"/>
          </w:tcPr>
          <w:p>
            <w:pPr>
              <w:pStyle w:val="TableText"/>
            </w:pPr>
            <w:r>
              <w:t>ln(asset gross/benchmark gross)</w:t>
            </w:r>
          </w:p>
        </w:tc>
        <w:tc>
          <w:tcPr>
            <w:tcW w:w="2660" w:type="dxa"/>
            <w:vAlign w:val="center"/>
          </w:tcPr>
          <w:p>
            <w:pPr>
              <w:pStyle w:val="TableText"/>
            </w:pPr>
            <w:r>
              <w:t>Log alpha; positive=outperform</w:t>
            </w:r>
          </w:p>
        </w:tc>
      </w:tr>
      <w:tr>
        <w:trPr>
          <w:cantSplit/>
        </w:trPr>
        <w:tc>
          <w:tcPr>
            <w:tcW w:w="2200" w:type="dxa"/>
            <w:vAlign w:val="center"/>
          </w:tcPr>
          <w:p>
            <w:pPr>
              <w:pStyle w:val="TableText"/>
            </w:pPr>
            <w:r>
              <w:t>Pinball</w:t>
            </w:r>
          </w:p>
        </w:tc>
        <w:tc>
          <w:tcPr>
            <w:tcW w:w="4500" w:type="dxa"/>
            <w:vAlign w:val="center"/>
          </w:tcPr>
          <w:p>
            <w:pPr>
              <w:pStyle w:val="TableText"/>
            </w:pPr>
            <w:r>
              <w:t>mean max(τe,(τ−1)e), e=y−q̂τ</w:t>
            </w:r>
          </w:p>
        </w:tc>
        <w:tc>
          <w:tcPr>
            <w:tcW w:w="2660" w:type="dxa"/>
            <w:vAlign w:val="center"/>
          </w:tcPr>
          <w:p>
            <w:pPr>
              <w:pStyle w:val="TableText"/>
            </w:pPr>
            <w:r>
              <w:t>Log alpha; lower</w:t>
            </w:r>
          </w:p>
        </w:tc>
      </w:tr>
      <w:tr>
        <w:trPr>
          <w:cantSplit/>
        </w:trPr>
        <w:tc>
          <w:tcPr>
            <w:tcW w:w="2200" w:type="dxa"/>
            <w:vAlign w:val="center"/>
          </w:tcPr>
          <w:p>
            <w:pPr>
              <w:pStyle w:val="TableText"/>
            </w:pPr>
            <w:r>
              <w:t>N-pinball</w:t>
            </w:r>
          </w:p>
        </w:tc>
        <w:tc>
          <w:tcPr>
            <w:tcW w:w="4500" w:type="dxa"/>
            <w:vAlign w:val="center"/>
          </w:tcPr>
          <w:p>
            <w:pPr>
              <w:pStyle w:val="TableText"/>
            </w:pPr>
            <w:r>
              <w:t>pinball/sₕ</w:t>
            </w:r>
          </w:p>
        </w:tc>
        <w:tc>
          <w:tcPr>
            <w:tcW w:w="2660" w:type="dxa"/>
            <w:vAlign w:val="center"/>
          </w:tcPr>
          <w:p>
            <w:pPr>
              <w:pStyle w:val="TableText"/>
            </w:pPr>
            <w:r>
              <w:t>Scale-adjusted; lower</w:t>
            </w:r>
          </w:p>
        </w:tc>
      </w:tr>
      <w:tr>
        <w:trPr>
          <w:cantSplit/>
        </w:trPr>
        <w:tc>
          <w:tcPr>
            <w:tcW w:w="2200" w:type="dxa"/>
            <w:vAlign w:val="center"/>
          </w:tcPr>
          <w:p>
            <w:pPr>
              <w:pStyle w:val="TableText"/>
            </w:pPr>
            <w:r>
              <w:t>Selection score</w:t>
            </w:r>
          </w:p>
        </w:tc>
        <w:tc>
          <w:tcPr>
            <w:tcW w:w="4500" w:type="dxa"/>
            <w:vAlign w:val="center"/>
          </w:tcPr>
          <w:p>
            <w:pPr>
              <w:pStyle w:val="TableText"/>
            </w:pPr>
            <w:r>
              <w:t>meanₕ N-pinballₕ, h=1…14</w:t>
            </w:r>
          </w:p>
        </w:tc>
        <w:tc>
          <w:tcPr>
            <w:tcW w:w="2660" w:type="dxa"/>
            <w:vAlign w:val="center"/>
          </w:tcPr>
          <w:p>
            <w:pPr>
              <w:pStyle w:val="TableText"/>
            </w:pPr>
            <w:r>
              <w:t>Dimensionless; lower</w:t>
            </w:r>
          </w:p>
        </w:tc>
      </w:tr>
      <w:tr>
        <w:trPr>
          <w:cantSplit/>
        </w:trPr>
        <w:tc>
          <w:tcPr>
            <w:tcW w:w="2200" w:type="dxa"/>
            <w:vAlign w:val="center"/>
          </w:tcPr>
          <w:p>
            <w:pPr>
              <w:pStyle w:val="TableText"/>
            </w:pPr>
            <w:r>
              <w:t>q50 MAE</w:t>
            </w:r>
          </w:p>
        </w:tc>
        <w:tc>
          <w:tcPr>
            <w:tcW w:w="4500" w:type="dxa"/>
            <w:vAlign w:val="center"/>
          </w:tcPr>
          <w:p>
            <w:pPr>
              <w:pStyle w:val="TableText"/>
            </w:pPr>
            <w:r>
              <w:t>mean |y−q50|</w:t>
            </w:r>
          </w:p>
        </w:tc>
        <w:tc>
          <w:tcPr>
            <w:tcW w:w="2660" w:type="dxa"/>
            <w:vAlign w:val="center"/>
          </w:tcPr>
          <w:p>
            <w:pPr>
              <w:pStyle w:val="TableText"/>
            </w:pPr>
            <w:r>
              <w:t>Log alpha; lower</w:t>
            </w:r>
          </w:p>
        </w:tc>
      </w:tr>
      <w:tr>
        <w:trPr>
          <w:cantSplit/>
        </w:trPr>
        <w:tc>
          <w:tcPr>
            <w:tcW w:w="2200" w:type="dxa"/>
            <w:vAlign w:val="center"/>
          </w:tcPr>
          <w:p>
            <w:pPr>
              <w:pStyle w:val="TableText"/>
            </w:pPr>
            <w:r>
              <w:t>N-MAE</w:t>
            </w:r>
          </w:p>
        </w:tc>
        <w:tc>
          <w:tcPr>
            <w:tcW w:w="4500" w:type="dxa"/>
            <w:vAlign w:val="center"/>
          </w:tcPr>
          <w:p>
            <w:pPr>
              <w:pStyle w:val="TableText"/>
            </w:pPr>
            <w:r>
              <w:t>MAE/sₕ</w:t>
            </w:r>
          </w:p>
        </w:tc>
        <w:tc>
          <w:tcPr>
            <w:tcW w:w="2660" w:type="dxa"/>
            <w:vAlign w:val="center"/>
          </w:tcPr>
          <w:p>
            <w:pPr>
              <w:pStyle w:val="TableText"/>
            </w:pPr>
            <w:r>
              <w:t>Scale-adjusted; lower</w:t>
            </w:r>
          </w:p>
        </w:tc>
      </w:tr>
      <w:tr>
        <w:trPr>
          <w:cantSplit/>
        </w:trPr>
        <w:tc>
          <w:tcPr>
            <w:tcW w:w="2200" w:type="dxa"/>
            <w:vAlign w:val="center"/>
          </w:tcPr>
          <w:p>
            <w:pPr>
              <w:pStyle w:val="TableText"/>
            </w:pPr>
            <w:r>
              <w:t>Correlation</w:t>
            </w:r>
          </w:p>
        </w:tc>
        <w:tc>
          <w:tcPr>
            <w:tcW w:w="4500" w:type="dxa"/>
            <w:vAlign w:val="center"/>
          </w:tcPr>
          <w:p>
            <w:pPr>
              <w:pStyle w:val="TableText"/>
            </w:pPr>
            <w:r>
              <w:t>Pearson corr(y,q50)</w:t>
            </w:r>
          </w:p>
        </w:tc>
        <w:tc>
          <w:tcPr>
            <w:tcW w:w="2660" w:type="dxa"/>
            <w:vAlign w:val="center"/>
          </w:tcPr>
          <w:p>
            <w:pPr>
              <w:pStyle w:val="TableText"/>
            </w:pPr>
            <w:r>
              <w:t>−1…1; generally higher</w:t>
            </w:r>
          </w:p>
        </w:tc>
      </w:tr>
      <w:tr>
        <w:trPr>
          <w:cantSplit/>
        </w:trPr>
        <w:tc>
          <w:tcPr>
            <w:tcW w:w="2200" w:type="dxa"/>
            <w:vAlign w:val="center"/>
          </w:tcPr>
          <w:p>
            <w:pPr>
              <w:pStyle w:val="TableText"/>
            </w:pPr>
            <w:r>
              <w:t>Direction</w:t>
            </w:r>
          </w:p>
        </w:tc>
        <w:tc>
          <w:tcPr>
            <w:tcW w:w="4500" w:type="dxa"/>
            <w:vAlign w:val="center"/>
          </w:tcPr>
          <w:p>
            <w:pPr>
              <w:pStyle w:val="TableText"/>
            </w:pPr>
            <w:r>
              <w:t>mean[sign(y)=sign(q50)]</w:t>
            </w:r>
          </w:p>
        </w:tc>
        <w:tc>
          <w:tcPr>
            <w:tcW w:w="2660" w:type="dxa"/>
            <w:vAlign w:val="center"/>
          </w:tcPr>
          <w:p>
            <w:pPr>
              <w:pStyle w:val="TableText"/>
            </w:pPr>
            <w:r>
              <w:t>0…1; generally higher</w:t>
            </w:r>
          </w:p>
        </w:tc>
      </w:tr>
      <w:tr>
        <w:trPr>
          <w:cantSplit/>
        </w:trPr>
        <w:tc>
          <w:tcPr>
            <w:tcW w:w="2200" w:type="dxa"/>
            <w:vAlign w:val="center"/>
          </w:tcPr>
          <w:p>
            <w:pPr>
              <w:pStyle w:val="TableText"/>
            </w:pPr>
            <w:r>
              <w:t>Coverage</w:t>
            </w:r>
          </w:p>
        </w:tc>
        <w:tc>
          <w:tcPr>
            <w:tcW w:w="4500" w:type="dxa"/>
            <w:vAlign w:val="center"/>
          </w:tcPr>
          <w:p>
            <w:pPr>
              <w:pStyle w:val="TableText"/>
            </w:pPr>
            <w:r>
              <w:t>mean[q10≤y≤q90]</w:t>
            </w:r>
          </w:p>
        </w:tc>
        <w:tc>
          <w:tcPr>
            <w:tcW w:w="2660" w:type="dxa"/>
            <w:vAlign w:val="center"/>
          </w:tcPr>
          <w:p>
            <w:pPr>
              <w:pStyle w:val="TableText"/>
            </w:pPr>
            <w:r>
              <w:t>Target near 0.80</w:t>
            </w:r>
          </w:p>
        </w:tc>
      </w:tr>
      <w:tr>
        <w:trPr>
          <w:cantSplit/>
        </w:trPr>
        <w:tc>
          <w:tcPr>
            <w:tcW w:w="2200" w:type="dxa"/>
            <w:vAlign w:val="center"/>
          </w:tcPr>
          <w:p>
            <w:pPr>
              <w:pStyle w:val="TableText"/>
            </w:pPr>
            <w:r>
              <w:t>Width</w:t>
            </w:r>
          </w:p>
        </w:tc>
        <w:tc>
          <w:tcPr>
            <w:tcW w:w="4500" w:type="dxa"/>
            <w:vAlign w:val="center"/>
          </w:tcPr>
          <w:p>
            <w:pPr>
              <w:pStyle w:val="TableText"/>
            </w:pPr>
            <w:r>
              <w:t>mean(q90−q10)</w:t>
            </w:r>
          </w:p>
        </w:tc>
        <w:tc>
          <w:tcPr>
            <w:tcW w:w="2660" w:type="dxa"/>
            <w:vAlign w:val="center"/>
          </w:tcPr>
          <w:p>
            <w:pPr>
              <w:pStyle w:val="TableText"/>
            </w:pPr>
            <w:r>
              <w:t>Log alpha; narrower at equal coverage</w:t>
            </w:r>
          </w:p>
        </w:tc>
      </w:tr>
      <w:tr>
        <w:trPr>
          <w:cantSplit/>
        </w:trPr>
        <w:tc>
          <w:tcPr>
            <w:tcW w:w="2200" w:type="dxa"/>
            <w:vAlign w:val="center"/>
          </w:tcPr>
          <w:p>
            <w:pPr>
              <w:pStyle w:val="TableText"/>
            </w:pPr>
            <w:r>
              <w:t>Coverage error</w:t>
            </w:r>
          </w:p>
        </w:tc>
        <w:tc>
          <w:tcPr>
            <w:tcW w:w="4500" w:type="dxa"/>
            <w:vAlign w:val="center"/>
          </w:tcPr>
          <w:p>
            <w:pPr>
              <w:pStyle w:val="TableText"/>
            </w:pPr>
            <w:r>
              <w:t>|coverage−0.80|</w:t>
            </w:r>
          </w:p>
        </w:tc>
        <w:tc>
          <w:tcPr>
            <w:tcW w:w="2660" w:type="dxa"/>
            <w:vAlign w:val="center"/>
          </w:tcPr>
          <w:p>
            <w:pPr>
              <w:pStyle w:val="TableText"/>
            </w:pPr>
            <w:r>
              <w:t>0…1; lower</w:t>
            </w:r>
          </w:p>
        </w:tc>
      </w:tr>
      <w:tr>
        <w:trPr>
          <w:cantSplit/>
        </w:trPr>
        <w:tc>
          <w:tcPr>
            <w:tcW w:w="2200" w:type="dxa"/>
            <w:vAlign w:val="center"/>
          </w:tcPr>
          <w:p>
            <w:pPr>
              <w:pStyle w:val="TableText"/>
            </w:pPr>
            <w:r>
              <w:t>RankIC</w:t>
            </w:r>
          </w:p>
        </w:tc>
        <w:tc>
          <w:tcPr>
            <w:tcW w:w="4500" w:type="dxa"/>
            <w:vAlign w:val="center"/>
          </w:tcPr>
          <w:p>
            <w:pPr>
              <w:pStyle w:val="TableText"/>
            </w:pPr>
            <w:r>
              <w:t>mean_d corr(rank y,rank q50)</w:t>
            </w:r>
          </w:p>
        </w:tc>
        <w:tc>
          <w:tcPr>
            <w:tcW w:w="2660" w:type="dxa"/>
            <w:vAlign w:val="center"/>
          </w:tcPr>
          <w:p>
            <w:pPr>
              <w:pStyle w:val="TableText"/>
            </w:pPr>
            <w:r>
              <w:t>−1…1; higher</w:t>
            </w:r>
          </w:p>
        </w:tc>
      </w:tr>
      <w:tr>
        <w:trPr>
          <w:cantSplit/>
        </w:trPr>
        <w:tc>
          <w:tcPr>
            <w:tcW w:w="2200" w:type="dxa"/>
            <w:vAlign w:val="center"/>
          </w:tcPr>
          <w:p>
            <w:pPr>
              <w:pStyle w:val="TableText"/>
            </w:pPr>
            <w:r>
              <w:t>ICIR</w:t>
            </w:r>
          </w:p>
        </w:tc>
        <w:tc>
          <w:tcPr>
            <w:tcW w:w="4500" w:type="dxa"/>
            <w:vAlign w:val="center"/>
          </w:tcPr>
          <w:p>
            <w:pPr>
              <w:pStyle w:val="TableText"/>
            </w:pPr>
            <w:r>
              <w:t>mean(IC_d)/sample std(IC_d)</w:t>
            </w:r>
          </w:p>
        </w:tc>
        <w:tc>
          <w:tcPr>
            <w:tcW w:w="2660" w:type="dxa"/>
            <w:vAlign w:val="center"/>
          </w:tcPr>
          <w:p>
            <w:pPr>
              <w:pStyle w:val="TableText"/>
            </w:pPr>
            <w:r>
              <w:t>Not annualized; higher</w:t>
            </w:r>
          </w:p>
        </w:tc>
      </w:tr>
      <w:tr>
        <w:trPr>
          <w:cantSplit/>
        </w:trPr>
        <w:tc>
          <w:tcPr>
            <w:tcW w:w="2200" w:type="dxa"/>
            <w:vAlign w:val="center"/>
          </w:tcPr>
          <w:p>
            <w:pPr>
              <w:pStyle w:val="TableText"/>
            </w:pPr>
            <w:r>
              <w:t>Turnover</w:t>
            </w:r>
          </w:p>
        </w:tc>
        <w:tc>
          <w:tcPr>
            <w:tcW w:w="4500" w:type="dxa"/>
            <w:vAlign w:val="center"/>
          </w:tcPr>
          <w:p>
            <w:pPr>
              <w:pStyle w:val="TableText"/>
            </w:pPr>
            <w:r>
              <w:t>Σ|w_d−w_{d−1}|</w:t>
            </w:r>
          </w:p>
        </w:tc>
        <w:tc>
          <w:tcPr>
            <w:tcW w:w="2660" w:type="dxa"/>
            <w:vAlign w:val="center"/>
          </w:tcPr>
          <w:p>
            <w:pPr>
              <w:pStyle w:val="TableText"/>
            </w:pPr>
            <w:r>
              <w:t>Weight change; pair with cost</w:t>
            </w:r>
          </w:p>
        </w:tc>
      </w:tr>
      <w:tr>
        <w:trPr>
          <w:cantSplit/>
        </w:trPr>
        <w:tc>
          <w:tcPr>
            <w:tcW w:w="2200" w:type="dxa"/>
            <w:vAlign w:val="center"/>
          </w:tcPr>
          <w:p>
            <w:pPr>
              <w:pStyle w:val="TableText"/>
            </w:pPr>
            <w:r>
              <w:t>Net log return</w:t>
            </w:r>
          </w:p>
        </w:tc>
        <w:tc>
          <w:tcPr>
            <w:tcW w:w="4500" w:type="dxa"/>
            <w:vAlign w:val="center"/>
          </w:tcPr>
          <w:p>
            <w:pPr>
              <w:pStyle w:val="TableText"/>
            </w:pPr>
            <w:r>
              <w:t>long mean−short mean−turnover×0.001</w:t>
            </w:r>
          </w:p>
        </w:tc>
        <w:tc>
          <w:tcPr>
            <w:tcW w:w="2660" w:type="dxa"/>
            <w:vAlign w:val="center"/>
          </w:tcPr>
          <w:p>
            <w:pPr>
              <w:pStyle w:val="TableText"/>
            </w:pPr>
            <w:r>
              <w:t>Log spread; higher</w:t>
            </w:r>
          </w:p>
        </w:tc>
      </w:tr>
      <w:tr>
        <w:trPr>
          <w:cantSplit/>
        </w:trPr>
        <w:tc>
          <w:tcPr>
            <w:tcW w:w="2200" w:type="dxa"/>
            <w:vAlign w:val="center"/>
          </w:tcPr>
          <w:p>
            <w:pPr>
              <w:pStyle w:val="TableText"/>
            </w:pPr>
            <w:r>
              <w:t>Wealth</w:t>
            </w:r>
          </w:p>
        </w:tc>
        <w:tc>
          <w:tcPr>
            <w:tcW w:w="4500" w:type="dxa"/>
            <w:vAlign w:val="center"/>
          </w:tcPr>
          <w:p>
            <w:pPr>
              <w:pStyle w:val="TableText"/>
            </w:pPr>
            <w:r>
              <w:t>exp(cumsum(net log return))</w:t>
            </w:r>
          </w:p>
        </w:tc>
        <w:tc>
          <w:tcPr>
            <w:tcW w:w="2660" w:type="dxa"/>
            <w:vAlign w:val="center"/>
          </w:tcPr>
          <w:p>
            <w:pPr>
              <w:pStyle w:val="TableText"/>
            </w:pPr>
            <w:r>
              <w:t>Capital index; higher</w:t>
            </w:r>
          </w:p>
        </w:tc>
      </w:tr>
      <w:tr>
        <w:trPr>
          <w:cantSplit/>
        </w:trPr>
        <w:tc>
          <w:tcPr>
            <w:tcW w:w="2200" w:type="dxa"/>
            <w:vAlign w:val="center"/>
          </w:tcPr>
          <w:p>
            <w:pPr>
              <w:pStyle w:val="TableText"/>
            </w:pPr>
            <w:r>
              <w:t>MDD</w:t>
            </w:r>
          </w:p>
        </w:tc>
        <w:tc>
          <w:tcPr>
            <w:tcW w:w="4500" w:type="dxa"/>
            <w:vAlign w:val="center"/>
          </w:tcPr>
          <w:p>
            <w:pPr>
              <w:pStyle w:val="TableText"/>
            </w:pPr>
            <w:r>
              <w:t>min(wealth/running peak−1)</w:t>
            </w:r>
          </w:p>
        </w:tc>
        <w:tc>
          <w:tcPr>
            <w:tcW w:w="2660" w:type="dxa"/>
            <w:vAlign w:val="center"/>
          </w:tcPr>
          <w:p>
            <w:pPr>
              <w:pStyle w:val="TableText"/>
            </w:pPr>
            <w:r>
              <w:t>≤0; closer to zero</w:t>
            </w:r>
          </w:p>
        </w:tc>
      </w:tr>
      <w:tr>
        <w:trPr>
          <w:cantSplit/>
        </w:trPr>
        <w:tc>
          <w:tcPr>
            <w:tcW w:w="2200" w:type="dxa"/>
            <w:vAlign w:val="center"/>
          </w:tcPr>
          <w:p>
            <w:pPr>
              <w:pStyle w:val="TableText"/>
            </w:pPr>
            <w:r>
              <w:t>Sharpe</w:t>
            </w:r>
          </w:p>
        </w:tc>
        <w:tc>
          <w:tcPr>
            <w:tcW w:w="4500" w:type="dxa"/>
            <w:vAlign w:val="center"/>
          </w:tcPr>
          <w:p>
            <w:pPr>
              <w:pStyle w:val="TableText"/>
            </w:pPr>
            <w:r>
              <w:t>mean(net)/std(net)×sqrt(252/h)</w:t>
            </w:r>
          </w:p>
        </w:tc>
        <w:tc>
          <w:tcPr>
            <w:tcW w:w="2660" w:type="dxa"/>
            <w:vAlign w:val="center"/>
          </w:tcPr>
          <w:p>
            <w:pPr>
              <w:pStyle w:val="TableText"/>
            </w:pPr>
            <w:r>
              <w:t>Risk-adjusted; higher with caveats</w:t>
            </w:r>
          </w:p>
        </w:tc>
      </w:tr>
    </w:tbl>
    <w:p>
      <w:pPr>
        <w:pStyle w:val="11"/>
      </w:pPr>
      <w:r>
        <w:t>Appendix B | Code and artifact sources</w:t>
      </w:r>
    </w:p>
    <w:tbl>
      <w:tblPr>
        <w:tblStyle w:val="BenchmarkTable"/>
        <w:tblW w:w="9360" w:type="dxa"/>
        <w:tblLayout w:type="fixed"/>
      </w:tblPr>
      <w:tblGrid>
        <w:gridCol w:w="3900"/>
        <w:gridCol w:w="5460"/>
      </w:tblGrid>
      <w:tr>
        <w:trPr>
          <w:tblHeader/>
        </w:trPr>
        <w:tc>
          <w:tcPr>
            <w:tcW w:w="3900" w:type="dxa"/>
            <w:shd w:val="clear" w:fill="DCE6F1"/>
            <w:vAlign w:val="center"/>
          </w:tcPr>
          <w:p>
            <w:pPr>
              <w:pStyle w:val="TableHeader"/>
            </w:pPr>
            <w:r>
              <w:t>Source</w:t>
            </w:r>
          </w:p>
        </w:tc>
        <w:tc>
          <w:tcPr>
            <w:tcW w:w="5460" w:type="dxa"/>
            <w:shd w:val="clear" w:fill="DCE6F1"/>
            <w:vAlign w:val="center"/>
          </w:tcPr>
          <w:p>
            <w:pPr>
              <w:pStyle w:val="TableHeader"/>
            </w:pPr>
            <w:r>
              <w:t>Verified content used by this guide</w:t>
            </w:r>
          </w:p>
        </w:tc>
      </w:tr>
      <w:tr>
        <w:trPr>
          <w:cantSplit/>
        </w:trPr>
        <w:tc>
          <w:tcPr>
            <w:tcW w:w="3900" w:type="dxa"/>
            <w:vAlign w:val="center"/>
          </w:tcPr>
          <w:p>
            <w:pPr>
              <w:pStyle w:val="TableText"/>
            </w:pPr>
            <w:r>
              <w:t>src/stock_forecasting/data/dataset.py</w:t>
            </w:r>
          </w:p>
        </w:tc>
        <w:tc>
          <w:tcPr>
            <w:tcW w:w="5460" w:type="dxa"/>
            <w:vAlign w:val="center"/>
          </w:tcPr>
          <w:p>
            <w:pPr>
              <w:pStyle w:val="TableText"/>
            </w:pPr>
            <w:r>
              <w:t>Entry/exit timing and benchmark-relative adjusted log-return target</w:t>
            </w:r>
          </w:p>
        </w:tc>
      </w:tr>
      <w:tr>
        <w:trPr>
          <w:cantSplit/>
        </w:trPr>
        <w:tc>
          <w:tcPr>
            <w:tcW w:w="3900" w:type="dxa"/>
            <w:vAlign w:val="center"/>
          </w:tcPr>
          <w:p>
            <w:pPr>
              <w:pStyle w:val="TableText"/>
            </w:pPr>
            <w:r>
              <w:t>src/stock_forecasting/models/forecast.py</w:t>
            </w:r>
          </w:p>
        </w:tc>
        <w:tc>
          <w:tcPr>
            <w:tcW w:w="5460" w:type="dxa"/>
            <w:vAlign w:val="center"/>
          </w:tcPr>
          <w:p>
            <w:pPr>
              <w:pStyle w:val="TableText"/>
            </w:pPr>
            <w:r>
              <w:t>Ordered q10/q50/q90 and scale-normalized training loss</w:t>
            </w:r>
          </w:p>
        </w:tc>
      </w:tr>
      <w:tr>
        <w:trPr>
          <w:cantSplit/>
        </w:trPr>
        <w:tc>
          <w:tcPr>
            <w:tcW w:w="3900" w:type="dxa"/>
            <w:vAlign w:val="center"/>
          </w:tcPr>
          <w:p>
            <w:pPr>
              <w:pStyle w:val="TableText"/>
            </w:pPr>
            <w:r>
              <w:t>src/stock_forecasting/metrics.py</w:t>
            </w:r>
          </w:p>
        </w:tc>
        <w:tc>
          <w:tcPr>
            <w:tcW w:w="5460" w:type="dxa"/>
            <w:vAlign w:val="center"/>
          </w:tcPr>
          <w:p>
            <w:pPr>
              <w:pStyle w:val="TableText"/>
            </w:pPr>
            <w:r>
              <w:t>Forecast metrics, signals, RankIC, turnover, net, wealth, MDD, and Sharpe formulas</w:t>
            </w:r>
          </w:p>
        </w:tc>
      </w:tr>
      <w:tr>
        <w:trPr>
          <w:cantSplit/>
        </w:trPr>
        <w:tc>
          <w:tcPr>
            <w:tcW w:w="3900" w:type="dxa"/>
            <w:vAlign w:val="center"/>
          </w:tcPr>
          <w:p>
            <w:pPr>
              <w:pStyle w:val="TableText"/>
            </w:pPr>
            <w:r>
              <w:t>src/stock_forecasting/training.py</w:t>
            </w:r>
          </w:p>
        </w:tc>
        <w:tc>
          <w:tcPr>
            <w:tcW w:w="5460" w:type="dxa"/>
            <w:vAlign w:val="center"/>
          </w:tcPr>
          <w:p>
            <w:pPr>
              <w:pStyle w:val="TableText"/>
            </w:pPr>
            <w:r>
              <w:t>Train-only robust scale, evaluate_loader, subgroups, and lifecycle</w:t>
            </w:r>
          </w:p>
        </w:tc>
      </w:tr>
      <w:tr>
        <w:trPr>
          <w:cantSplit/>
        </w:trPr>
        <w:tc>
          <w:tcPr>
            <w:tcW w:w="3900" w:type="dxa"/>
            <w:vAlign w:val="center"/>
          </w:tcPr>
          <w:p>
            <w:pPr>
              <w:pStyle w:val="TableText"/>
            </w:pPr>
            <w:r>
              <w:t>src/stock_forecasting/validation_benchmark.py</w:t>
            </w:r>
          </w:p>
        </w:tc>
        <w:tc>
          <w:tcPr>
            <w:tcW w:w="5460" w:type="dxa"/>
            <w:vAlign w:val="center"/>
          </w:tcPr>
          <w:p>
            <w:pPr>
              <w:pStyle w:val="TableText"/>
            </w:pPr>
            <w:r>
              <w:t>Seed aggregation, comparison rows, leaderboard, and test policy</w:t>
            </w:r>
          </w:p>
        </w:tc>
      </w:tr>
      <w:tr>
        <w:trPr>
          <w:cantSplit/>
        </w:trPr>
        <w:tc>
          <w:tcPr>
            <w:tcW w:w="3900" w:type="dxa"/>
            <w:vAlign w:val="center"/>
          </w:tcPr>
          <w:p>
            <w:pPr>
              <w:pStyle w:val="TableText"/>
            </w:pPr>
            <w:r>
              <w:t>src/stock_forecasting/cli/infer.py</w:t>
            </w:r>
          </w:p>
        </w:tc>
        <w:tc>
          <w:tcPr>
            <w:tcW w:w="5460" w:type="dxa"/>
            <w:vAlign w:val="center"/>
          </w:tcPr>
          <w:p>
            <w:pPr>
              <w:pStyle w:val="TableText"/>
            </w:pPr>
            <w:r>
              <w:t>Schema 5.0 inference payload and derived signal</w:t>
            </w:r>
          </w:p>
        </w:tc>
      </w:tr>
      <w:tr>
        <w:trPr>
          <w:cantSplit/>
        </w:trPr>
        <w:tc>
          <w:tcPr>
            <w:tcW w:w="3900" w:type="dxa"/>
            <w:vAlign w:val="center"/>
          </w:tcPr>
          <w:p>
            <w:pPr>
              <w:pStyle w:val="TableText"/>
            </w:pPr>
            <w:r>
              <w:t>artifacts/runpod/run-20260903T140429Z-1247813592</w:t>
            </w:r>
          </w:p>
        </w:tc>
        <w:tc>
          <w:tcPr>
            <w:tcW w:w="5460" w:type="dxa"/>
            <w:vAlign w:val="center"/>
          </w:tcPr>
          <w:p>
            <w:pPr>
              <w:pStyle w:val="TableText"/>
            </w:pPr>
            <w:r>
              <w:t>Every current-run value in this guide</w:t>
            </w:r>
          </w:p>
        </w:tc>
      </w:tr>
    </w:tbl>
    <w:p>
      <w:pPr>
        <w:pStyle w:val="Note"/>
      </w:pPr>
      <w:r>
        <w:t>Any change to quantiles, horizons, target, scale, cost, bucketing, or schema version creates a different evaluation contract. Its values must not be mixed into this leaderboard without updating the guide.</w:t>
      </w:r>
    </w:p>
    <w:sectPr w:rsidR="00A97D95">
      <w:footerReference r: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Plain-Language Metrics Guide | 1-14 Day Alpha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Plain-Language Model Metrics Guide | 1-to-14-Day Alpha</dc:title>
  <dc:subject>Bilingual formulas, stock examples, and interpretation rules for schema 5.0</dc:subject>
  <dc:creator>stock_forecasting project</dc:creator>
  <ns0:keywords>alpha quantiles, pinball, MAE, coverage, RankIC, ICIR, Sharpe, drawdown</ns0:keywords>
  <dc:description>Beginner-first explanation of every forecast, interval, ranking, portfolio, and validation metric used by the project.</dc:description>
  <ns0:lastModifiedBy>鷹揚 牧野</ns0:lastModifiedBy>
  <ns0:revision>2</ns0:revision>
  <dcterms:created xsi:type="dcterms:W3CDTF">2026-07-17T00:00:00Z</dcterms:created>
  <dcterms:modified xsi:type="dcterms:W3CDTF">2026-09-04T20:53:46Z</dcterms:modified>
</ns0:coreProperties>
</file>