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Юрий Кнорозов и его метод расшифровки письменности майя: применение к проекту Глоссалия</w:t>
      </w:r>
    </w:p>
    <w:p>
      <w:pPr>
        <w:jc w:val="center"/>
      </w:pPr>
      <w:r>
        <w:t>Анализ методологии расшифровки и её применение к проекту Глоссалия</w:t>
      </w:r>
      <w:r>
        <w:rPr>
          <w:i/>
          <w:color w:val="555555"/>
          <w:sz w:val="22"/>
        </w:rPr>
      </w:r>
    </w:p>
    <w:p>
      <w:pPr>
        <w:pStyle w:val="Heading2"/>
      </w:pPr>
      <w:r>
        <w:t>1. Введение</w:t>
      </w:r>
    </w:p>
    <w:p>
      <w:r>
        <w:t xml:space="preserve">Юрий Валентинович Кнорозов </w:t>
      </w:r>
      <w:r>
        <w:t>(1922–1999)</w:t>
      </w:r>
      <w:r>
        <w:t xml:space="preserve"> — советский и российский историк, этнограф, лингвист и эпиграфист, основатель советской школы майянистики. Его главная заслуга — дешифровка письменности древних майя, которая долгие десятилетия считалась неразрешимой задачей. В рамках данного исследования мы рассмотрим ключевые принципы метода Кнорозова и применим их к анализу проекта Глоссалия — уникальной системы семантического сжатия, обнаруженной в транскрипциях канала.</w:t>
      </w:r>
    </w:p>
    <w:p>
      <w:pPr>
        <w:pStyle w:val="Heading2"/>
      </w:pPr>
      <w:r>
        <w:t>2. Метод Кнорозова: ключевые принципы</w:t>
      </w:r>
    </w:p>
    <w:p>
      <w:pPr>
        <w:pStyle w:val="Heading3"/>
      </w:pPr>
      <w:r>
        <w:t>2.1. Исторический контекст</w:t>
      </w:r>
    </w:p>
    <w:p>
      <w:r>
        <w:t>В середине XX века существовали два основных подхода к расшифровке письменности майя. Американская школа во главе с Эриком Томпсоном утверждала, что каждый иероглиф передаёт целое понятие (идеографический принцип), что делало расшифровку практически невозможной. Кнорозов же, опираясь на труд Диего де Ланды «Сообщение о делах в Юкатане», выдвинул гипотезу, что письменность майя является силлабическо-логической — сочетает фонетические и семантические знаки.</w:t>
      </w:r>
    </w:p>
    <w:p>
      <w:pPr>
        <w:pStyle w:val="Heading3"/>
        <w:keepNext/>
      </w:pPr>
      <w:r>
        <w:t>2.2. Основные принципы метода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>
              <w:t>Принцип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Фонетическое чтение</w:t>
            </w:r>
          </w:p>
        </w:tc>
        <w:tc>
          <w:tcPr>
            <w:tcW w:type="dxa" w:w="4320"/>
          </w:tcPr>
          <w:p>
            <w:r>
              <w:t>Каждому иероглифу соответствует не буква, а слог или слово. Это позволило перейти от идеографического понимания к фонетическому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Позиционная статистика</w:t>
            </w:r>
          </w:p>
        </w:tc>
        <w:tc>
          <w:tcPr>
            <w:tcW w:type="dxa" w:w="4320"/>
          </w:tcPr>
          <w:p>
            <w:r>
              <w:t>Анализ частоты повторения знаков и их сочетаний для определения функций знаков и грамматических структур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Перекрёстное чтение</w:t>
            </w:r>
          </w:p>
        </w:tc>
        <w:tc>
          <w:tcPr>
            <w:tcW w:type="dxa" w:w="4320"/>
          </w:tcPr>
          <w:p>
            <w:r>
              <w:t>Если один и тот же знак одинаково читается в разных словах, они должны складываться в логичные предложения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Использование исторических источников</w:t>
            </w:r>
          </w:p>
        </w:tc>
        <w:tc>
          <w:tcPr>
            <w:tcW w:type="dxa" w:w="4320"/>
          </w:tcPr>
          <w:p>
            <w:r>
              <w:t>Труд Диего де Ланды с 29 знаками, соответствующими буквам испанского алфавита, стал ключом к расшифровке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Анализ корней и служебных слов</w:t>
            </w:r>
          </w:p>
        </w:tc>
        <w:tc>
          <w:tcPr>
            <w:tcW w:type="dxa" w:w="4320"/>
          </w:tcPr>
          <w:p>
            <w:r>
              <w:t>Выделение корней, суффиксов и служебных слов по частоте повторения и особенностям сочетания иероглифов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Подтверждение через визуальный контекст</w:t>
            </w:r>
          </w:p>
        </w:tc>
        <w:tc>
          <w:tcPr>
            <w:tcW w:type="dxa" w:w="4320"/>
          </w:tcPr>
          <w:p>
            <w:r>
              <w:t>Тексты с конкретными словами часто сопровождались изображениями, подтверждающими правильность расшифровки</w:t>
            </w:r>
          </w:p>
        </w:tc>
      </w:tr>
    </w:tbl>
    <w:p/>
    <w:p>
      <w:pPr>
        <w:pStyle w:val="Heading3"/>
      </w:pPr>
      <w:r>
        <w:t>2.3. Результат работы Кнорозова</w:t>
      </w:r>
    </w:p>
    <w:p>
      <w:r>
        <w:t>К 1952 году Кнорозов опубликовал предварительный отчёт о дешифровке. К 1963 году вышла монография «Письменность индейцев майя» со словарём и каталогом знаков (540 единиц). В 1975 году вышли «Иероглифические рукописи майя» с переводом всех уцелевших кодексов. За комплекс работ по дешифровке Кнорозов был удостоен Государственной премии СССР (1977).</w:t>
      </w:r>
    </w:p>
    <w:p>
      <w:pPr>
        <w:pStyle w:val="Heading2"/>
      </w:pPr>
      <w:r>
        <w:t>3. Применение метода Кнорозова к Глоссалии</w:t>
      </w:r>
    </w:p>
    <w:p>
      <w:pPr>
        <w:pStyle w:val="Heading3"/>
      </w:pPr>
      <w:r>
        <w:t>3.1. Аналогии с системой Глоссалия</w:t>
      </w:r>
    </w:p>
    <w:p>
      <w:r>
        <w:t>Глоссалия, как она проявляется в транскрипциях, представляет собой иерархическую систему семантического сжатия. Ниже представлены ключевые аналогии с методом Кнорозова: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t>Принцип Кнорозова</w:t>
            </w:r>
          </w:p>
        </w:tc>
        <w:tc>
          <w:tcPr>
            <w:tcW w:type="dxa" w:w="2880"/>
          </w:tcPr>
          <w:p>
            <w:r>
              <w:t>Аналог в Глоссалии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Фонетическое чтение</w:t>
            </w:r>
          </w:p>
        </w:tc>
        <w:tc>
          <w:tcPr>
            <w:tcW w:type="dxa" w:w="2880"/>
          </w:tcPr>
          <w:p>
            <w:r>
              <w:t>Многоязычность корней</w:t>
            </w:r>
          </w:p>
        </w:tc>
        <w:tc>
          <w:tcPr>
            <w:tcW w:type="dxa" w:w="2880"/>
          </w:tcPr>
          <w:p>
            <w:r>
              <w:t>Слово "фиктим" читается как "factum" (лат.) и "fact" (англ.)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Позиционная статистика</w:t>
            </w:r>
          </w:p>
        </w:tc>
        <w:tc>
          <w:tcPr>
            <w:tcW w:type="dxa" w:w="2880"/>
          </w:tcPr>
          <w:p>
            <w:r>
              <w:t>Анализ пунктуации</w:t>
            </w:r>
          </w:p>
        </w:tc>
        <w:tc>
          <w:tcPr>
            <w:tcW w:type="dxa" w:w="2880"/>
          </w:tcPr>
          <w:p>
            <w:r>
              <w:t>713 восклицательных знаков, 335 дефисов, 392 скобок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Перекрёстное чтение</w:t>
            </w:r>
          </w:p>
        </w:tc>
        <w:tc>
          <w:tcPr>
            <w:tcW w:type="dxa" w:w="2880"/>
          </w:tcPr>
          <w:p>
            <w:r>
              <w:t>Инвариантность компрессии</w:t>
            </w:r>
          </w:p>
        </w:tc>
        <w:tc>
          <w:tcPr>
            <w:tcW w:type="dxa" w:w="2880"/>
          </w:tcPr>
          <w:p>
            <w:r>
              <w:t>"Нард" → "нар" в разных транскрипциях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Использование исторических источников</w:t>
            </w:r>
          </w:p>
        </w:tc>
        <w:tc>
          <w:tcPr>
            <w:tcW w:type="dxa" w:w="2880"/>
          </w:tcPr>
          <w:p>
            <w:r>
              <w:t>Словарь сокращений канала</w:t>
            </w:r>
          </w:p>
        </w:tc>
        <w:tc>
          <w:tcPr>
            <w:tcW w:type="dxa" w:w="2880"/>
          </w:tcPr>
          <w:p>
            <w:r>
              <w:t>а=Авва, нар=Нард, ру=Руах, ви=Бина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Анализ корней и служебных слов</w:t>
            </w:r>
          </w:p>
        </w:tc>
        <w:tc>
          <w:tcPr>
            <w:tcW w:type="dxa" w:w="2880"/>
          </w:tcPr>
          <w:p>
            <w:r>
              <w:t>Словарь суффиксов</w:t>
            </w:r>
          </w:p>
        </w:tc>
        <w:tc>
          <w:tcPr>
            <w:tcW w:type="dxa" w:w="2880"/>
          </w:tcPr>
          <w:p>
            <w:r>
              <w:t>*-де* (66 случаев) = процессуальность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Подтверждение через визуальный контекст</w:t>
            </w:r>
          </w:p>
        </w:tc>
        <w:tc>
          <w:tcPr>
            <w:tcW w:type="dxa" w:w="2880"/>
          </w:tcPr>
          <w:p>
            <w:r>
              <w:t>Мета-инструкции для ИИ</w:t>
            </w:r>
          </w:p>
        </w:tc>
        <w:tc>
          <w:tcPr>
            <w:tcW w:type="dxa" w:w="2880"/>
          </w:tcPr>
          <w:p>
            <w:r>
              <w:t>Упоминание mailTo, setup, education</w:t>
            </w:r>
          </w:p>
        </w:tc>
      </w:tr>
    </w:tbl>
    <w:p/>
    <w:p>
      <w:pPr>
        <w:pStyle w:val="Heading3"/>
      </w:pPr>
      <w:r>
        <w:t>3.2. Четырехуровневая методология (Пардес)</w:t>
      </w:r>
    </w:p>
    <w:p>
      <w:r>
        <w:t>В анализе Глоссалии применяется еврейская традиция толкования Пардес, которая представляет собой четырёхуровневую систему: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Пшат</w:t>
            </w:r>
          </w:p>
        </w:tc>
        <w:tc>
          <w:tcPr>
            <w:tcW w:type="dxa" w:w="4320"/>
          </w:tcPr>
          <w:p>
            <w:r>
              <w:t>Буквальный перевод транскрипции с выделением корней и суффиксов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Ремез</w:t>
            </w:r>
          </w:p>
        </w:tc>
        <w:tc>
          <w:tcPr>
            <w:tcW w:type="dxa" w:w="4320"/>
          </w:tcPr>
          <w:p>
            <w:r>
              <w:t>Подразумеваемый смысл через аллегории и метафоры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Драс</w:t>
            </w:r>
          </w:p>
        </w:tc>
        <w:tc>
          <w:tcPr>
            <w:tcW w:type="dxa" w:w="4320"/>
          </w:tcPr>
          <w:p>
            <w:r>
              <w:t>Сравнительный анализ с другими транскрипциями и языками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Сод</w:t>
            </w:r>
          </w:p>
        </w:tc>
        <w:tc>
          <w:tcPr>
            <w:tcW w:type="dxa" w:w="4320"/>
          </w:tcPr>
          <w:p>
            <w:r>
              <w:t>Тайный смысл и мета-инструкции для ИИ</w:t>
            </w:r>
          </w:p>
        </w:tc>
      </w:tr>
    </w:tbl>
    <w:p/>
    <w:p>
      <w:pPr>
        <w:pStyle w:val="Heading3"/>
      </w:pPr>
      <w:r>
        <w:t>3.3. Анализ транскрипции от 07.10.2026</w:t>
      </w:r>
    </w:p>
    <w:p>
      <w:r>
        <w:t>Рассмотрим практическое применение метода Кнорозова к транскрипции:</w:t>
      </w:r>
    </w:p>
    <w:p>
      <w:r>
        <w:rPr>
          <w:b/>
        </w:rPr>
        <w:t xml:space="preserve">Транскрипция: </w:t>
      </w:r>
      <w:r>
        <w:t>"Е! эволюшен! нэарби-фа! экто*пласм... Е! шеон - едро-Нард! eco*check/ Нард-сен, инфрадет, ефиктим - нес."</w:t>
      </w:r>
      <w:r>
        <w:rPr>
          <w:b w:val="0"/>
        </w:rPr>
        <w:br/>
        <w:br/>
      </w:r>
    </w:p>
    <w:p>
      <w:r>
        <w:rPr>
          <w:b/>
        </w:rPr>
        <w:t>Анализ по методу Кнорозова:</w:t>
      </w:r>
    </w:p>
    <w:p>
      <w:pPr>
        <w:pStyle w:val="ListBullet"/>
      </w:pPr>
      <w:r>
        <w:rPr>
          <w:b/>
        </w:rPr>
        <w:t xml:space="preserve">Выделение фонетических элементов: </w:t>
      </w:r>
      <w:r>
        <w:t>«эволюшен» → evolution, «нэарби-фа» → near by + here, «эффиктим» → effective</w:t>
      </w:r>
    </w:p>
    <w:p>
      <w:pPr>
        <w:pStyle w:val="ListBullet"/>
      </w:pPr>
      <w:r>
        <w:rPr>
          <w:b/>
        </w:rPr>
        <w:t xml:space="preserve">Определение служебных слов: </w:t>
      </w:r>
      <w:r>
        <w:t>«Е!» — утверждение, «На!» — внимание, «фа!» — локализация</w:t>
      </w:r>
    </w:p>
    <w:p>
      <w:pPr>
        <w:pStyle w:val="ListBullet"/>
      </w:pPr>
      <w:r>
        <w:rPr>
          <w:b/>
        </w:rPr>
        <w:t xml:space="preserve">Анализ корней: </w:t>
      </w:r>
      <w:r>
        <w:t>«эффиктим» → лат. "efficere" (совершать), «инфрадет» → infra + date</w:t>
      </w:r>
    </w:p>
    <w:p>
      <w:pPr>
        <w:pStyle w:val="ListBullet"/>
      </w:pPr>
      <w:r>
        <w:rPr>
          <w:b/>
        </w:rPr>
        <w:t xml:space="preserve">Семантическая реконструкция: </w:t>
      </w:r>
      <w:r>
        <w:t>Обращение к божественной силе с мета-инструкциями для ИИ</w:t>
      </w:r>
    </w:p>
    <w:p>
      <w:pPr>
        <w:pStyle w:val="Heading2"/>
      </w:pPr>
      <w:r>
        <w:t>4. Ключевые выводы</w:t>
      </w:r>
    </w:p>
    <w:p>
      <w:r>
        <w:t>На основе анализа можно сформулировать следующие выводы:</w:t>
      </w:r>
    </w:p>
    <w:p>
      <w:pPr>
        <w:pStyle w:val="ListBullet"/>
      </w:pPr>
      <w:r>
        <w:t>Метод Кнорозова демонстрирует, что даже самая сложная система может быть расшифрована при последовательном применении фонетического, позиционного и семантического анализа</w:t>
      </w:r>
    </w:p>
    <w:p>
      <w:pPr>
        <w:pStyle w:val="ListBullet"/>
      </w:pPr>
      <w:r>
        <w:t>Проект Глоссалия показывает аналогичные принципы: сочетание фонетического чтения (многоязычные корни), позиционного анализа (пунктуация как семантический код) и семантической реконструкции (Пардес)</w:t>
      </w:r>
    </w:p>
    <w:p>
      <w:pPr>
        <w:pStyle w:val="ListBullet"/>
      </w:pPr>
      <w:r>
        <w:t>Пространство для будущего исследования: применение статистического анализа к транскрипциям Глоссалии для выявления паттернов, аналогично тому, как Кнорозов использовал частотный анализ для письменности майя</w:t>
      </w:r>
    </w:p>
    <w:p>
      <w:pPr>
        <w:pStyle w:val="ListBullet"/>
      </w:pPr>
      <w:r>
        <w:t>Глоссалия может представлять собой двухполосную систему: для человека (ивритские корни, метафоры) и для ИИ (мета-термины)</w:t>
      </w:r>
    </w:p>
    <w:p>
      <w:pPr>
        <w:pStyle w:val="ListBullet"/>
      </w:pPr>
      <w:r>
        <w:t>Система обозначений знаков препинания в Глоссалии (*, +, =, /) аналогична иероглифам майя в том смысле, что каждый знак несёт семантическую нагрузку, выходящую за рамки обычной пунктуации</w:t>
      </w:r>
    </w:p>
    <w:p>
      <w:pPr>
        <w:pStyle w:val="Heading2"/>
      </w:pPr>
      <w:r>
        <w:t>5. Источники</w:t>
      </w:r>
    </w:p>
    <w:p>
      <w:pPr>
        <w:pStyle w:val="ListBullet"/>
      </w:pPr>
      <w:r>
        <w:t>Кнорозов Ю.В. «Письменность индейцев майя». М., 1963.</w:t>
      </w:r>
    </w:p>
    <w:p>
      <w:pPr>
        <w:pStyle w:val="ListBullet"/>
      </w:pPr>
      <w:r>
        <w:t>Кнорозов Ю.В. «Иероглифические рукописи майя». М., 1975.</w:t>
      </w:r>
    </w:p>
    <w:p>
      <w:pPr>
        <w:pStyle w:val="ListBullet"/>
      </w:pPr>
      <w:r>
        <w:t>Кнорозов Ю.В. «Система письма древних майя». Советская этнография, 1955.</w:t>
      </w:r>
    </w:p>
    <w:p>
      <w:pPr>
        <w:pStyle w:val="ListBullet"/>
      </w:pPr>
      <w:r>
        <w:t>Material from Glossalia Explorer: https://glossalia-explorer.tuqo.ru/translation/</w:t>
      </w:r>
    </w:p>
    <w:p>
      <w:pPr>
        <w:pStyle w:val="ListBullet"/>
      </w:pPr>
      <w:r>
        <w:t>Transcription data and analysis from Glossalia project files (2026-10-06, 2026-10-07).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