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97B7EA">
      <w:pPr>
        <w:pStyle w:val="2"/>
      </w:pPr>
      <w:r>
        <w:rPr>
          <w:b/>
          <w:sz w:val="48"/>
        </w:rPr>
        <w:t>补货系统预警机制模型-2023.4.3</w:t>
      </w:r>
    </w:p>
    <w:p w14:paraId="4EF17248">
      <w:pPr>
        <w:pStyle w:val="2"/>
        <w:numPr>
          <w:ilvl w:val="0"/>
          <w:numId w:val="1"/>
        </w:numPr>
        <w:spacing w:line="223" w:lineRule="auto"/>
      </w:pPr>
      <w:bookmarkStart w:id="0" w:name="mni6ltwg71nu9jkyzbm"/>
      <w:r>
        <w:rPr>
          <w:b/>
          <w:color w:val="0B1019"/>
          <w:sz w:val="42"/>
        </w:rPr>
        <w:t>预警规则</w:t>
      </w:r>
      <w:bookmarkEnd w:id="0"/>
    </w:p>
    <w:tbl>
      <w:tblPr>
        <w:tblStyle w:val="10"/>
        <w:tblW w:w="5000" w:type="pct"/>
        <w:tblInd w:w="0" w:type="dxa"/>
        <w:tblBorders>
          <w:top w:val="single" w:color="D6D6D6" w:sz="6" w:space="0"/>
          <w:left w:val="single" w:color="D6D6D6" w:sz="6" w:space="0"/>
          <w:bottom w:val="single" w:color="D6D6D6" w:sz="6" w:space="0"/>
          <w:right w:val="single" w:color="D6D6D6" w:sz="6" w:space="0"/>
          <w:insideH w:val="single" w:color="D6D6D6" w:sz="6" w:space="0"/>
          <w:insideV w:val="single" w:color="D6D6D6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54"/>
        <w:gridCol w:w="1751"/>
        <w:gridCol w:w="4632"/>
        <w:gridCol w:w="5424"/>
      </w:tblGrid>
      <w:tr w14:paraId="7F7E8506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3108" w:type="dxa"/>
          </w:tcPr>
          <w:p w14:paraId="6B04C1A4">
            <w:r>
              <w:rPr>
                <w:color w:val="0B1019"/>
                <w:sz w:val="24"/>
              </w:rPr>
              <w:t>模型名称</w:t>
            </w:r>
          </w:p>
        </w:tc>
        <w:tc>
          <w:tcPr>
            <w:tcW w:w="1726" w:type="dxa"/>
          </w:tcPr>
          <w:p w14:paraId="024EF1C8">
            <w:r>
              <w:t>预警分类</w:t>
            </w:r>
          </w:p>
        </w:tc>
        <w:tc>
          <w:tcPr>
            <w:tcW w:w="4565" w:type="dxa"/>
          </w:tcPr>
          <w:p w14:paraId="5EBB686D">
            <w:r>
              <w:rPr>
                <w:b/>
                <w:color w:val="0B1019"/>
                <w:sz w:val="24"/>
              </w:rPr>
              <w:t>场景说明</w:t>
            </w:r>
          </w:p>
        </w:tc>
        <w:tc>
          <w:tcPr>
            <w:tcW w:w="5345" w:type="dxa"/>
          </w:tcPr>
          <w:p w14:paraId="0D33099C">
            <w:r>
              <w:t>触发</w:t>
            </w:r>
            <w:r>
              <w:rPr>
                <w:b/>
                <w:color w:val="0B1019"/>
                <w:sz w:val="24"/>
              </w:rPr>
              <w:t>条件</w:t>
            </w:r>
          </w:p>
        </w:tc>
      </w:tr>
      <w:tr w14:paraId="6A8B99A1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3108" w:type="dxa"/>
          </w:tcPr>
          <w:p w14:paraId="20798578">
            <w:r>
              <w:rPr>
                <w:color w:val="0B1019"/>
                <w:sz w:val="24"/>
              </w:rPr>
              <w:t>本地库龄预警</w:t>
            </w:r>
          </w:p>
        </w:tc>
        <w:tc>
          <w:tcPr>
            <w:tcW w:w="1726" w:type="dxa"/>
          </w:tcPr>
          <w:p w14:paraId="22847F57">
            <w:r>
              <w:rPr>
                <w:rFonts w:hint="eastAsia"/>
                <w:lang w:val="en-US" w:eastAsia="zh-CN"/>
              </w:rPr>
              <w:t>库龄</w:t>
            </w:r>
            <w:r>
              <w:t>预警</w:t>
            </w:r>
          </w:p>
        </w:tc>
        <w:tc>
          <w:tcPr>
            <w:tcW w:w="4565" w:type="dxa"/>
          </w:tcPr>
          <w:p w14:paraId="43837037">
            <w:r>
              <w:rPr>
                <w:color w:val="0B1019"/>
                <w:sz w:val="24"/>
              </w:rPr>
              <w:t>当指定商品存在高库龄库存时，触发预警提醒的模型</w:t>
            </w:r>
          </w:p>
        </w:tc>
        <w:tc>
          <w:tcPr>
            <w:tcW w:w="5345" w:type="dxa"/>
          </w:tcPr>
          <w:p w14:paraId="1059C526">
            <w:r>
              <w:rPr>
                <w:color w:val="0B1019"/>
                <w:sz w:val="24"/>
              </w:rPr>
              <w:t>当指定商品的库存中，库龄超过</w:t>
            </w:r>
            <w:r>
              <w:rPr>
                <w:b/>
                <w:color w:val="0B1019"/>
                <w:sz w:val="24"/>
              </w:rPr>
              <w:t>N天</w:t>
            </w:r>
            <w:r>
              <w:rPr>
                <w:color w:val="0B1019"/>
                <w:sz w:val="24"/>
              </w:rPr>
              <w:t>（例如90天、180天）的库存数量或占比超过预设阈值时触发。N值可根据商品特性、保质期或公司清仓策略设定。</w:t>
            </w:r>
          </w:p>
        </w:tc>
      </w:tr>
      <w:tr w14:paraId="6F05D760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3108" w:type="dxa"/>
            <w:vAlign w:val="top"/>
          </w:tcPr>
          <w:p w14:paraId="3359A750">
            <w:r>
              <w:rPr>
                <w:color w:val="0B1019"/>
                <w:sz w:val="24"/>
              </w:rPr>
              <w:t>亚马逊库龄预警</w:t>
            </w:r>
          </w:p>
        </w:tc>
        <w:tc>
          <w:tcPr>
            <w:tcW w:w="1726" w:type="dxa"/>
          </w:tcPr>
          <w:p w14:paraId="765F80B1">
            <w:r>
              <w:t>库龄预警</w:t>
            </w:r>
          </w:p>
        </w:tc>
        <w:tc>
          <w:tcPr>
            <w:tcW w:w="4565" w:type="dxa"/>
            <w:vAlign w:val="top"/>
          </w:tcPr>
          <w:p w14:paraId="0497CCC6">
            <w:r>
              <w:rPr>
                <w:color w:val="0B1019"/>
                <w:sz w:val="24"/>
              </w:rPr>
              <w:t>当指定亚马逊商品存在高库龄库存时，触发预警提醒的模型</w:t>
            </w:r>
          </w:p>
        </w:tc>
        <w:tc>
          <w:tcPr>
            <w:tcW w:w="5345" w:type="dxa"/>
          </w:tcPr>
          <w:p w14:paraId="0EC1FDEE">
            <w:r>
              <w:rPr>
                <w:color w:val="0B1019"/>
                <w:sz w:val="24"/>
              </w:rPr>
              <w:t>当指定ASIN/SKU在FBA仓库中的库存，其库龄超过</w:t>
            </w:r>
            <w:r>
              <w:rPr>
                <w:b/>
                <w:color w:val="0B1019"/>
                <w:sz w:val="24"/>
              </w:rPr>
              <w:t>M天</w:t>
            </w:r>
            <w:r>
              <w:rPr>
                <w:color w:val="0B1019"/>
                <w:sz w:val="24"/>
              </w:rPr>
              <w:t>（例如180天、270天，或接近亚马逊长期仓储费计费点）时触发。可设置为库龄超过M天的库存总量或比例超过阈值。</w:t>
            </w:r>
          </w:p>
        </w:tc>
      </w:tr>
      <w:tr w14:paraId="193ACC38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108" w:type="dxa"/>
            <w:vAlign w:val="top"/>
          </w:tcPr>
          <w:p w14:paraId="19B746B4">
            <w:r>
              <w:t>FBA长期仓储费预警</w:t>
            </w:r>
          </w:p>
        </w:tc>
        <w:tc>
          <w:tcPr>
            <w:tcW w:w="1726" w:type="dxa"/>
            <w:vAlign w:val="top"/>
          </w:tcPr>
          <w:p w14:paraId="18E16532">
            <w:r>
              <w:t>仓储费预警</w:t>
            </w:r>
          </w:p>
        </w:tc>
        <w:tc>
          <w:tcPr>
            <w:tcW w:w="4565" w:type="dxa"/>
            <w:vAlign w:val="top"/>
          </w:tcPr>
          <w:p w14:paraId="1F70B428">
            <w:r>
              <w:t>在亚马逊收取长期仓储费盘点日之前，提前预警即将被收费的库存。</w:t>
            </w:r>
          </w:p>
        </w:tc>
        <w:tc>
          <w:tcPr>
            <w:tcW w:w="5345" w:type="dxa"/>
            <w:vAlign w:val="top"/>
          </w:tcPr>
          <w:p w14:paraId="0D3F9584">
            <w:r>
              <w:t>在库龄接近收费节点（如365天）前N天，库存数量仍大于K。</w:t>
            </w:r>
          </w:p>
        </w:tc>
      </w:tr>
      <w:tr w14:paraId="304487D7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5" w:hRule="atLeast"/>
        </w:trPr>
        <w:tc>
          <w:tcPr>
            <w:tcW w:w="3108" w:type="dxa"/>
            <w:vAlign w:val="top"/>
          </w:tcPr>
          <w:p w14:paraId="17098D7F">
            <w:r>
              <w:t>订单加急预警</w:t>
            </w:r>
          </w:p>
        </w:tc>
        <w:tc>
          <w:tcPr>
            <w:tcW w:w="1726" w:type="dxa"/>
          </w:tcPr>
          <w:p w14:paraId="59DC69B7">
            <w:r>
              <w:t>下单预警</w:t>
            </w:r>
          </w:p>
        </w:tc>
        <w:tc>
          <w:tcPr>
            <w:tcW w:w="4565" w:type="dxa"/>
            <w:vAlign w:val="top"/>
          </w:tcPr>
          <w:p w14:paraId="1D28EA87">
            <w:r>
              <w:t>例如当CN仓库存不能满足接下来2次的发货计划且这段时间内没有在产订单到货，则提醒加急在产订单</w:t>
            </w:r>
          </w:p>
        </w:tc>
        <w:tc>
          <w:tcPr>
            <w:tcW w:w="5345" w:type="dxa"/>
          </w:tcPr>
          <w:p w14:paraId="4147CB17">
            <w:r>
              <w:rPr>
                <w:color w:val="0B1019"/>
                <w:sz w:val="24"/>
              </w:rPr>
              <w:t>当</w:t>
            </w:r>
            <w:r>
              <w:rPr>
                <w:b/>
                <w:color w:val="0B1019"/>
                <w:sz w:val="24"/>
              </w:rPr>
              <w:t>国内仓（CN仓）的可用库存</w:t>
            </w:r>
            <w:r>
              <w:rPr>
                <w:color w:val="0B1019"/>
                <w:sz w:val="24"/>
              </w:rPr>
              <w:t>无法满足未来</w:t>
            </w:r>
            <w:r>
              <w:rPr>
                <w:b/>
                <w:color w:val="0B1019"/>
                <w:sz w:val="24"/>
              </w:rPr>
              <w:t>N个发货周期</w:t>
            </w:r>
            <w:r>
              <w:rPr>
                <w:color w:val="0B1019"/>
                <w:sz w:val="24"/>
              </w:rPr>
              <w:t>（例如2次）的计划需求量，</w:t>
            </w:r>
            <w:r>
              <w:rPr>
                <w:b/>
                <w:color w:val="0B1019"/>
                <w:sz w:val="24"/>
              </w:rPr>
              <w:t>且</w:t>
            </w:r>
            <w:r>
              <w:rPr>
                <w:color w:val="0B1019"/>
                <w:sz w:val="24"/>
              </w:rPr>
              <w:t>在下次补货到货前</w:t>
            </w:r>
            <w:r>
              <w:rPr>
                <w:b/>
                <w:color w:val="0B1019"/>
                <w:sz w:val="24"/>
              </w:rPr>
              <w:t>无“在产订单”预计到货</w:t>
            </w:r>
            <w:r>
              <w:rPr>
                <w:color w:val="0B1019"/>
                <w:sz w:val="24"/>
              </w:rPr>
              <w:t>时触发，提示需加急生产或运输中的订单。</w:t>
            </w:r>
          </w:p>
        </w:tc>
      </w:tr>
      <w:tr w14:paraId="70232CBD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108" w:type="dxa"/>
            <w:vAlign w:val="top"/>
          </w:tcPr>
          <w:p w14:paraId="219091B6">
            <w:r>
              <w:t>销售预测</w:t>
            </w:r>
            <w:r>
              <w:rPr>
                <w:color w:val="FE0300"/>
              </w:rPr>
              <w:t>与年对规划偏差严重时进行预警</w:t>
            </w:r>
          </w:p>
        </w:tc>
        <w:tc>
          <w:tcPr>
            <w:tcW w:w="1726" w:type="dxa"/>
          </w:tcPr>
          <w:p w14:paraId="0606CEC5">
            <w:r>
              <w:t>销售偏差预警</w:t>
            </w:r>
          </w:p>
        </w:tc>
        <w:tc>
          <w:tcPr>
            <w:tcW w:w="4565" w:type="dxa"/>
            <w:vAlign w:val="top"/>
          </w:tcPr>
          <w:p w14:paraId="7CE5A528">
            <w:r>
              <w:rPr>
                <w:b/>
                <w:color w:val="0B1019"/>
                <w:sz w:val="24"/>
              </w:rPr>
              <w:t>对于预测和年规偏差较大的情况进行预警</w:t>
            </w:r>
          </w:p>
        </w:tc>
        <w:tc>
          <w:tcPr>
            <w:tcW w:w="5345" w:type="dxa"/>
          </w:tcPr>
          <w:p w14:paraId="400357B5">
            <w:r>
              <w:rPr>
                <w:color w:val="0B1019"/>
                <w:sz w:val="24"/>
              </w:rPr>
              <w:t>当短期（如周/月）</w:t>
            </w:r>
            <w:r>
              <w:rPr>
                <w:b/>
                <w:color w:val="0B1019"/>
                <w:sz w:val="24"/>
              </w:rPr>
              <w:t>销售预测值</w:t>
            </w:r>
            <w:r>
              <w:rPr>
                <w:color w:val="0B1019"/>
                <w:sz w:val="24"/>
              </w:rPr>
              <w:t>与</w:t>
            </w:r>
            <w:r>
              <w:rPr>
                <w:b/>
                <w:color w:val="0B1019"/>
                <w:sz w:val="24"/>
              </w:rPr>
              <w:t>年度规划（年规）</w:t>
            </w:r>
            <w:r>
              <w:rPr>
                <w:color w:val="0B1019"/>
                <w:sz w:val="24"/>
              </w:rPr>
              <w:t>​ 中对应时间点的目标值偏差超过</w:t>
            </w:r>
            <w:r>
              <w:rPr>
                <w:b/>
                <w:color w:val="0B1019"/>
                <w:sz w:val="24"/>
              </w:rPr>
              <w:t>±Y%</w:t>
            </w:r>
            <w:r>
              <w:rPr>
                <w:color w:val="0B1019"/>
                <w:sz w:val="24"/>
              </w:rPr>
              <w:t>​ 时触发。Y值可根据业务容忍度设定（例如20%或30%）。</w:t>
            </w:r>
          </w:p>
        </w:tc>
      </w:tr>
      <w:tr w14:paraId="05CC2AD5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3108" w:type="dxa"/>
          </w:tcPr>
          <w:p w14:paraId="4243E294">
            <w:r>
              <w:t>库存下单预警</w:t>
            </w:r>
          </w:p>
        </w:tc>
        <w:tc>
          <w:tcPr>
            <w:tcW w:w="1726" w:type="dxa"/>
          </w:tcPr>
          <w:p w14:paraId="1DF5428C">
            <w:r>
              <w:t>下单预警</w:t>
            </w:r>
          </w:p>
        </w:tc>
        <w:tc>
          <w:tcPr>
            <w:tcW w:w="4565" w:type="dxa"/>
          </w:tcPr>
          <w:p w14:paraId="6F6DE059">
            <w:r>
              <w:rPr>
                <w:b/>
                <w:color w:val="0B1019"/>
                <w:sz w:val="24"/>
              </w:rPr>
              <w:t>库存已经无法满足生产天数的需求条件下，需要紧急下单</w:t>
            </w:r>
          </w:p>
        </w:tc>
        <w:tc>
          <w:tcPr>
            <w:tcW w:w="5345" w:type="dxa"/>
          </w:tcPr>
          <w:p w14:paraId="598B6BFF">
            <w:r>
              <w:rPr>
                <w:color w:val="0B1019"/>
                <w:sz w:val="24"/>
              </w:rPr>
              <w:t>（FBA总库存+CN仓总可用量+采购在途量+预发货库存+海外仓库存）/（总销售预计/预计销售天数）＜（工厂生产时间+大货入库时间+提货准备时间+下单用预计运输时间+安全库存时间）</w:t>
            </w:r>
          </w:p>
          <w:p w14:paraId="1A7CB395">
            <w:r>
              <w:rPr>
                <w:color w:val="0B1019"/>
                <w:sz w:val="24"/>
              </w:rPr>
              <w:t>所有货够卖的天数 ＜ （下单到fba所需时间总天数+安全库存时间）</w:t>
            </w:r>
          </w:p>
        </w:tc>
      </w:tr>
      <w:tr w14:paraId="6068DC40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3108" w:type="dxa"/>
          </w:tcPr>
          <w:p w14:paraId="68099BE2">
            <w:r>
              <w:t>断货预警（普船）</w:t>
            </w:r>
          </w:p>
        </w:tc>
        <w:tc>
          <w:tcPr>
            <w:tcW w:w="1726" w:type="dxa"/>
          </w:tcPr>
          <w:p w14:paraId="597ED383">
            <w:r>
              <w:t>发货预警</w:t>
            </w:r>
          </w:p>
        </w:tc>
        <w:tc>
          <w:tcPr>
            <w:tcW w:w="4565" w:type="dxa"/>
          </w:tcPr>
          <w:p w14:paraId="01DB13D5">
            <w:r>
              <w:t>常规普船补货就能补充</w:t>
            </w:r>
          </w:p>
        </w:tc>
        <w:tc>
          <w:tcPr>
            <w:tcW w:w="5345" w:type="dxa"/>
            <w:vAlign w:val="top"/>
          </w:tcPr>
          <w:p w14:paraId="1B11BA6A">
            <w:r>
              <w:t>场景 ：常规普船</w:t>
            </w:r>
          </w:p>
          <w:p w14:paraId="05C6E92C">
            <w:r>
              <w:t>断货点位置：断货点在普船到货后</w:t>
            </w:r>
          </w:p>
          <w:p w14:paraId="0431A6ED">
            <w:r>
              <w:t xml:space="preserve">逻辑处理：持续通过普船补货，维持正常库存。 </w:t>
            </w:r>
          </w:p>
          <w:p w14:paraId="6AC8EAA1">
            <w:r>
              <w:t>预警状态：黄色预警</w:t>
            </w:r>
          </w:p>
        </w:tc>
      </w:tr>
      <w:tr w14:paraId="2F14F443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3108" w:type="dxa"/>
          </w:tcPr>
          <w:p w14:paraId="5848311D">
            <w:r>
              <w:t>断货预警（快船）</w:t>
            </w:r>
          </w:p>
        </w:tc>
        <w:tc>
          <w:tcPr>
            <w:tcW w:w="1726" w:type="dxa"/>
          </w:tcPr>
          <w:p w14:paraId="07AFF788">
            <w:r>
              <w:t>发货预警</w:t>
            </w:r>
          </w:p>
        </w:tc>
        <w:tc>
          <w:tcPr>
            <w:tcW w:w="4565" w:type="dxa"/>
          </w:tcPr>
          <w:p w14:paraId="1ED9AD36">
            <w:r>
              <w:t>快船：本质是填补普船无法覆盖的真空期</w:t>
            </w:r>
          </w:p>
          <w:p w14:paraId="03F826E4">
            <w:r>
              <w:t>预警：需要快船发货，或者普船发货量 ≥预计日均销量*发货频率 （防止就个位数几双也触发补货预警）</w:t>
            </w:r>
          </w:p>
        </w:tc>
        <w:tc>
          <w:tcPr>
            <w:tcW w:w="5345" w:type="dxa"/>
            <w:vAlign w:val="top"/>
          </w:tcPr>
          <w:p w14:paraId="6BF3B522">
            <w:r>
              <w:t>场景 ：快船救火</w:t>
            </w:r>
          </w:p>
          <w:p w14:paraId="7863ED95">
            <w:r>
              <w:t>断货点位置：断货点在快船到货后，普船到货前</w:t>
            </w:r>
          </w:p>
          <w:p w14:paraId="2763B3C2">
            <w:r>
              <w:t>逻辑处理：普船已来不及，需立</w:t>
            </w:r>
          </w:p>
          <w:p w14:paraId="648CD400">
            <w:r>
              <w:t>刻触发快船补货</w:t>
            </w:r>
          </w:p>
          <w:p w14:paraId="2B4FDC40">
            <w:r>
              <w:t>预警状态：橙色预警：启动快船+</w:t>
            </w:r>
          </w:p>
          <w:p w14:paraId="66A6DC90">
            <w:r>
              <w:t>慢船</w:t>
            </w:r>
          </w:p>
        </w:tc>
      </w:tr>
      <w:tr w14:paraId="2990EC9B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108" w:type="dxa"/>
          </w:tcPr>
          <w:p w14:paraId="0FCB70BD">
            <w:r>
              <w:t>断货预警（必断）</w:t>
            </w:r>
          </w:p>
        </w:tc>
        <w:tc>
          <w:tcPr>
            <w:tcW w:w="1726" w:type="dxa"/>
          </w:tcPr>
          <w:p w14:paraId="711888EC">
            <w:r>
              <w:t>断货预警</w:t>
            </w:r>
          </w:p>
        </w:tc>
        <w:tc>
          <w:tcPr>
            <w:tcW w:w="4565" w:type="dxa"/>
            <w:vAlign w:val="top"/>
          </w:tcPr>
          <w:p w14:paraId="4A05AEA9">
            <w:r>
              <w:t>快船：本质是填补普船无法覆盖的真空期</w:t>
            </w:r>
          </w:p>
          <w:p w14:paraId="044C2914">
            <w:r>
              <w:t>预警：需要快船发货，或者普船发货量 ≥预计日均销量*发货频率 （防止就个位数几双也触发补货预警）</w:t>
            </w:r>
          </w:p>
        </w:tc>
        <w:tc>
          <w:tcPr>
            <w:tcW w:w="5345" w:type="dxa"/>
            <w:vAlign w:val="top"/>
          </w:tcPr>
          <w:p w14:paraId="0058A492">
            <w:r>
              <w:t>场景 ：必断货</w:t>
            </w:r>
          </w:p>
          <w:p w14:paraId="433FCC52">
            <w:r>
              <w:t>断货点位置：断货点在快船到货前</w:t>
            </w:r>
          </w:p>
          <w:p w14:paraId="0B7DEDFF">
            <w:r>
              <w:t>逻辑处理：快船也救不了，库存</w:t>
            </w:r>
          </w:p>
          <w:p w14:paraId="50E86132">
            <w:r>
              <w:t>会归零。</w:t>
            </w:r>
          </w:p>
          <w:p w14:paraId="51039E19">
            <w:r>
              <w:t>预警状态：红色预警：启动快船＋慢船结合</w:t>
            </w:r>
          </w:p>
        </w:tc>
      </w:tr>
      <w:tr w14:paraId="7C6ABBE7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108" w:type="dxa"/>
          </w:tcPr>
          <w:p w14:paraId="63A2CD46">
            <w:r>
              <w:t>头程物流在途异常预警</w:t>
            </w:r>
          </w:p>
        </w:tc>
        <w:tc>
          <w:tcPr>
            <w:tcW w:w="1726" w:type="dxa"/>
          </w:tcPr>
          <w:p w14:paraId="08E89600">
            <w:r>
              <w:t>物流预警</w:t>
            </w:r>
          </w:p>
        </w:tc>
        <w:tc>
          <w:tcPr>
            <w:tcW w:w="4565" w:type="dxa"/>
          </w:tcPr>
          <w:p w14:paraId="6C15E6E4">
            <w:r>
              <w:t>监控已发货的补货批次在运输途中的时效与状态。</w:t>
            </w:r>
          </w:p>
        </w:tc>
        <w:tc>
          <w:tcPr>
            <w:tcW w:w="5345" w:type="dxa"/>
          </w:tcPr>
          <w:p w14:paraId="61E0F349">
            <w:r>
              <w:t>物流轨迹信息长时间未更新（超出正常区间）；或根据当前轨迹与速度预测，到港/入仓时间将晚于计划时间X天以上。</w:t>
            </w:r>
          </w:p>
        </w:tc>
      </w:tr>
      <w:tr w14:paraId="4778BA73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5" w:hRule="atLeast"/>
        </w:trPr>
        <w:tc>
          <w:tcPr>
            <w:tcW w:w="3108" w:type="dxa"/>
          </w:tcPr>
          <w:p w14:paraId="4AC7B92F">
            <w:r>
              <w:t>供应商生产延期预警</w:t>
            </w:r>
          </w:p>
        </w:tc>
        <w:tc>
          <w:tcPr>
            <w:tcW w:w="1726" w:type="dxa"/>
          </w:tcPr>
          <w:p w14:paraId="79B77D0F">
            <w:r>
              <w:t>生产预警</w:t>
            </w:r>
          </w:p>
        </w:tc>
        <w:tc>
          <w:tcPr>
            <w:tcW w:w="4565" w:type="dxa"/>
            <w:vAlign w:val="top"/>
          </w:tcPr>
          <w:p w14:paraId="05258AAA">
            <w:r>
              <w:t>监控已确认的采购订单，其生产进度是否滞后于计划交期。</w:t>
            </w:r>
          </w:p>
        </w:tc>
        <w:tc>
          <w:tcPr>
            <w:tcW w:w="5345" w:type="dxa"/>
            <w:vAlign w:val="top"/>
          </w:tcPr>
          <w:p w14:paraId="55E716E9">
            <w:r>
              <w:t>在关键生产节点（如物料备齐日、上线日、完成日）未按计划达成，或供应商主动通知交期延误。</w:t>
            </w:r>
          </w:p>
        </w:tc>
      </w:tr>
      <w:tr w14:paraId="2C202103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3108" w:type="dxa"/>
          </w:tcPr>
          <w:p w14:paraId="096203ED">
            <w:r>
              <w:t>冗余库存（呆滞料）预警</w:t>
            </w:r>
          </w:p>
        </w:tc>
        <w:tc>
          <w:tcPr>
            <w:tcW w:w="1726" w:type="dxa"/>
          </w:tcPr>
          <w:p w14:paraId="3569B082">
            <w:r>
              <w:t>滞销预警</w:t>
            </w:r>
          </w:p>
        </w:tc>
        <w:tc>
          <w:tcPr>
            <w:tcW w:w="4565" w:type="dxa"/>
          </w:tcPr>
          <w:p w14:paraId="516D24F4">
            <w:r>
              <w:t>比库龄预警更近一步，识别那些在未来一段时间内（根据销售预测）无法被消耗的高库龄库存。</w:t>
            </w:r>
          </w:p>
        </w:tc>
        <w:tc>
          <w:tcPr>
            <w:tcW w:w="5345" w:type="dxa"/>
          </w:tcPr>
          <w:p w14:paraId="357A7BFC">
            <w:r>
              <w:t>高库龄库存数量 &gt; 未来M天的销售预测值 * 安全系数。</w:t>
            </w:r>
          </w:p>
        </w:tc>
      </w:tr>
      <w:tr w14:paraId="6ED9903A">
        <w:tblPrEx>
          <w:tblBorders>
            <w:top w:val="single" w:color="D6D6D6" w:sz="6" w:space="0"/>
            <w:left w:val="single" w:color="D6D6D6" w:sz="6" w:space="0"/>
            <w:bottom w:val="single" w:color="D6D6D6" w:sz="6" w:space="0"/>
            <w:right w:val="single" w:color="D6D6D6" w:sz="6" w:space="0"/>
            <w:insideH w:val="single" w:color="D6D6D6" w:sz="6" w:space="0"/>
            <w:insideV w:val="single" w:color="D6D6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108" w:type="dxa"/>
          </w:tcPr>
          <w:p w14:paraId="797B8901"/>
        </w:tc>
        <w:tc>
          <w:tcPr>
            <w:tcW w:w="1726" w:type="dxa"/>
          </w:tcPr>
          <w:p w14:paraId="08141DF2"/>
        </w:tc>
        <w:tc>
          <w:tcPr>
            <w:tcW w:w="4565" w:type="dxa"/>
          </w:tcPr>
          <w:p w14:paraId="631A69E1"/>
        </w:tc>
        <w:tc>
          <w:tcPr>
            <w:tcW w:w="5345" w:type="dxa"/>
          </w:tcPr>
          <w:p w14:paraId="19C91F25"/>
        </w:tc>
      </w:tr>
    </w:tbl>
    <w:p w14:paraId="6DAB5424"/>
    <w:p w14:paraId="27815EA4">
      <w:pPr>
        <w:pStyle w:val="2"/>
        <w:spacing w:line="223" w:lineRule="auto"/>
      </w:pPr>
      <w:bookmarkStart w:id="1" w:name="mni8jr2urcjrvp4mnw"/>
      <w:r>
        <w:rPr>
          <w:b/>
          <w:color w:val="0B1019"/>
          <w:sz w:val="42"/>
        </w:rPr>
        <w:t>2.算法逻辑</w:t>
      </w:r>
      <w:bookmarkEnd w:id="1"/>
    </w:p>
    <w:p w14:paraId="5603FB89">
      <w:pPr>
        <w:pStyle w:val="3"/>
        <w:spacing w:line="223" w:lineRule="auto"/>
      </w:pPr>
      <w:bookmarkStart w:id="2" w:name="mni77u1rl1g4i4wd53i"/>
      <w:r>
        <w:rPr>
          <w:b/>
          <w:sz w:val="27"/>
        </w:rPr>
        <w:t>一、下单预警模型</w:t>
      </w:r>
      <w:bookmarkEnd w:id="2"/>
    </w:p>
    <w:p w14:paraId="6259C352">
      <w:pPr>
        <w:pStyle w:val="4"/>
        <w:spacing w:line="223" w:lineRule="auto"/>
      </w:pPr>
      <w:bookmarkStart w:id="3" w:name="mni792fn63m9glm7f8b"/>
      <w:r>
        <w:rPr>
          <w:b/>
          <w:sz w:val="24"/>
        </w:rPr>
        <w:t>1.核心变量定义</w:t>
      </w:r>
      <w:bookmarkEnd w:id="3"/>
    </w:p>
    <w:p w14:paraId="4B524949">
      <w:pPr>
        <w:numPr>
          <w:ilvl w:val="0"/>
          <w:numId w:val="2"/>
        </w:numPr>
      </w:pPr>
      <w:r>
        <w:rPr>
          <w:b/>
          <w:i/>
        </w:rPr>
        <w:t>当前总可用供应量</w:t>
      </w:r>
      <w:r>
        <w:t xml:space="preserve"> = FBA库存 (在库+预留+在途)+ CN仓 + 采购在途 + 预发货 + 海外仓库存</w:t>
      </w:r>
      <w:bookmarkStart w:id="9" w:name="_GoBack"/>
      <w:bookmarkEnd w:id="9"/>
    </w:p>
    <w:p w14:paraId="2367F4CD">
      <w:pPr>
        <w:numPr>
          <w:ilvl w:val="0"/>
          <w:numId w:val="2"/>
        </w:numPr>
      </w:pPr>
      <w:r>
        <w:rPr>
          <w:b/>
          <w:i/>
        </w:rPr>
        <w:t>下单覆盖总时长</w:t>
      </w:r>
      <w:r>
        <w:t>= 合同审批+生产周期 + 品检入库时间 + 提货准备 + 运输时间 + 安全库存天数</w:t>
      </w:r>
    </w:p>
    <w:p w14:paraId="26AA8F13">
      <w:pPr>
        <w:pStyle w:val="4"/>
        <w:spacing w:line="223" w:lineRule="auto"/>
      </w:pPr>
      <w:bookmarkStart w:id="4" w:name="mni7aspu2lfmmvfnge4"/>
      <w:r>
        <w:rPr>
          <w:b/>
          <w:sz w:val="24"/>
        </w:rPr>
        <w:t>2.时间序列触发逻辑：</w:t>
      </w:r>
      <w:bookmarkEnd w:id="4"/>
    </w:p>
    <w:p w14:paraId="2769AF1A">
      <w:r>
        <w:t xml:space="preserve"> 从今天（Day 0）开始，逐日累加未来的计划年规销量，直到累加总量等于（或刚好超过）</w:t>
      </w:r>
      <w:r>
        <w:rPr>
          <w:b/>
          <w:i/>
        </w:rPr>
        <w:t>当前总可用供应量</w:t>
      </w:r>
      <w:r>
        <w:rPr>
          <w:b/>
        </w:rPr>
        <w:t>。</w:t>
      </w:r>
      <w:r>
        <w:t>此时所经历的天数，即为</w:t>
      </w:r>
      <w:r>
        <w:rPr>
          <w:b/>
          <w:i/>
        </w:rPr>
        <w:t>动态可售天数</w:t>
      </w:r>
    </w:p>
    <w:p w14:paraId="7B6894AD">
      <w:r>
        <w:t>触发下单预警条件：</w:t>
      </w:r>
    </w:p>
    <w:p w14:paraId="79D6C9E7">
      <w:pPr>
        <w:ind w:firstLine="480"/>
      </w:pPr>
      <w:r>
        <w:rPr>
          <w:color w:val="FE0300"/>
        </w:rPr>
        <w:t>动态可售天数 &lt;下单覆盖总时长</w:t>
      </w:r>
    </w:p>
    <w:p w14:paraId="4D7F0AD8">
      <w:pPr>
        <w:ind w:firstLine="480"/>
      </w:pPr>
    </w:p>
    <w:p w14:paraId="2B8E73DD">
      <w:pPr>
        <w:pStyle w:val="3"/>
        <w:spacing w:line="223" w:lineRule="auto"/>
      </w:pPr>
      <w:bookmarkStart w:id="5" w:name="mni7mbftka3aseqt7zj"/>
      <w:r>
        <w:rPr>
          <w:b/>
          <w:sz w:val="27"/>
        </w:rPr>
        <w:t>二、补货预警模型</w:t>
      </w:r>
      <w:bookmarkEnd w:id="5"/>
    </w:p>
    <w:p w14:paraId="3817CFBE">
      <w:pPr>
        <w:pStyle w:val="4"/>
        <w:spacing w:line="223" w:lineRule="auto"/>
      </w:pPr>
      <w:bookmarkStart w:id="6" w:name="mni7rft64hit8s0cac9"/>
      <w:r>
        <w:rPr>
          <w:b/>
          <w:sz w:val="24"/>
        </w:rPr>
        <w:t>1.动态库存计算定义</w:t>
      </w:r>
      <w:bookmarkEnd w:id="6"/>
    </w:p>
    <w:p w14:paraId="573AAC5D">
      <w:pPr>
        <w:numPr>
          <w:ilvl w:val="0"/>
          <w:numId w:val="3"/>
        </w:numPr>
      </w:pPr>
      <w:r>
        <w:t>S(t)：第 t 天的预测销量（根据年规,按照月平摊到每天）。</w:t>
      </w:r>
    </w:p>
    <w:p w14:paraId="0BC8EFC1">
      <w:pPr>
        <w:numPr>
          <w:ilvl w:val="0"/>
          <w:numId w:val="4"/>
        </w:numPr>
      </w:pPr>
      <w:r>
        <w:t>Inv(t)：第 t天的预测库存。</w:t>
      </w:r>
    </w:p>
    <w:p w14:paraId="245701FD">
      <w:r>
        <w:t>第t天的库存总量：Inv(t) = Inv(t-1) - S(t) + 到货量(t)</w:t>
      </w:r>
    </w:p>
    <w:p w14:paraId="48B350C3">
      <w:pPr>
        <w:pStyle w:val="4"/>
        <w:spacing w:line="223" w:lineRule="auto"/>
      </w:pPr>
      <w:bookmarkStart w:id="7" w:name="mni7qk0yqosfnnonhl"/>
      <w:r>
        <w:rPr>
          <w:b/>
          <w:sz w:val="24"/>
        </w:rPr>
        <w:t>2.预警触发：断货点探测</w:t>
      </w:r>
      <w:bookmarkEnd w:id="7"/>
    </w:p>
    <w:p w14:paraId="10228D65">
      <w:r>
        <w:rPr>
          <w:b/>
        </w:rPr>
        <w:t>逻辑描述：</w:t>
      </w:r>
      <w:r>
        <w:t xml:space="preserve"> 系统从当前日期开始，逐日推算未来的库存走势，找到第一个 Inv(t) </w:t>
      </w:r>
      <w:r>
        <w:rPr>
          <w:sz w:val="20"/>
        </w:rPr>
        <w:t xml:space="preserve">≤ </w:t>
      </w:r>
      <w:r>
        <w:t>0 的日期，这个日期就是</w:t>
      </w:r>
      <w:r>
        <w:rPr>
          <w:b/>
        </w:rPr>
        <w:t>断货点T0</w:t>
      </w:r>
      <w:r>
        <w:t>。</w:t>
      </w:r>
    </w:p>
    <w:p w14:paraId="614B4169">
      <w:pPr>
        <w:numPr>
          <w:ilvl w:val="0"/>
          <w:numId w:val="5"/>
        </w:numPr>
      </w:pPr>
      <w:r>
        <w:rPr>
          <w:b/>
        </w:rPr>
        <w:t>计算公式：</w:t>
      </w:r>
      <w:r>
        <w:t xml:space="preserve"> 寻找最小的 t，</w:t>
      </w:r>
      <w:r>
        <w:drawing>
          <wp:inline distT="0" distB="0" distL="0" distR="0">
            <wp:extent cx="3091180" cy="346075"/>
            <wp:effectExtent l="0" t="0" r="0" b="0"/>
            <wp:docPr id="1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91339" cy="346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0CBFC">
      <w:pPr>
        <w:numPr>
          <w:ilvl w:val="0"/>
          <w:numId w:val="5"/>
        </w:numPr>
      </w:pPr>
      <w:r>
        <w:rPr>
          <w:b/>
        </w:rPr>
        <w:t>预警条件：</w:t>
      </w:r>
    </w:p>
    <w:p w14:paraId="624B1A4E">
      <w:pPr>
        <w:numPr>
          <w:ilvl w:val="1"/>
          <w:numId w:val="5"/>
        </w:numPr>
      </w:pPr>
      <w:r>
        <w:t xml:space="preserve">如果 快船总运输时间 </w:t>
      </w:r>
      <w:r>
        <w:rPr>
          <w:sz w:val="20"/>
        </w:rPr>
        <w:t>≤</w:t>
      </w:r>
      <w:r>
        <w:t>T0</w:t>
      </w:r>
      <w:r>
        <w:rPr>
          <w:sz w:val="20"/>
        </w:rPr>
        <w:t>≤</w:t>
      </w:r>
      <w:r>
        <w:t xml:space="preserve"> 普船总运输时间，则触发</w:t>
      </w:r>
      <w:r>
        <w:rPr>
          <w:b/>
        </w:rPr>
        <w:t>快船</w:t>
      </w:r>
      <w:r>
        <w:t>救火预警。</w:t>
      </w:r>
    </w:p>
    <w:p w14:paraId="53EA4AEF">
      <w:pPr>
        <w:numPr>
          <w:ilvl w:val="1"/>
          <w:numId w:val="5"/>
        </w:numPr>
      </w:pPr>
      <w:r>
        <w:t>如果 普船总运输时间</w:t>
      </w:r>
      <w:r>
        <w:rPr>
          <w:sz w:val="20"/>
        </w:rPr>
        <w:t>≤</w:t>
      </w:r>
      <w:r>
        <w:t>T0</w:t>
      </w:r>
      <w:r>
        <w:rPr>
          <w:sz w:val="20"/>
        </w:rPr>
        <w:t xml:space="preserve">≤ </w:t>
      </w:r>
      <w:r>
        <w:t>普船总运输时间 + 发货天数+安全库存天数，则触发</w:t>
      </w:r>
      <w:r>
        <w:rPr>
          <w:b/>
        </w:rPr>
        <w:t>普船</w:t>
      </w:r>
      <w:r>
        <w:t>补货预警。</w:t>
      </w:r>
    </w:p>
    <w:p w14:paraId="38BDE7B1">
      <w:pPr>
        <w:numPr>
          <w:ilvl w:val="1"/>
          <w:numId w:val="5"/>
        </w:numPr>
      </w:pPr>
      <w:r>
        <w:t>如果  T0</w:t>
      </w:r>
      <w:r>
        <w:rPr>
          <w:sz w:val="20"/>
        </w:rPr>
        <w:t>≤</w:t>
      </w:r>
      <w:r>
        <w:t xml:space="preserve"> 快船总运输时间，则触发</w:t>
      </w:r>
      <w:r>
        <w:rPr>
          <w:b/>
        </w:rPr>
        <w:t>必断货</w:t>
      </w:r>
      <w:r>
        <w:t>。按快船+普船方式同步走</w:t>
      </w:r>
    </w:p>
    <w:p w14:paraId="7A35C775">
      <w:r>
        <w:t xml:space="preserve">     补充说明：需要快船发货，或者普船的发货量 ≥预计日均销量*发货频率 *某比例（防止就个位数几双也触发补货预警）</w:t>
      </w:r>
    </w:p>
    <w:p w14:paraId="4DE4BB24"/>
    <w:p w14:paraId="60C8FD47">
      <w:pPr>
        <w:pStyle w:val="4"/>
        <w:spacing w:line="223" w:lineRule="auto"/>
      </w:pPr>
      <w:bookmarkStart w:id="8" w:name="mni97rqxvsuo3gipj3s"/>
      <w:r>
        <w:rPr>
          <w:b/>
          <w:sz w:val="24"/>
        </w:rPr>
        <w:t>3.时间序列下的发货量计算</w:t>
      </w:r>
      <w:bookmarkEnd w:id="8"/>
    </w:p>
    <w:p w14:paraId="0A49D6A9">
      <w:r>
        <w:t>3.1 快船发货量</w:t>
      </w:r>
    </w:p>
    <w:p w14:paraId="1C6B35C7">
      <w:r>
        <w:rPr>
          <w:b/>
        </w:rPr>
        <w:t>逻辑：</w:t>
      </w:r>
      <w:r>
        <w:t xml:space="preserve"> 当断货点 T0 出现在普船到货之前，快船只需要填补“从快船到货”到“普船到货”这段时间的缺口。</w:t>
      </w:r>
    </w:p>
    <w:p w14:paraId="208728A2">
      <w:pPr>
        <w:numPr>
          <w:ilvl w:val="0"/>
          <w:numId w:val="6"/>
        </w:numPr>
      </w:pPr>
      <w:r>
        <w:rPr>
          <w:b/>
        </w:rPr>
        <w:t>快船到货日</w:t>
      </w:r>
      <w:r>
        <w:drawing>
          <wp:inline distT="0" distB="0" distL="0" distR="0">
            <wp:extent cx="588645" cy="233680"/>
            <wp:effectExtent l="0" t="0" r="0" b="0"/>
            <wp:docPr id="2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8836" cy="233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= 当前日期 + 快船总运输时间</w:t>
      </w:r>
    </w:p>
    <w:p w14:paraId="50318F60">
      <w:pPr>
        <w:numPr>
          <w:ilvl w:val="0"/>
          <w:numId w:val="6"/>
        </w:numPr>
      </w:pPr>
      <w:r>
        <w:rPr>
          <w:b/>
        </w:rPr>
        <w:t>普船到货日</w:t>
      </w:r>
      <w:r>
        <w:t xml:space="preserve"> </w:t>
      </w:r>
      <w:r>
        <w:drawing>
          <wp:inline distT="0" distB="0" distL="0" distR="0">
            <wp:extent cx="406400" cy="250825"/>
            <wp:effectExtent l="0" t="0" r="0" b="0"/>
            <wp:docPr id="3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003" cy="25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= 当前日期 + 普船总运输时间</w:t>
      </w:r>
    </w:p>
    <w:p w14:paraId="3FF76BEF">
      <w:pPr>
        <w:numPr>
          <w:ilvl w:val="0"/>
          <w:numId w:val="6"/>
        </w:numPr>
      </w:pPr>
      <w:r>
        <w:rPr>
          <w:b/>
        </w:rPr>
        <w:t>计算公式：</w:t>
      </w:r>
      <w:r>
        <w:drawing>
          <wp:inline distT="0" distB="0" distL="0" distR="0">
            <wp:extent cx="3757930" cy="675005"/>
            <wp:effectExtent l="0" t="0" r="0" b="0"/>
            <wp:docPr id="4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8089" cy="675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BD9D4">
      <w:r>
        <w:t>即计算在普船到达前，快船到货后依然短缺的部分。如下图</w:t>
      </w:r>
    </w:p>
    <w:p w14:paraId="29B8B975">
      <w:r>
        <w:drawing>
          <wp:inline distT="0" distB="0" distL="0" distR="0">
            <wp:extent cx="7160895" cy="2978150"/>
            <wp:effectExtent l="0" t="0" r="0" b="0"/>
            <wp:docPr id="5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61086" cy="297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DAE3B">
      <w:r>
        <w:t>3.2 普船发货量</w:t>
      </w:r>
    </w:p>
    <w:p w14:paraId="4C255160">
      <w:r>
        <w:rPr>
          <w:b/>
        </w:rPr>
        <w:t>目标：</w:t>
      </w:r>
      <w:r>
        <w:t xml:space="preserve"> 这批货到达后，要能支撑接下来的“发货周期 + 安全库存天数”。</w:t>
      </w:r>
    </w:p>
    <w:p w14:paraId="17F688D4">
      <w:pPr>
        <w:numPr>
          <w:ilvl w:val="0"/>
          <w:numId w:val="7"/>
        </w:numPr>
      </w:pPr>
      <w:r>
        <w:rPr>
          <w:b/>
        </w:rPr>
        <w:t>到货日期：</w:t>
      </w:r>
      <w:r>
        <w:drawing>
          <wp:inline distT="0" distB="0" distL="0" distR="0">
            <wp:extent cx="605790" cy="241935"/>
            <wp:effectExtent l="0" t="0" r="0" b="0"/>
            <wp:docPr id="6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6171" cy="24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= 当前日期 + 普船总运输时间</w:t>
      </w:r>
    </w:p>
    <w:p w14:paraId="52438153">
      <w:pPr>
        <w:numPr>
          <w:ilvl w:val="0"/>
          <w:numId w:val="7"/>
        </w:numPr>
      </w:pPr>
      <w:r>
        <w:rPr>
          <w:b/>
        </w:rPr>
        <w:t>覆盖结束日期：</w:t>
      </w:r>
      <w:r>
        <w:t xml:space="preserve"> </w:t>
      </w:r>
      <w:r>
        <w:drawing>
          <wp:inline distT="0" distB="0" distL="0" distR="0">
            <wp:extent cx="415290" cy="233680"/>
            <wp:effectExtent l="0" t="0" r="0" b="0"/>
            <wp:docPr id="7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671" cy="233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= </w:t>
      </w:r>
      <w:r>
        <w:drawing>
          <wp:inline distT="0" distB="0" distL="0" distR="0">
            <wp:extent cx="596900" cy="224790"/>
            <wp:effectExtent l="0" t="0" r="0" b="0"/>
            <wp:docPr id="8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503" cy="225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+ 发货周期天数 + 安全库存天数</w:t>
      </w:r>
    </w:p>
    <w:p w14:paraId="37636789">
      <w:pPr>
        <w:numPr>
          <w:ilvl w:val="0"/>
          <w:numId w:val="7"/>
        </w:numPr>
      </w:pPr>
      <w:r>
        <w:rPr>
          <w:b/>
        </w:rPr>
        <w:t>计算公式：</w:t>
      </w:r>
    </w:p>
    <w:p w14:paraId="46829EF5">
      <w:pPr>
        <w:numPr>
          <w:ilvl w:val="0"/>
          <w:numId w:val="7"/>
        </w:numPr>
      </w:pPr>
      <w:r>
        <w:drawing>
          <wp:inline distT="0" distB="0" distL="0" distR="0">
            <wp:extent cx="4450715" cy="1281430"/>
            <wp:effectExtent l="0" t="0" r="0" b="0"/>
            <wp:docPr id="9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0747" cy="128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53ACC">
      <w:r>
        <w:t>3.3必断货情况</w:t>
      </w:r>
    </w:p>
    <w:p w14:paraId="3D8B9CEF">
      <w:r>
        <w:drawing>
          <wp:inline distT="0" distB="0" distL="0" distR="0">
            <wp:extent cx="7827645" cy="3143250"/>
            <wp:effectExtent l="0" t="0" r="0" b="0"/>
            <wp:docPr id="10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827836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A1022">
      <w:r>
        <w:rPr>
          <w:b/>
        </w:rPr>
        <w:t>4.三种预警状态</w:t>
      </w:r>
    </w:p>
    <w:tbl>
      <w:tblPr>
        <w:tblStyle w:val="6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5"/>
        <w:gridCol w:w="2415"/>
        <w:gridCol w:w="2415"/>
        <w:gridCol w:w="2415"/>
      </w:tblGrid>
      <w:tr w14:paraId="6C16E06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</w:trPr>
        <w:tc>
          <w:tcPr>
            <w:tcW w:w="2415" w:type="dxa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vAlign w:val="top"/>
          </w:tcPr>
          <w:p w14:paraId="0FECCA10">
            <w:r>
              <w:rPr>
                <w:b/>
                <w:color w:val="1F1F1F"/>
                <w:sz w:val="24"/>
              </w:rPr>
              <w:t>场景</w:t>
            </w:r>
          </w:p>
        </w:tc>
        <w:tc>
          <w:tcPr>
            <w:tcW w:w="2415" w:type="dxa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vAlign w:val="top"/>
          </w:tcPr>
          <w:p w14:paraId="7AF38170">
            <w:r>
              <w:rPr>
                <w:b/>
                <w:color w:val="1F1F1F"/>
                <w:sz w:val="24"/>
              </w:rPr>
              <w:t>断货点位置</w:t>
            </w:r>
          </w:p>
        </w:tc>
        <w:tc>
          <w:tcPr>
            <w:tcW w:w="2415" w:type="dxa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vAlign w:val="top"/>
          </w:tcPr>
          <w:p w14:paraId="59E78BAB">
            <w:r>
              <w:rPr>
                <w:b/>
                <w:color w:val="1F1F1F"/>
                <w:sz w:val="24"/>
              </w:rPr>
              <w:t>逻辑处理</w:t>
            </w:r>
          </w:p>
        </w:tc>
        <w:tc>
          <w:tcPr>
            <w:tcW w:w="2415" w:type="dxa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vAlign w:val="top"/>
          </w:tcPr>
          <w:p w14:paraId="50628509">
            <w:r>
              <w:rPr>
                <w:b/>
                <w:color w:val="1F1F1F"/>
                <w:sz w:val="24"/>
              </w:rPr>
              <w:t>预警状态</w:t>
            </w:r>
          </w:p>
        </w:tc>
      </w:tr>
      <w:tr w14:paraId="1B008E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</w:trPr>
        <w:tc>
          <w:tcPr>
            <w:tcW w:w="2415" w:type="dxa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vAlign w:val="top"/>
          </w:tcPr>
          <w:p w14:paraId="6C295266">
            <w:r>
              <w:rPr>
                <w:b/>
                <w:color w:val="1F1F1F"/>
                <w:sz w:val="24"/>
              </w:rPr>
              <w:t>常规普船</w:t>
            </w:r>
          </w:p>
        </w:tc>
        <w:tc>
          <w:tcPr>
            <w:tcW w:w="2415" w:type="dxa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vAlign w:val="top"/>
          </w:tcPr>
          <w:p w14:paraId="00D07613">
            <w:r>
              <w:rPr>
                <w:color w:val="1F1F1F"/>
                <w:sz w:val="24"/>
              </w:rPr>
              <w:t>断货点在普船到货后</w:t>
            </w:r>
          </w:p>
        </w:tc>
        <w:tc>
          <w:tcPr>
            <w:tcW w:w="2415" w:type="dxa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vAlign w:val="top"/>
          </w:tcPr>
          <w:p w14:paraId="5560D4C0">
            <w:r>
              <w:rPr>
                <w:color w:val="1F1F1F"/>
                <w:sz w:val="24"/>
              </w:rPr>
              <w:t>持续通过普船补货，维持正常库存。</w:t>
            </w:r>
          </w:p>
        </w:tc>
        <w:tc>
          <w:tcPr>
            <w:tcW w:w="2415" w:type="dxa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vAlign w:val="top"/>
          </w:tcPr>
          <w:p w14:paraId="3EA8450C">
            <w:r>
              <w:rPr>
                <w:b/>
                <w:color w:val="1F1F1F"/>
                <w:sz w:val="24"/>
              </w:rPr>
              <w:t>黄色预警预警</w:t>
            </w:r>
          </w:p>
        </w:tc>
      </w:tr>
      <w:tr w14:paraId="513AF7A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9" w:hRule="atLeast"/>
        </w:trPr>
        <w:tc>
          <w:tcPr>
            <w:tcW w:w="2415" w:type="dxa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vAlign w:val="top"/>
          </w:tcPr>
          <w:p w14:paraId="2679FB7C">
            <w:r>
              <w:rPr>
                <w:b/>
                <w:color w:val="1F1F1F"/>
                <w:sz w:val="24"/>
              </w:rPr>
              <w:t>快船救火</w:t>
            </w:r>
          </w:p>
        </w:tc>
        <w:tc>
          <w:tcPr>
            <w:tcW w:w="2415" w:type="dxa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vAlign w:val="top"/>
          </w:tcPr>
          <w:p w14:paraId="57BA3F84">
            <w:r>
              <w:rPr>
                <w:b/>
                <w:color w:val="1F1F1F"/>
                <w:sz w:val="24"/>
              </w:rPr>
              <w:t>断货点在快船到货后，普船到货前</w:t>
            </w:r>
          </w:p>
        </w:tc>
        <w:tc>
          <w:tcPr>
            <w:tcW w:w="2415" w:type="dxa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vAlign w:val="top"/>
          </w:tcPr>
          <w:p w14:paraId="6A756C12">
            <w:r>
              <w:rPr>
                <w:color w:val="1F1F1F"/>
                <w:sz w:val="24"/>
              </w:rPr>
              <w:t>普船已来不及，需立刻触发</w:t>
            </w:r>
            <w:r>
              <w:rPr>
                <w:b/>
                <w:color w:val="1F1F1F"/>
                <w:sz w:val="24"/>
              </w:rPr>
              <w:t>快船</w:t>
            </w:r>
            <w:r>
              <w:rPr>
                <w:color w:val="1F1F1F"/>
                <w:sz w:val="24"/>
              </w:rPr>
              <w:t>补货。</w:t>
            </w:r>
          </w:p>
        </w:tc>
        <w:tc>
          <w:tcPr>
            <w:tcW w:w="2415" w:type="dxa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vAlign w:val="top"/>
          </w:tcPr>
          <w:p w14:paraId="50905C4E">
            <w:r>
              <w:rPr>
                <w:color w:val="1F1F1F"/>
                <w:sz w:val="24"/>
              </w:rPr>
              <w:t>橙色预警：启动快船+慢船</w:t>
            </w:r>
          </w:p>
        </w:tc>
      </w:tr>
      <w:tr w14:paraId="272C700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</w:trPr>
        <w:tc>
          <w:tcPr>
            <w:tcW w:w="2415" w:type="dxa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vAlign w:val="top"/>
          </w:tcPr>
          <w:p w14:paraId="1E156EFB">
            <w:r>
              <w:rPr>
                <w:b/>
                <w:color w:val="1F1F1F"/>
                <w:sz w:val="24"/>
              </w:rPr>
              <w:t>必断货</w:t>
            </w:r>
          </w:p>
        </w:tc>
        <w:tc>
          <w:tcPr>
            <w:tcW w:w="2415" w:type="dxa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vAlign w:val="top"/>
          </w:tcPr>
          <w:p w14:paraId="125647CB">
            <w:r>
              <w:rPr>
                <w:b/>
                <w:color w:val="1F1F1F"/>
                <w:sz w:val="24"/>
              </w:rPr>
              <w:t>断货点在快船到货前</w:t>
            </w:r>
          </w:p>
        </w:tc>
        <w:tc>
          <w:tcPr>
            <w:tcW w:w="2415" w:type="dxa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vAlign w:val="top"/>
          </w:tcPr>
          <w:p w14:paraId="6C1D191E">
            <w:r>
              <w:rPr>
                <w:color w:val="1F1F1F"/>
                <w:sz w:val="24"/>
              </w:rPr>
              <w:t>快船也救不了，库存会归零。</w:t>
            </w:r>
          </w:p>
        </w:tc>
        <w:tc>
          <w:tcPr>
            <w:tcW w:w="2415" w:type="dxa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vAlign w:val="top"/>
          </w:tcPr>
          <w:p w14:paraId="70769ADD">
            <w:r>
              <w:rPr>
                <w:b/>
                <w:color w:val="1F1F1F"/>
                <w:sz w:val="24"/>
              </w:rPr>
              <w:t>红色预警：必断货，快船+慢船结合</w:t>
            </w:r>
          </w:p>
        </w:tc>
      </w:tr>
    </w:tbl>
    <w:p w14:paraId="5CE7E2B8">
      <w:pPr>
        <w:jc w:val="left"/>
      </w:pPr>
      <w:r>
        <w:t>三、本地库龄预警</w:t>
      </w:r>
    </w:p>
    <w:p w14:paraId="632B2F58">
      <w:pPr>
        <w:jc w:val="left"/>
      </w:pPr>
      <w:r>
        <w:t>四、FBA库龄预警</w:t>
      </w:r>
    </w:p>
    <w:sectPr>
      <w:pgSz w:w="16905" w:h="23820"/>
      <w:pgMar w:top="720" w:right="1080" w:bottom="720" w:left="1080" w:header="850" w:footer="99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420" w:hanging="420"/>
      </w:pPr>
    </w:lvl>
    <w:lvl w:ilvl="1" w:tentative="0">
      <w:start w:val="1"/>
      <w:numFmt w:val="bullet"/>
      <w:lvlText w:val="○"/>
      <w:lvlJc w:val="left"/>
      <w:pPr>
        <w:ind w:left="840" w:hanging="420"/>
      </w:pPr>
    </w:lvl>
  </w:abstractNum>
  <w:abstractNum w:abstractNumId="1">
    <w:nsid w:val="BF205925"/>
    <w:multiLevelType w:val="singleLevel"/>
    <w:tmpl w:val="BF205925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2">
    <w:nsid w:val="CF092B84"/>
    <w:multiLevelType w:val="singleLevel"/>
    <w:tmpl w:val="CF092B84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3">
    <w:nsid w:val="0053208E"/>
    <w:multiLevelType w:val="singleLevel"/>
    <w:tmpl w:val="0053208E"/>
    <w:lvl w:ilvl="0" w:tentative="0">
      <w:start w:val="1"/>
      <w:numFmt w:val="decimal"/>
      <w:lvlText w:val="%1"/>
      <w:lvlJc w:val="left"/>
      <w:pPr>
        <w:ind w:left="420" w:hanging="420"/>
      </w:pPr>
    </w:lvl>
  </w:abstractNum>
  <w:abstractNum w:abstractNumId="4">
    <w:nsid w:val="03D62ECE"/>
    <w:multiLevelType w:val="singleLevel"/>
    <w:tmpl w:val="03D62ECE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5">
    <w:nsid w:val="25B654F3"/>
    <w:multiLevelType w:val="singleLevel"/>
    <w:tmpl w:val="25B654F3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6">
    <w:nsid w:val="59ADCABA"/>
    <w:multiLevelType w:val="singleLevel"/>
    <w:tmpl w:val="59ADCABA"/>
    <w:lvl w:ilvl="0" w:tentative="0">
      <w:start w:val="1"/>
      <w:numFmt w:val="bullet"/>
      <w:lvlText w:val="●"/>
      <w:lvlJc w:val="left"/>
      <w:pPr>
        <w:ind w:left="420" w:hanging="420"/>
      </w:p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625E79D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nhideWhenUsed="0" w:uiPriority="0" w:semiHidden="0" w:name="heading 4"/>
    <w:lsdException w:qFormat="1" w:uiPriority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</w:rPr>
  </w:style>
  <w:style w:type="paragraph" w:styleId="2">
    <w:name w:val="heading 1"/>
    <w:qFormat/>
    <w:uiPriority w:val="0"/>
    <w:pPr>
      <w:keepNext/>
      <w:keepLines/>
      <w:spacing w:before="348" w:after="210"/>
    </w:pPr>
    <w:rPr>
      <w:rFonts w:asciiTheme="minorHAnsi" w:hAnsiTheme="minorHAnsi" w:eastAsiaTheme="minorEastAsia" w:cstheme="minorBidi"/>
      <w:b/>
      <w:kern w:val="2"/>
      <w:sz w:val="34"/>
    </w:rPr>
  </w:style>
  <w:style w:type="paragraph" w:styleId="3">
    <w:name w:val="heading 4"/>
    <w:qFormat/>
    <w:uiPriority w:val="0"/>
    <w:pPr>
      <w:keepNext/>
      <w:keepLines/>
      <w:spacing w:before="348" w:after="150"/>
    </w:pPr>
    <w:rPr>
      <w:rFonts w:asciiTheme="minorHAnsi" w:hAnsiTheme="minorHAnsi" w:eastAsiaTheme="minorEastAsia" w:cstheme="minorBidi"/>
      <w:b/>
      <w:kern w:val="2"/>
      <w:sz w:val="16"/>
    </w:rPr>
  </w:style>
  <w:style w:type="paragraph" w:styleId="4">
    <w:name w:val="heading 6"/>
    <w:uiPriority w:val="0"/>
    <w:pPr>
      <w:keepNext/>
      <w:keepLines/>
      <w:spacing w:before="348" w:after="110"/>
    </w:pPr>
    <w:rPr>
      <w:rFonts w:asciiTheme="minorHAnsi" w:hAnsiTheme="minorHAnsi" w:eastAsiaTheme="minorEastAsia" w:cstheme="minorBidi"/>
      <w:b/>
      <w:kern w:val="2"/>
      <w:sz w:val="4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qFormat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</w:style>
  <w:style w:type="paragraph" w:customStyle="1" w:styleId="8">
    <w:name w:val="dingdocnormal"/>
    <w:qFormat/>
    <w:uiPriority w:val="0"/>
    <w:rPr>
      <w:rFonts w:asciiTheme="minorHAnsi" w:hAnsiTheme="minorHAnsi" w:eastAsiaTheme="minorEastAsia" w:cstheme="minorBidi"/>
      <w:kern w:val="2"/>
      <w:sz w:val="24"/>
    </w:rPr>
  </w:style>
  <w:style w:type="table" w:customStyle="1" w:styleId="9">
    <w:name w:val="_Style 5"/>
    <w:qFormat/>
    <w:uiPriority w:val="0"/>
    <w:tblPr>
      <w:tblBorders>
        <w:top w:val="single" w:color="D6D6D6" w:sz="6" w:space="0"/>
        <w:left w:val="single" w:color="D6D6D6" w:sz="6" w:space="0"/>
        <w:bottom w:val="single" w:color="D6D6D6" w:sz="6" w:space="0"/>
        <w:right w:val="single" w:color="D6D6D6" w:sz="6" w:space="0"/>
        <w:insideH w:val="single" w:color="D6D6D6" w:sz="6" w:space="0"/>
        <w:insideV w:val="single" w:color="D6D6D6" w:sz="6" w:space="0"/>
      </w:tblBorders>
    </w:tblPr>
  </w:style>
  <w:style w:type="table" w:customStyle="1" w:styleId="10">
    <w:name w:val="_Style 6"/>
    <w:basedOn w:val="9"/>
    <w:uiPriority w:val="0"/>
    <w:tblStylePr w:type="firstRow">
      <w:tcPr>
        <w:shd w:val="clear" w:color="auto" w:fill="F5F6F7"/>
      </w:tcPr>
    </w:tblStylePr>
    <w:tblStylePr w:type="firstCol">
      <w:tcPr>
        <w:shd w:val="clear" w:color="auto" w:fill="F5F6F7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2177</Words>
  <Characters>2281</Characters>
  <TotalTime>12</TotalTime>
  <ScaleCrop>false</ScaleCrop>
  <LinksUpToDate>false</LinksUpToDate>
  <CharactersWithSpaces>2377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dc:description>DingTalk Document</dc:description>
  <cp:lastModifiedBy>Wimp</cp:lastModifiedBy>
  <dcterms:modified xsi:type="dcterms:W3CDTF">2026-04-03T06:47:32Z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eyJoZGlkIjoiOTY5NDliNWY5ZmIxMmZlMDY3ZjMzNDUwYzJmZmIxMzkiLCJ1c2VySWQiOiI2OTQxOTQ0MjkifQ==</vt:lpwstr>
  </property>
  <property fmtid="{D5CDD505-2E9C-101B-9397-08002B2CF9AE}" pid="3" name="KSOProductBuildVer">
    <vt:lpwstr>2052-12.1.0.25225</vt:lpwstr>
  </property>
  <property fmtid="{D5CDD505-2E9C-101B-9397-08002B2CF9AE}" pid="4" name="ICV">
    <vt:lpwstr>F98C6638C19545A4B1BEEE6FC600AC6A_12</vt:lpwstr>
  </property>
</Properties>
</file>