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ECDB" w14:textId="77777777" w:rsidR="00FD4D8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0F746BA" w14:textId="77777777" w:rsidR="00FD4D8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1 </w:t>
      </w:r>
    </w:p>
    <w:p w14:paraId="09613E1E" w14:textId="77777777" w:rsidR="00FD4D8E" w:rsidRDefault="00FD4D8E">
      <w:pPr>
        <w:jc w:val="center"/>
        <w:rPr>
          <w:b/>
          <w:bCs/>
          <w:sz w:val="34"/>
          <w:szCs w:val="34"/>
        </w:rPr>
      </w:pPr>
    </w:p>
    <w:p w14:paraId="7298B1A1" w14:textId="77777777" w:rsidR="00FD4D8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CSA51        COURSE NAME: Cryptography and Network Security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6E3582F" w14:textId="77777777" w:rsidR="00FD4D8E" w:rsidRDefault="00FD4D8E">
      <w:pPr>
        <w:rPr>
          <w:b/>
          <w:bCs/>
          <w:sz w:val="24"/>
          <w:szCs w:val="24"/>
        </w:rPr>
      </w:pPr>
    </w:p>
    <w:p w14:paraId="3ABAF617" w14:textId="77777777" w:rsidR="00FD4D8E" w:rsidRDefault="00000000">
      <w:pPr>
        <w:rPr>
          <w:b/>
          <w:bCs/>
          <w:sz w:val="24"/>
          <w:szCs w:val="24"/>
        </w:rPr>
      </w:pPr>
      <w:r>
        <w:pict w14:anchorId="71B615DC">
          <v:rect id="_x0000_i1025" style="width:0;height:1.5pt" o:hralign="center" o:hrstd="t" o:hr="t" fillcolor="#a0a0a0" stroked="f"/>
        </w:pict>
      </w:r>
    </w:p>
    <w:p w14:paraId="317FA33A" w14:textId="77777777" w:rsidR="00FD4D8E" w:rsidRDefault="00FD4D8E">
      <w:pPr>
        <w:rPr>
          <w:b/>
          <w:bCs/>
          <w:sz w:val="24"/>
          <w:szCs w:val="24"/>
        </w:rPr>
      </w:pPr>
    </w:p>
    <w:p w14:paraId="08A5BDDE" w14:textId="77777777" w:rsidR="00FD4D8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971A04C" w14:textId="77777777" w:rsidR="00FD4D8E" w:rsidRDefault="00FD4D8E">
      <w:pPr>
        <w:rPr>
          <w:b/>
          <w:bCs/>
          <w:sz w:val="24"/>
          <w:szCs w:val="24"/>
        </w:rPr>
      </w:pPr>
    </w:p>
    <w:p w14:paraId="771F7BB7" w14:textId="77777777" w:rsidR="00FD4D8E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the network security strategies based on the study of viruses, worms, firewall architectures, and IDS/IPS functionalities.CO </w:t>
      </w:r>
      <w:r>
        <w:rPr>
          <w:sz w:val="24"/>
          <w:szCs w:val="24"/>
        </w:rPr>
        <w:t>(BL5, BL6)</w:t>
      </w:r>
    </w:p>
    <w:p w14:paraId="0DDA2234" w14:textId="77777777" w:rsidR="00FD4D8E" w:rsidRDefault="00FD4D8E">
      <w:pPr>
        <w:rPr>
          <w:sz w:val="24"/>
          <w:szCs w:val="24"/>
        </w:rPr>
      </w:pPr>
    </w:p>
    <w:p w14:paraId="045EEF26" w14:textId="77777777" w:rsidR="00FD4D8E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49093881" w14:textId="77777777" w:rsidR="00FD4D8E" w:rsidRDefault="00FD4D8E">
      <w:pPr>
        <w:rPr>
          <w:sz w:val="24"/>
          <w:szCs w:val="24"/>
        </w:rPr>
      </w:pPr>
    </w:p>
    <w:p w14:paraId="01C99372" w14:textId="77777777" w:rsidR="00FD4D8E" w:rsidRDefault="00000000">
      <w:pPr>
        <w:rPr>
          <w:sz w:val="24"/>
          <w:szCs w:val="24"/>
        </w:rPr>
      </w:pPr>
      <w:r>
        <w:pict w14:anchorId="1B57FCBC">
          <v:rect id="_x0000_i1026" style="width:0;height:1.5pt" o:hralign="center" o:hrstd="t" o:hr="t" fillcolor="#a0a0a0" stroked="f"/>
        </w:pict>
      </w:r>
    </w:p>
    <w:p w14:paraId="2D2A2314" w14:textId="77777777" w:rsidR="00FD4D8E" w:rsidRDefault="00FD4D8E">
      <w:pPr>
        <w:rPr>
          <w:sz w:val="24"/>
          <w:szCs w:val="24"/>
        </w:rPr>
      </w:pPr>
    </w:p>
    <w:p w14:paraId="4490859E" w14:textId="77777777" w:rsidR="00FD4D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7762D696" w14:textId="77777777" w:rsidR="00FD4D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25CF30AE" w14:textId="77777777" w:rsidR="00FD4D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CONSTRAINT-BASED PROBLEM SOLVING</w:t>
      </w:r>
    </w:p>
    <w:p w14:paraId="188B442D" w14:textId="77777777" w:rsidR="00FD4D8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C33855" w14:textId="77777777" w:rsidR="00FD4D8E" w:rsidRDefault="00FD4D8E">
      <w:pPr>
        <w:rPr>
          <w:b/>
          <w:bCs/>
          <w:sz w:val="24"/>
          <w:szCs w:val="24"/>
        </w:rPr>
      </w:pPr>
    </w:p>
    <w:p w14:paraId="2954E162" w14:textId="77777777" w:rsidR="00FD4D8E" w:rsidRDefault="00000000">
      <w:pPr>
        <w:rPr>
          <w:b/>
          <w:bCs/>
          <w:sz w:val="24"/>
          <w:szCs w:val="24"/>
        </w:rPr>
      </w:pPr>
      <w:r>
        <w:pict w14:anchorId="739AA9AE">
          <v:rect id="_x0000_i1027" style="width:0;height:1.5pt" o:hralign="center" o:hrstd="t" o:hr="t" fillcolor="#a0a0a0" stroked="f"/>
        </w:pict>
      </w:r>
    </w:p>
    <w:p w14:paraId="38573189" w14:textId="77777777" w:rsidR="00FD4D8E" w:rsidRDefault="00FD4D8E">
      <w:pPr>
        <w:rPr>
          <w:b/>
          <w:bCs/>
          <w:sz w:val="24"/>
          <w:szCs w:val="24"/>
        </w:rPr>
      </w:pPr>
    </w:p>
    <w:p w14:paraId="041432CF" w14:textId="77777777" w:rsidR="00FD4D8E" w:rsidRDefault="00FD4D8E">
      <w:pPr>
        <w:rPr>
          <w:b/>
          <w:bCs/>
          <w:i/>
          <w:iCs/>
          <w:sz w:val="24"/>
          <w:szCs w:val="24"/>
        </w:rPr>
      </w:pPr>
    </w:p>
    <w:p w14:paraId="15EDE11B" w14:textId="77777777" w:rsidR="00FD4D8E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1E17B3C" w14:textId="77777777" w:rsidR="00FD4D8E" w:rsidRDefault="00FD4D8E">
      <w:pPr>
        <w:rPr>
          <w:i/>
          <w:iCs/>
          <w:sz w:val="24"/>
          <w:szCs w:val="24"/>
        </w:rPr>
      </w:pPr>
    </w:p>
    <w:p w14:paraId="22419001" w14:textId="51DBF201" w:rsidR="00FD4D8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147EE" w:rsidRPr="00A147EE">
        <w:rPr>
          <w:i/>
          <w:iCs/>
          <w:sz w:val="24"/>
          <w:szCs w:val="24"/>
        </w:rPr>
        <w:t>HAYAGRIVA R.A(192521006)</w:t>
      </w:r>
      <w:r w:rsidR="00A147EE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483E3CB9" w14:textId="77777777" w:rsidR="00FD4D8E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6AC4E31" w14:textId="77777777" w:rsidR="00FD4D8E" w:rsidRDefault="00FD4D8E">
      <w:pPr>
        <w:rPr>
          <w:i/>
          <w:iCs/>
          <w:sz w:val="24"/>
          <w:szCs w:val="24"/>
        </w:rPr>
      </w:pPr>
    </w:p>
    <w:p w14:paraId="1F67F7E6" w14:textId="07CF4037" w:rsidR="00FD4D8E" w:rsidRDefault="00000000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AF7F20">
        <w:rPr>
          <w:b/>
          <w:bCs/>
          <w:i/>
          <w:iCs/>
          <w:sz w:val="24"/>
          <w:szCs w:val="24"/>
        </w:rPr>
        <w:t xml:space="preserve"> </w:t>
      </w:r>
      <w:r w:rsidR="00A147EE" w:rsidRPr="00A147EE">
        <w:rPr>
          <w:b/>
          <w:bCs/>
          <w:i/>
          <w:iCs/>
          <w:sz w:val="24"/>
          <w:szCs w:val="24"/>
        </w:rPr>
        <w:t>HAYAGRIVA R.A</w:t>
      </w:r>
    </w:p>
    <w:p w14:paraId="729DF936" w14:textId="77777777" w:rsidR="00FD4D8E" w:rsidRDefault="00FD4D8E">
      <w:pPr>
        <w:rPr>
          <w:sz w:val="24"/>
          <w:szCs w:val="24"/>
        </w:rPr>
      </w:pPr>
    </w:p>
    <w:p w14:paraId="316E7179" w14:textId="77777777" w:rsidR="00FD4D8E" w:rsidRDefault="00FD4D8E">
      <w:pPr>
        <w:rPr>
          <w:sz w:val="24"/>
          <w:szCs w:val="24"/>
        </w:rPr>
      </w:pPr>
    </w:p>
    <w:p w14:paraId="7503F550" w14:textId="77777777" w:rsidR="00FD4D8E" w:rsidRDefault="00FD4D8E">
      <w:pPr>
        <w:rPr>
          <w:sz w:val="24"/>
          <w:szCs w:val="24"/>
        </w:rPr>
      </w:pPr>
    </w:p>
    <w:p w14:paraId="33E6ED68" w14:textId="77777777" w:rsidR="00FD4D8E" w:rsidRDefault="00FD4D8E">
      <w:pPr>
        <w:rPr>
          <w:sz w:val="24"/>
          <w:szCs w:val="24"/>
        </w:rPr>
      </w:pPr>
    </w:p>
    <w:p w14:paraId="3D2E85A0" w14:textId="77777777" w:rsidR="00FD4D8E" w:rsidRDefault="00FD4D8E">
      <w:pPr>
        <w:rPr>
          <w:sz w:val="24"/>
          <w:szCs w:val="24"/>
        </w:rPr>
      </w:pPr>
    </w:p>
    <w:p w14:paraId="3CC9129B" w14:textId="77777777" w:rsidR="00FD4D8E" w:rsidRDefault="00FD4D8E">
      <w:pPr>
        <w:rPr>
          <w:sz w:val="24"/>
          <w:szCs w:val="24"/>
        </w:rPr>
      </w:pPr>
    </w:p>
    <w:p w14:paraId="08DBA917" w14:textId="77777777" w:rsidR="00FD4D8E" w:rsidRDefault="00FD4D8E">
      <w:pPr>
        <w:rPr>
          <w:sz w:val="24"/>
          <w:szCs w:val="24"/>
        </w:rPr>
      </w:pPr>
    </w:p>
    <w:p w14:paraId="6DF29698" w14:textId="77777777" w:rsidR="00FD4D8E" w:rsidRDefault="00FD4D8E">
      <w:pPr>
        <w:rPr>
          <w:sz w:val="24"/>
          <w:szCs w:val="24"/>
        </w:rPr>
      </w:pPr>
    </w:p>
    <w:p w14:paraId="0E882AC0" w14:textId="77777777" w:rsidR="00FD4D8E" w:rsidRDefault="00FD4D8E">
      <w:pPr>
        <w:rPr>
          <w:sz w:val="24"/>
          <w:szCs w:val="24"/>
        </w:rPr>
      </w:pPr>
    </w:p>
    <w:p w14:paraId="18DCC006" w14:textId="77777777" w:rsidR="00FD4D8E" w:rsidRDefault="00FD4D8E">
      <w:pPr>
        <w:jc w:val="center"/>
        <w:rPr>
          <w:b/>
          <w:bCs/>
          <w:sz w:val="24"/>
          <w:szCs w:val="24"/>
        </w:rPr>
      </w:pPr>
    </w:p>
    <w:p w14:paraId="67BF6977" w14:textId="77777777" w:rsidR="00FD4D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353DD86B" w14:textId="77777777" w:rsidR="00FD4D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CONSTRAINT-BASED PROBLEM SOLVING</w:t>
      </w:r>
    </w:p>
    <w:p w14:paraId="39014E6C" w14:textId="77777777" w:rsidR="00FD4D8E" w:rsidRDefault="00FD4D8E" w:rsidP="00AF7F20">
      <w:pPr>
        <w:spacing w:before="240" w:after="240" w:line="360" w:lineRule="auto"/>
        <w:rPr>
          <w:sz w:val="24"/>
          <w:szCs w:val="24"/>
        </w:rPr>
      </w:pPr>
    </w:p>
    <w:p w14:paraId="022A6406" w14:textId="25F896D9" w:rsidR="00FD4D8E" w:rsidRDefault="00AF7F20" w:rsidP="00AF7F20">
      <w:pPr>
        <w:spacing w:before="240"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1. An e-commerce platform is considering implementing the SET protocol for payment security but currently uses TLS-based encryption.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and propose a decision.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Constraints:</w:t>
      </w:r>
    </w:p>
    <w:p w14:paraId="2F4BFC0B" w14:textId="77777777" w:rsidR="00FD4D8E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Must support high transaction throughput (10,000 transactions/minute)</w:t>
      </w:r>
    </w:p>
    <w:p w14:paraId="1110FEE1" w14:textId="77777777" w:rsidR="00FD4D8E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Compatibility with modern browsers is required</w:t>
      </w:r>
    </w:p>
    <w:p w14:paraId="540EAFCA" w14:textId="77777777" w:rsidR="00FD4D8E" w:rsidRDefault="00000000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Implementation complexity should be minimized</w:t>
      </w:r>
    </w:p>
    <w:p w14:paraId="527ABF1C" w14:textId="77777777" w:rsidR="00FD4D8E" w:rsidRDefault="00000000">
      <w:pPr>
        <w:numPr>
          <w:ilvl w:val="0"/>
          <w:numId w:val="8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Regulatory compliance (PCI-DSS) must be ensured</w:t>
      </w:r>
    </w:p>
    <w:p w14:paraId="4A9BE1F8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SET Protocol vs TLS for E-commerce Payment Security</w:t>
      </w:r>
    </w:p>
    <w:p w14:paraId="5938C846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1: Understand What SET and TLS Actually Are</w:t>
      </w:r>
    </w:p>
    <w:p w14:paraId="726815D2" w14:textId="77777777" w:rsidR="00AF7F20" w:rsidRPr="00AF7F20" w:rsidRDefault="00AF7F20" w:rsidP="00AF7F20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SET (Secure Electronic Transaction)</w:t>
      </w:r>
      <w:r w:rsidRPr="00AF7F20">
        <w:rPr>
          <w:sz w:val="24"/>
          <w:szCs w:val="24"/>
          <w:lang w:val="en-US"/>
        </w:rPr>
        <w:t xml:space="preserve"> — a protocol jointly developed by Visa/Mastercard in the 1990s specifically for card payment security. It uses </w:t>
      </w:r>
      <w:r w:rsidRPr="00AF7F20">
        <w:rPr>
          <w:b/>
          <w:bCs/>
          <w:sz w:val="24"/>
          <w:szCs w:val="24"/>
          <w:lang w:val="en-US"/>
        </w:rPr>
        <w:t>dual signatures</w:t>
      </w:r>
      <w:r w:rsidRPr="00AF7F20">
        <w:rPr>
          <w:sz w:val="24"/>
          <w:szCs w:val="24"/>
          <w:lang w:val="en-US"/>
        </w:rPr>
        <w:t xml:space="preserve"> so the merchant sees order info but not card details, and the bank sees payment info but not order details. Requires a </w:t>
      </w:r>
      <w:r w:rsidRPr="00AF7F20">
        <w:rPr>
          <w:b/>
          <w:bCs/>
          <w:sz w:val="24"/>
          <w:szCs w:val="24"/>
          <w:lang w:val="en-US"/>
        </w:rPr>
        <w:t>digital certificate for every participant</w:t>
      </w:r>
      <w:r w:rsidRPr="00AF7F20">
        <w:rPr>
          <w:sz w:val="24"/>
          <w:szCs w:val="24"/>
          <w:lang w:val="en-US"/>
        </w:rPr>
        <w:t xml:space="preserve"> — cardholder, merchant, and acquiring bank.</w:t>
      </w:r>
    </w:p>
    <w:p w14:paraId="1E1A04D0" w14:textId="77777777" w:rsidR="00AF7F20" w:rsidRPr="00AF7F20" w:rsidRDefault="00AF7F20" w:rsidP="00AF7F20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TLS (Transport Layer Security)</w:t>
      </w:r>
      <w:r w:rsidRPr="00AF7F20">
        <w:rPr>
          <w:sz w:val="24"/>
          <w:szCs w:val="24"/>
          <w:lang w:val="en-US"/>
        </w:rPr>
        <w:t xml:space="preserve"> — a general-purpose secure transport protocol securing the </w:t>
      </w:r>
      <w:r w:rsidRPr="00AF7F20">
        <w:rPr>
          <w:i/>
          <w:iCs/>
          <w:sz w:val="24"/>
          <w:szCs w:val="24"/>
          <w:lang w:val="en-US"/>
        </w:rPr>
        <w:t>channel</w:t>
      </w:r>
      <w:r w:rsidRPr="00AF7F20">
        <w:rPr>
          <w:sz w:val="24"/>
          <w:szCs w:val="24"/>
          <w:lang w:val="en-US"/>
        </w:rPr>
        <w:t xml:space="preserve"> between browser and server (used with HTTPS). Payment card data protection today relies on TLS for transport plus </w:t>
      </w:r>
      <w:r w:rsidRPr="00AF7F20">
        <w:rPr>
          <w:b/>
          <w:bCs/>
          <w:sz w:val="24"/>
          <w:szCs w:val="24"/>
          <w:lang w:val="en-US"/>
        </w:rPr>
        <w:t>tokenization</w:t>
      </w:r>
      <w:r w:rsidRPr="00AF7F20">
        <w:rPr>
          <w:sz w:val="24"/>
          <w:szCs w:val="24"/>
          <w:lang w:val="en-US"/>
        </w:rPr>
        <w:t xml:space="preserve"> and </w:t>
      </w:r>
      <w:r w:rsidRPr="00AF7F20">
        <w:rPr>
          <w:b/>
          <w:bCs/>
          <w:sz w:val="24"/>
          <w:szCs w:val="24"/>
          <w:lang w:val="en-US"/>
        </w:rPr>
        <w:t>PCI-DSS controls</w:t>
      </w:r>
      <w:r w:rsidRPr="00AF7F20">
        <w:rPr>
          <w:sz w:val="24"/>
          <w:szCs w:val="24"/>
          <w:lang w:val="en-US"/>
        </w:rPr>
        <w:t xml:space="preserve"> at the application/infrastructure layer.</w:t>
      </w:r>
    </w:p>
    <w:p w14:paraId="67376C36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2: Evaluate SET Against Each Constraint</w:t>
      </w:r>
    </w:p>
    <w:p w14:paraId="543F4CDA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Constraint A — 10,000 transactions/minute throughput:</w:t>
      </w:r>
    </w:p>
    <w:p w14:paraId="1B741CFE" w14:textId="77777777" w:rsidR="00AF7F20" w:rsidRPr="00AF7F20" w:rsidRDefault="00AF7F20" w:rsidP="00AF7F20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SET requires multiple public-key operations per transaction (dual signature generation/verification, certificate validation for cardholder + merchant + payment gateway) — this is computationally heavy per transaction.</w:t>
      </w:r>
    </w:p>
    <w:p w14:paraId="5088EEED" w14:textId="77777777" w:rsidR="00AF7F20" w:rsidRPr="00AF7F20" w:rsidRDefault="00AF7F20" w:rsidP="00AF7F20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 xml:space="preserve">At 10,000 </w:t>
      </w:r>
      <w:proofErr w:type="spellStart"/>
      <w:r w:rsidRPr="00AF7F20">
        <w:rPr>
          <w:sz w:val="24"/>
          <w:szCs w:val="24"/>
          <w:lang w:val="en-US"/>
        </w:rPr>
        <w:t>tx</w:t>
      </w:r>
      <w:proofErr w:type="spellEnd"/>
      <w:r w:rsidRPr="00AF7F20">
        <w:rPr>
          <w:sz w:val="24"/>
          <w:szCs w:val="24"/>
          <w:lang w:val="en-US"/>
        </w:rPr>
        <w:t xml:space="preserve">/min (~167 </w:t>
      </w:r>
      <w:proofErr w:type="spellStart"/>
      <w:r w:rsidRPr="00AF7F20">
        <w:rPr>
          <w:sz w:val="24"/>
          <w:szCs w:val="24"/>
          <w:lang w:val="en-US"/>
        </w:rPr>
        <w:t>tx</w:t>
      </w:r>
      <w:proofErr w:type="spellEnd"/>
      <w:r w:rsidRPr="00AF7F20">
        <w:rPr>
          <w:sz w:val="24"/>
          <w:szCs w:val="24"/>
          <w:lang w:val="en-US"/>
        </w:rPr>
        <w:t xml:space="preserve">/sec), the certificate validation and RSA operations SET requires from </w:t>
      </w:r>
      <w:r w:rsidRPr="00AF7F20">
        <w:rPr>
          <w:i/>
          <w:iCs/>
          <w:sz w:val="24"/>
          <w:szCs w:val="24"/>
          <w:lang w:val="en-US"/>
        </w:rPr>
        <w:t>every party</w:t>
      </w:r>
      <w:r w:rsidRPr="00AF7F20">
        <w:rPr>
          <w:sz w:val="24"/>
          <w:szCs w:val="24"/>
          <w:lang w:val="en-US"/>
        </w:rPr>
        <w:t xml:space="preserve"> create a significant processing bottleneck compared to TLS, which only needs one handshake per session (with session resumption/TLS </w:t>
      </w:r>
      <w:r w:rsidRPr="00AF7F20">
        <w:rPr>
          <w:sz w:val="24"/>
          <w:szCs w:val="24"/>
          <w:lang w:val="en-US"/>
        </w:rPr>
        <w:lastRenderedPageBreak/>
        <w:t>1.3 0-RTT further reducing cost) — many transactions can reuse an established TLS session.</w:t>
      </w:r>
    </w:p>
    <w:p w14:paraId="3042CBD9" w14:textId="77777777" w:rsidR="00AF7F20" w:rsidRPr="00AF7F20" w:rsidRDefault="00AF7F20" w:rsidP="00AF7F20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Verdict: SET fails this constraint at scale.</w:t>
      </w:r>
    </w:p>
    <w:p w14:paraId="0D92FDD4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Constraint B — Compatibility with modern browsers:</w:t>
      </w:r>
    </w:p>
    <w:p w14:paraId="5B20781E" w14:textId="77777777" w:rsidR="00AF7F20" w:rsidRPr="00AF7F20" w:rsidRDefault="00AF7F20" w:rsidP="00AF7F20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SET required special client-side "digital wallet" software to hold the cardholder's certificate and perform dual-signature operations — this was never natively integrated into web browsers and the required client software is effectively unmaintained/abandoned today.</w:t>
      </w:r>
    </w:p>
    <w:p w14:paraId="07AD0965" w14:textId="77777777" w:rsidR="00AF7F20" w:rsidRPr="00AF7F20" w:rsidRDefault="00AF7F20" w:rsidP="00AF7F20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TLS is natively built into every modern browser with zero additional client software.</w:t>
      </w:r>
    </w:p>
    <w:p w14:paraId="144E09C9" w14:textId="77777777" w:rsidR="00AF7F20" w:rsidRPr="00AF7F20" w:rsidRDefault="00AF7F20" w:rsidP="00AF7F20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Verdict: SET fails this constraint entirely — it is not viable with modern browsers.</w:t>
      </w:r>
    </w:p>
    <w:p w14:paraId="10DA304D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Constraint C — Minimized implementation complexity:</w:t>
      </w:r>
    </w:p>
    <w:p w14:paraId="1D7BAA01" w14:textId="77777777" w:rsidR="00AF7F20" w:rsidRPr="00AF7F20" w:rsidRDefault="00AF7F20" w:rsidP="00AF7F20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 xml:space="preserve">SET requires a full PKI rollout to </w:t>
      </w:r>
      <w:r w:rsidRPr="00AF7F20">
        <w:rPr>
          <w:i/>
          <w:iCs/>
          <w:sz w:val="24"/>
          <w:szCs w:val="24"/>
          <w:lang w:val="en-US"/>
        </w:rPr>
        <w:t>cardholders themselves</w:t>
      </w:r>
      <w:r w:rsidRPr="00AF7F20">
        <w:rPr>
          <w:sz w:val="24"/>
          <w:szCs w:val="24"/>
          <w:lang w:val="en-US"/>
        </w:rPr>
        <w:t xml:space="preserve"> (not just merchants/servers) — issuing, distributing, and managing certificates for every customer is an enormous operational undertaking that essentially never achieved adoption at scale historically.</w:t>
      </w:r>
    </w:p>
    <w:p w14:paraId="2C35AC66" w14:textId="77777777" w:rsidR="00AF7F20" w:rsidRPr="00AF7F20" w:rsidRDefault="00AF7F20" w:rsidP="00AF7F20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TLS + tokenization (e.g., via a payment gateway like Stripe/Adyen) requires no customer-side certificate management at all — the complexity is handled by the payment processor.</w:t>
      </w:r>
    </w:p>
    <w:p w14:paraId="22239C33" w14:textId="77777777" w:rsidR="00AF7F20" w:rsidRPr="00AF7F20" w:rsidRDefault="00AF7F20" w:rsidP="00AF7F20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Verdict: SET fails this constraint — dramatically higher complexity than TLS-based approaches.</w:t>
      </w:r>
    </w:p>
    <w:p w14:paraId="4B2C0D85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Constraint D — PCI-DSS compliance:</w:t>
      </w:r>
    </w:p>
    <w:p w14:paraId="740F7B9C" w14:textId="77777777" w:rsidR="00AF7F20" w:rsidRPr="00AF7F20" w:rsidRDefault="00AF7F20" w:rsidP="00AF7F20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PCI-DSS today is written around modern TLS-based architectures, tokenization, and network segmentation — it does not mandate or assume SET.</w:t>
      </w:r>
    </w:p>
    <w:p w14:paraId="1105F6C7" w14:textId="77777777" w:rsidR="00AF7F20" w:rsidRPr="00AF7F20" w:rsidRDefault="00AF7F20" w:rsidP="00AF7F20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Achieving PCI-DSS compliance via TLS + tokenization + a PCI-compliant payment gateway is the industry-standard path and well-documented.</w:t>
      </w:r>
    </w:p>
    <w:p w14:paraId="2CD8E15F" w14:textId="77777777" w:rsidR="00AF7F20" w:rsidRPr="00AF7F20" w:rsidRDefault="00AF7F20" w:rsidP="00AF7F20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lastRenderedPageBreak/>
        <w:t>Verdict: TLS-based approach aligns naturally with PCI-DSS; SET offers no compliance advantage and adds complexity without a corresponding benefit.</w:t>
      </w:r>
    </w:p>
    <w:p w14:paraId="174AD261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3: Historical Context (useful to include in your analysis)</w:t>
      </w:r>
    </w:p>
    <w:p w14:paraId="2C75970D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 xml:space="preserve">SET was withdrawn from active development by Visa/Mastercard in the early 2000s precisely because of the adoption problems above — the client-side certificate requirement made it commercially unworkable. The industry converged instead on </w:t>
      </w:r>
      <w:r w:rsidRPr="00AF7F20">
        <w:rPr>
          <w:b/>
          <w:bCs/>
          <w:sz w:val="24"/>
          <w:szCs w:val="24"/>
          <w:lang w:val="en-US"/>
        </w:rPr>
        <w:t>TLS + card network tokenization (3-D Secure 2.0, EMV tokenization) + PCI-DSS controls</w:t>
      </w:r>
      <w:r w:rsidRPr="00AF7F20">
        <w:rPr>
          <w:sz w:val="24"/>
          <w:szCs w:val="24"/>
          <w:lang w:val="en-US"/>
        </w:rPr>
        <w:t>, which achieves SET's original security goals (protecting cardholder data from merchants, preventing card-not-present fraud) without requiring every customer to install wallet software and manage a personal certificate.</w:t>
      </w:r>
    </w:p>
    <w:p w14:paraId="36308FF6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4: Decision and Recommendation</w:t>
      </w:r>
    </w:p>
    <w:p w14:paraId="000F99BA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Recommendation: Continue with TLS-based encryption; do NOT implement SET.</w:t>
      </w:r>
    </w:p>
    <w:p w14:paraId="71892160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Justification against each constraint: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735"/>
        <w:gridCol w:w="3122"/>
      </w:tblGrid>
      <w:tr w:rsidR="00AF7F20" w:rsidRPr="00AF7F20" w14:paraId="2E55A6A6" w14:textId="77777777" w:rsidTr="00AF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518B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38F17BE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8E8A2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TLS-based (current approach)</w:t>
            </w:r>
          </w:p>
        </w:tc>
      </w:tr>
      <w:tr w:rsidR="00AF7F20" w:rsidRPr="00AF7F20" w14:paraId="72CC8C3A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EA8D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 xml:space="preserve">Throughput (10,000 </w:t>
            </w:r>
            <w:proofErr w:type="spellStart"/>
            <w:r w:rsidRPr="00AF7F20">
              <w:rPr>
                <w:sz w:val="24"/>
                <w:szCs w:val="24"/>
                <w:lang w:val="en-US"/>
              </w:rPr>
              <w:t>tx</w:t>
            </w:r>
            <w:proofErr w:type="spellEnd"/>
            <w:r w:rsidRPr="00AF7F20">
              <w:rPr>
                <w:sz w:val="24"/>
                <w:szCs w:val="24"/>
                <w:lang w:val="en-US"/>
              </w:rPr>
              <w:t>/min)</w:t>
            </w:r>
          </w:p>
        </w:tc>
        <w:tc>
          <w:tcPr>
            <w:tcW w:w="0" w:type="auto"/>
            <w:vAlign w:val="center"/>
            <w:hideMark/>
          </w:tcPr>
          <w:p w14:paraId="03C0D833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Fails — heavy per-transaction PKI overhead across 3 parties</w:t>
            </w:r>
          </w:p>
        </w:tc>
        <w:tc>
          <w:tcPr>
            <w:tcW w:w="0" w:type="auto"/>
            <w:vAlign w:val="center"/>
            <w:hideMark/>
          </w:tcPr>
          <w:p w14:paraId="1832E01E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Meets — lightweight handshake, session reuse, hardware-accelerated TLS at scale</w:t>
            </w:r>
          </w:p>
        </w:tc>
      </w:tr>
      <w:tr w:rsidR="00AF7F20" w:rsidRPr="00AF7F20" w14:paraId="04B772D2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8927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43966F37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Fails — requires obsolete/unmaintained wallet software</w:t>
            </w:r>
          </w:p>
        </w:tc>
        <w:tc>
          <w:tcPr>
            <w:tcW w:w="0" w:type="auto"/>
            <w:vAlign w:val="center"/>
            <w:hideMark/>
          </w:tcPr>
          <w:p w14:paraId="7D3566D8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Meets — native in every modern browser</w:t>
            </w:r>
          </w:p>
        </w:tc>
      </w:tr>
      <w:tr w:rsidR="00AF7F20" w:rsidRPr="00AF7F20" w14:paraId="751E8794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89A1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lastRenderedPageBreak/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37F8A6D4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Fails — full customer-facing PKI rollout required</w:t>
            </w:r>
          </w:p>
        </w:tc>
        <w:tc>
          <w:tcPr>
            <w:tcW w:w="0" w:type="auto"/>
            <w:vAlign w:val="center"/>
            <w:hideMark/>
          </w:tcPr>
          <w:p w14:paraId="5924D57A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Meets — no customer-side certificate management needed</w:t>
            </w:r>
          </w:p>
        </w:tc>
      </w:tr>
      <w:tr w:rsidR="00AF7F20" w:rsidRPr="00AF7F20" w14:paraId="4BFAEED5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25F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PCI-DSS compliance</w:t>
            </w:r>
          </w:p>
        </w:tc>
        <w:tc>
          <w:tcPr>
            <w:tcW w:w="0" w:type="auto"/>
            <w:vAlign w:val="center"/>
            <w:hideMark/>
          </w:tcPr>
          <w:p w14:paraId="647034B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No advantage — not part of the modern compliance framework</w:t>
            </w:r>
          </w:p>
        </w:tc>
        <w:tc>
          <w:tcPr>
            <w:tcW w:w="0" w:type="auto"/>
            <w:vAlign w:val="center"/>
            <w:hideMark/>
          </w:tcPr>
          <w:p w14:paraId="3FA22F3C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Meets — TLS + tokenization is the standard compliant architecture</w:t>
            </w:r>
          </w:p>
        </w:tc>
      </w:tr>
    </w:tbl>
    <w:p w14:paraId="74A939A4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5: Recommended Architecture (Building on TLS)</w:t>
      </w:r>
    </w:p>
    <w:p w14:paraId="1B1547BC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>Rather than adopting SET, strengthen the existing TLS-based approach with these layered controls to fully meet PCI-DSS and modern payment security expectations:</w:t>
      </w:r>
    </w:p>
    <w:p w14:paraId="1A6DB437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TLS 1.3</w:t>
      </w:r>
      <w:r w:rsidRPr="00AF7F20">
        <w:rPr>
          <w:sz w:val="24"/>
          <w:szCs w:val="24"/>
          <w:lang w:val="en-US"/>
        </w:rPr>
        <w:t xml:space="preserve"> for all payment traffic — eliminates weaker cipher suites and reduces handshake latency (supports the throughput constraint).</w:t>
      </w:r>
    </w:p>
    <w:p w14:paraId="7DA76F4E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Tokenization</w:t>
      </w:r>
      <w:r w:rsidRPr="00AF7F20">
        <w:rPr>
          <w:sz w:val="24"/>
          <w:szCs w:val="24"/>
          <w:lang w:val="en-US"/>
        </w:rPr>
        <w:t xml:space="preserve"> — replace raw card numbers with tokens immediately at the payment gateway, so the merchant's systems never store real card data (reduces PCI-DSS scope significantly).</w:t>
      </w:r>
    </w:p>
    <w:p w14:paraId="1B65EE90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3-D Secure 2.0 (3DS2)</w:t>
      </w:r>
      <w:r w:rsidRPr="00AF7F20">
        <w:rPr>
          <w:sz w:val="24"/>
          <w:szCs w:val="24"/>
          <w:lang w:val="en-US"/>
        </w:rPr>
        <w:t xml:space="preserve"> — provides strong customer authentication for card-not-present transactions, achieving much of what SET aimed for (verifying the cardholder) without requiring client-side wallet software — mostly transparent to the user via risk-based frictionless flows.</w:t>
      </w:r>
    </w:p>
    <w:p w14:paraId="307DBB18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PCI-DSS-compliant payment gateway</w:t>
      </w:r>
      <w:r w:rsidRPr="00AF7F20">
        <w:rPr>
          <w:sz w:val="24"/>
          <w:szCs w:val="24"/>
          <w:lang w:val="en-US"/>
        </w:rPr>
        <w:t xml:space="preserve"> (Stripe, Adyen, Braintree, etc.) — offloads most compliance burden to a certified processor.</w:t>
      </w:r>
    </w:p>
    <w:p w14:paraId="627F44B5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Network segmentation</w:t>
      </w:r>
      <w:r w:rsidRPr="00AF7F20">
        <w:rPr>
          <w:sz w:val="24"/>
          <w:szCs w:val="24"/>
          <w:lang w:val="en-US"/>
        </w:rPr>
        <w:t xml:space="preserve"> — isolate cardholder data environment (CDE) from the rest of the e-commerce infrastructure per PCI-DSS requirements.</w:t>
      </w:r>
    </w:p>
    <w:p w14:paraId="477BCE69" w14:textId="77777777" w:rsidR="00AF7F20" w:rsidRPr="00AF7F20" w:rsidRDefault="00AF7F20" w:rsidP="00AF7F20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lastRenderedPageBreak/>
        <w:t>Regular vulnerability scanning and penetration testing</w:t>
      </w:r>
      <w:r w:rsidRPr="00AF7F20">
        <w:rPr>
          <w:sz w:val="24"/>
          <w:szCs w:val="24"/>
          <w:lang w:val="en-US"/>
        </w:rPr>
        <w:t xml:space="preserve"> as mandated by PCI-DSS.</w:t>
      </w:r>
    </w:p>
    <w:p w14:paraId="4A027022" w14:textId="77777777" w:rsidR="00FD4D8E" w:rsidRDefault="00FD4D8E" w:rsidP="00AF7F20">
      <w:pPr>
        <w:spacing w:before="240" w:after="240" w:line="360" w:lineRule="auto"/>
        <w:rPr>
          <w:sz w:val="24"/>
          <w:szCs w:val="24"/>
        </w:rPr>
      </w:pPr>
    </w:p>
    <w:p w14:paraId="5A94B5D2" w14:textId="3B40D736" w:rsidR="00FD4D8E" w:rsidRPr="00AF7F20" w:rsidRDefault="00000000" w:rsidP="00AF7F20">
      <w:pPr>
        <w:pStyle w:val="ListParagraph"/>
        <w:numPr>
          <w:ilvl w:val="0"/>
          <w:numId w:val="11"/>
        </w:numPr>
        <w:spacing w:before="240" w:line="360" w:lineRule="auto"/>
        <w:rPr>
          <w:sz w:val="24"/>
          <w:szCs w:val="24"/>
        </w:rPr>
      </w:pPr>
      <w:r w:rsidRPr="00AF7F20">
        <w:rPr>
          <w:sz w:val="24"/>
          <w:szCs w:val="24"/>
        </w:rPr>
        <w:t>A corporate network is experiencing repeated malware infections that spread rapidly without user interaction. Propose a containment and prevention strategy.</w:t>
      </w:r>
      <w:r w:rsidRPr="00AF7F20">
        <w:rPr>
          <w:sz w:val="24"/>
          <w:szCs w:val="24"/>
        </w:rPr>
        <w:br/>
        <w:t xml:space="preserve"> </w:t>
      </w:r>
      <w:r w:rsidRPr="00AF7F20">
        <w:rPr>
          <w:b/>
          <w:bCs/>
          <w:sz w:val="24"/>
          <w:szCs w:val="24"/>
        </w:rPr>
        <w:t>Constraints:</w:t>
      </w:r>
    </w:p>
    <w:p w14:paraId="16102198" w14:textId="77777777" w:rsidR="00FD4D8E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network consists of 500+ interconnected systems</w:t>
      </w:r>
    </w:p>
    <w:p w14:paraId="03E571B4" w14:textId="77777777" w:rsidR="00FD4D8E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Downtime per system should not exceed 10 minutes</w:t>
      </w:r>
    </w:p>
    <w:p w14:paraId="1447C3AF" w14:textId="77777777" w:rsidR="00FD4D8E" w:rsidRDefault="00000000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Detection must occur within 2 minutes of infection</w:t>
      </w:r>
    </w:p>
    <w:p w14:paraId="202ADA61" w14:textId="77777777" w:rsidR="00FD4D8E" w:rsidRDefault="00000000">
      <w:pPr>
        <w:numPr>
          <w:ilvl w:val="0"/>
          <w:numId w:val="9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Solution must differentiate between virus, worm, and Trojan </w:t>
      </w:r>
      <w:proofErr w:type="spellStart"/>
      <w:r>
        <w:rPr>
          <w:sz w:val="24"/>
          <w:szCs w:val="24"/>
        </w:rPr>
        <w:t>behavior</w:t>
      </w:r>
      <w:proofErr w:type="spellEnd"/>
    </w:p>
    <w:p w14:paraId="2BB478F7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Containment and Prevention Strategy for Rapid, No-User-Interaction Malware Spread</w:t>
      </w:r>
    </w:p>
    <w:p w14:paraId="459153B4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1: Diagnose the Threat Category First</w:t>
      </w:r>
    </w:p>
    <w:p w14:paraId="7344EE2A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 xml:space="preserve">"Spreads rapidly without user interaction" is the defining behavioral signature of a </w:t>
      </w:r>
      <w:r w:rsidRPr="00AF7F20">
        <w:rPr>
          <w:b/>
          <w:bCs/>
          <w:sz w:val="24"/>
          <w:szCs w:val="24"/>
          <w:lang w:val="en-US"/>
        </w:rPr>
        <w:t>worm</w:t>
      </w:r>
      <w:r w:rsidRPr="00AF7F20">
        <w:rPr>
          <w:sz w:val="24"/>
          <w:szCs w:val="24"/>
          <w:lang w:val="en-US"/>
        </w:rPr>
        <w:t xml:space="preserve"> (self-propagating, exploits vulnerabilities/open services to spread automatically) as opposed to a </w:t>
      </w:r>
      <w:r w:rsidRPr="00AF7F20">
        <w:rPr>
          <w:b/>
          <w:bCs/>
          <w:sz w:val="24"/>
          <w:szCs w:val="24"/>
          <w:lang w:val="en-US"/>
        </w:rPr>
        <w:t>virus</w:t>
      </w:r>
      <w:r w:rsidRPr="00AF7F20">
        <w:rPr>
          <w:sz w:val="24"/>
          <w:szCs w:val="24"/>
          <w:lang w:val="en-US"/>
        </w:rPr>
        <w:t xml:space="preserve"> (requires a host file execution, typically some user action) or a </w:t>
      </w:r>
      <w:r w:rsidRPr="00AF7F20">
        <w:rPr>
          <w:b/>
          <w:bCs/>
          <w:sz w:val="24"/>
          <w:szCs w:val="24"/>
          <w:lang w:val="en-US"/>
        </w:rPr>
        <w:t>Trojan</w:t>
      </w:r>
      <w:r w:rsidRPr="00AF7F20">
        <w:rPr>
          <w:sz w:val="24"/>
          <w:szCs w:val="24"/>
          <w:lang w:val="en-US"/>
        </w:rPr>
        <w:t xml:space="preserve"> (requires the user to be tricked into running it, doesn't self-propagate). This distinction directly shapes the strategy — worm containment is primarily a </w:t>
      </w:r>
      <w:r w:rsidRPr="00AF7F20">
        <w:rPr>
          <w:i/>
          <w:iCs/>
          <w:sz w:val="24"/>
          <w:szCs w:val="24"/>
          <w:lang w:val="en-US"/>
        </w:rPr>
        <w:t>network</w:t>
      </w:r>
      <w:r w:rsidRPr="00AF7F20">
        <w:rPr>
          <w:sz w:val="24"/>
          <w:szCs w:val="24"/>
          <w:lang w:val="en-US"/>
        </w:rPr>
        <w:t xml:space="preserve"> problem, not just an endpoint problem.</w:t>
      </w:r>
    </w:p>
    <w:p w14:paraId="3671AFEE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2: Map the Constraints to Required Capabilities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6154"/>
      </w:tblGrid>
      <w:tr w:rsidR="00AF7F20" w:rsidRPr="00AF7F20" w14:paraId="2C514D5A" w14:textId="77777777" w:rsidTr="00AF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6FBE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9A9A5FA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What it demands</w:t>
            </w:r>
          </w:p>
        </w:tc>
      </w:tr>
      <w:tr w:rsidR="00AF7F20" w:rsidRPr="00AF7F20" w14:paraId="3BDB6B88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2DE4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A. 500+ interconnected systems</w:t>
            </w:r>
          </w:p>
        </w:tc>
        <w:tc>
          <w:tcPr>
            <w:tcW w:w="0" w:type="auto"/>
            <w:vAlign w:val="center"/>
            <w:hideMark/>
          </w:tcPr>
          <w:p w14:paraId="1C1A6683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Centralized/automated response — manual per-machine action doesn't scale</w:t>
            </w:r>
          </w:p>
        </w:tc>
      </w:tr>
      <w:tr w:rsidR="00AF7F20" w:rsidRPr="00AF7F20" w14:paraId="4E8DD9FE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263B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B. Downtime ≤10 min/system</w:t>
            </w:r>
          </w:p>
        </w:tc>
        <w:tc>
          <w:tcPr>
            <w:tcW w:w="0" w:type="auto"/>
            <w:vAlign w:val="center"/>
            <w:hideMark/>
          </w:tcPr>
          <w:p w14:paraId="38FC9FDE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Containment must be surgical (isolate the infected host or segment), not a blanket network shutdown</w:t>
            </w:r>
          </w:p>
        </w:tc>
      </w:tr>
      <w:tr w:rsidR="00AF7F20" w:rsidRPr="00AF7F20" w14:paraId="2353F6C4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D704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lastRenderedPageBreak/>
              <w:t>C. Detection within 2 minutes</w:t>
            </w:r>
          </w:p>
        </w:tc>
        <w:tc>
          <w:tcPr>
            <w:tcW w:w="0" w:type="auto"/>
            <w:vAlign w:val="center"/>
            <w:hideMark/>
          </w:tcPr>
          <w:p w14:paraId="5C7583F3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Requires real-time monitoring (IDS/IPS + EDR), not periodic scanning</w:t>
            </w:r>
          </w:p>
        </w:tc>
      </w:tr>
      <w:tr w:rsidR="00AF7F20" w:rsidRPr="00AF7F20" w14:paraId="4CB98E02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8FD9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D. Differentiate virus/worm/Trojan</w:t>
            </w:r>
          </w:p>
        </w:tc>
        <w:tc>
          <w:tcPr>
            <w:tcW w:w="0" w:type="auto"/>
            <w:vAlign w:val="center"/>
            <w:hideMark/>
          </w:tcPr>
          <w:p w14:paraId="00515F16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Requires behavioral analysis, not just signature matching</w:t>
            </w:r>
          </w:p>
        </w:tc>
      </w:tr>
    </w:tbl>
    <w:p w14:paraId="0589B35B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3: Detection Layer (Meets Constraint C — 2-minute detection)</w:t>
      </w:r>
    </w:p>
    <w:p w14:paraId="0EB256A5" w14:textId="77777777" w:rsidR="00AF7F20" w:rsidRPr="00AF7F20" w:rsidRDefault="00AF7F20" w:rsidP="00AF7F20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Deploy a network-based IDS/IPS (e.g., Snort/Suricata) at network segment boundaries</w:t>
      </w:r>
      <w:r w:rsidRPr="00AF7F20">
        <w:rPr>
          <w:sz w:val="24"/>
          <w:szCs w:val="24"/>
          <w:lang w:val="en-US"/>
        </w:rPr>
        <w:t xml:space="preserve"> to detect anomalous traffic patterns in real time — worm propagation typically shows up as a sudden spike in outbound connections to internal ports on many hosts (a classic "scan-then-exploit" pattern).</w:t>
      </w:r>
    </w:p>
    <w:p w14:paraId="6AB2AE56" w14:textId="77777777" w:rsidR="00AF7F20" w:rsidRPr="00AF7F20" w:rsidRDefault="00AF7F20" w:rsidP="00AF7F20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Deploy Endpoint Detection and Response (EDR) agents</w:t>
      </w:r>
      <w:r w:rsidRPr="00AF7F20">
        <w:rPr>
          <w:sz w:val="24"/>
          <w:szCs w:val="24"/>
          <w:lang w:val="en-US"/>
        </w:rPr>
        <w:t xml:space="preserve"> on all 500+ systems for host-level behavioral monitoring (process creation trees, unusual network listener activity, registry/file system changes) — </w:t>
      </w:r>
      <w:proofErr w:type="gramStart"/>
      <w:r w:rsidRPr="00AF7F20">
        <w:rPr>
          <w:sz w:val="24"/>
          <w:szCs w:val="24"/>
          <w:lang w:val="en-US"/>
        </w:rPr>
        <w:t>this catches Trojans and viruses</w:t>
      </w:r>
      <w:proofErr w:type="gramEnd"/>
      <w:r w:rsidRPr="00AF7F20">
        <w:rPr>
          <w:sz w:val="24"/>
          <w:szCs w:val="24"/>
          <w:lang w:val="en-US"/>
        </w:rPr>
        <w:t xml:space="preserve"> that don't necessarily generate obvious network noise.</w:t>
      </w:r>
    </w:p>
    <w:p w14:paraId="63D7147F" w14:textId="77777777" w:rsidR="00AF7F20" w:rsidRPr="00AF7F20" w:rsidRDefault="00AF7F20" w:rsidP="00AF7F20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NetFlow/traffic analysis with automated alerting</w:t>
      </w:r>
      <w:r w:rsidRPr="00AF7F20">
        <w:rPr>
          <w:sz w:val="24"/>
          <w:szCs w:val="24"/>
          <w:lang w:val="en-US"/>
        </w:rPr>
        <w:t xml:space="preserve"> — set thresholds (e.g., a host initiating connection attempts to &gt;X unique internal IPs within Y seconds) to trigger automatic alerts well within the 2-minute window.</w:t>
      </w:r>
    </w:p>
    <w:p w14:paraId="4D3A449F" w14:textId="77777777" w:rsidR="00AF7F20" w:rsidRPr="00AF7F20" w:rsidRDefault="00AF7F20" w:rsidP="00AF7F20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Centralize logs into a SIEM</w:t>
      </w:r>
      <w:r w:rsidRPr="00AF7F20">
        <w:rPr>
          <w:sz w:val="24"/>
          <w:szCs w:val="24"/>
          <w:lang w:val="en-US"/>
        </w:rPr>
        <w:t xml:space="preserve"> with correlation rules so detections across IDS, EDR, and NetFlow are combined into a single incident within seconds, rather than requiring an analyst to manually cross-reference multiple tools.</w:t>
      </w:r>
    </w:p>
    <w:p w14:paraId="4F676499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4: Differentiating Virus vs Worm vs Trojan (Meets Constraint D)</w:t>
      </w:r>
    </w:p>
    <w:p w14:paraId="4C8B1D72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sz w:val="24"/>
          <w:szCs w:val="24"/>
          <w:lang w:val="en-US"/>
        </w:rPr>
        <w:t xml:space="preserve">Build detection logic around </w:t>
      </w:r>
      <w:r w:rsidRPr="00AF7F20">
        <w:rPr>
          <w:b/>
          <w:bCs/>
          <w:sz w:val="24"/>
          <w:szCs w:val="24"/>
          <w:lang w:val="en-US"/>
        </w:rPr>
        <w:t>behavioral fingerprints</w:t>
      </w:r>
      <w:r w:rsidRPr="00AF7F20">
        <w:rPr>
          <w:sz w:val="24"/>
          <w:szCs w:val="24"/>
          <w:lang w:val="en-US"/>
        </w:rPr>
        <w:t>, since all three are technically "malware" but propagate very differently: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7613"/>
      </w:tblGrid>
      <w:tr w:rsidR="00AF7F20" w:rsidRPr="00AF7F20" w14:paraId="05619A30" w14:textId="77777777" w:rsidTr="00AF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56C6B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lastRenderedPageBreak/>
              <w:t>Malware type</w:t>
            </w:r>
          </w:p>
        </w:tc>
        <w:tc>
          <w:tcPr>
            <w:tcW w:w="0" w:type="auto"/>
            <w:vAlign w:val="center"/>
            <w:hideMark/>
          </w:tcPr>
          <w:p w14:paraId="554CFBB8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Key behavioral signature to detect</w:t>
            </w:r>
          </w:p>
        </w:tc>
      </w:tr>
      <w:tr w:rsidR="00AF7F20" w:rsidRPr="00AF7F20" w14:paraId="75FCB9F6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DCD6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1478B677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Self-initiated outbound connections to other internal hosts immediately after infection, without any corresponding user action (email sent, file opened) in the process ancestry; often exploits a specific service port (e.g., SMB/445, RDP/3389)</w:t>
            </w:r>
          </w:p>
        </w:tc>
      </w:tr>
      <w:tr w:rsidR="00AF7F20" w:rsidRPr="00AF7F20" w14:paraId="39284931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FE3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1F025FF7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Modification/infection of legitimate executable files or documents on the host; typically requires a user-initiated action (running an infected file) as the immediate parent process in the EDR process tree; spreads mainly via file-sharing, USB, or infected attachments rather than direct network exploitation</w:t>
            </w:r>
          </w:p>
        </w:tc>
      </w:tr>
      <w:tr w:rsidR="00AF7F20" w:rsidRPr="00AF7F20" w14:paraId="6ABD6F30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BB0F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06F11BA0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Arrives disguised as legitimate software; process tree shows execution immediately following a download or install action; typically establishes outbound C2 (command-and-control) connections to an external IP rather than propagating to internal peers</w:t>
            </w:r>
          </w:p>
        </w:tc>
      </w:tr>
    </w:tbl>
    <w:p w14:paraId="005F68C5" w14:textId="77777777" w:rsidR="00AF7F20" w:rsidRPr="00AF7F20" w:rsidRDefault="00AF7F20" w:rsidP="00AF7F20">
      <w:pPr>
        <w:spacing w:after="240" w:line="360" w:lineRule="auto"/>
        <w:ind w:left="720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Implementation approach:</w:t>
      </w:r>
      <w:r w:rsidRPr="00AF7F20">
        <w:rPr>
          <w:sz w:val="24"/>
          <w:szCs w:val="24"/>
          <w:lang w:val="en-US"/>
        </w:rPr>
        <w:t xml:space="preserve"> configure the EDR/SIEM correlation rules to tag an incident based on this decision logic — e.g., "outbound connection to internal hosts within 60 seconds of process start, no preceding user-initiated file open" → classify as worm-like and trigger automatic network isolation; "external C2 beacon pattern with no internal propagation" → classify as Trojan-like and trigger host quarantine without segment-wide isolation.</w:t>
      </w:r>
    </w:p>
    <w:p w14:paraId="6743095B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5: Containment Strategy (Meets Constraints A and B)</w:t>
      </w:r>
    </w:p>
    <w:p w14:paraId="11CAE651" w14:textId="77777777" w:rsidR="00AF7F20" w:rsidRPr="00AF7F20" w:rsidRDefault="00AF7F20" w:rsidP="00AF7F20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Automated host-level micro-segmentation / quarantine VLAN</w:t>
      </w:r>
      <w:r w:rsidRPr="00AF7F20">
        <w:rPr>
          <w:sz w:val="24"/>
          <w:szCs w:val="24"/>
          <w:lang w:val="en-US"/>
        </w:rPr>
        <w:t xml:space="preserve"> — when EDR or IDS confirms worm-like behavior on a host, automatically move that host's switch port to an isolated quarantine VLAN via SDN/NAC (Network Access Control) integration. This isolates the single infected machine </w:t>
      </w:r>
      <w:r w:rsidRPr="00AF7F20">
        <w:rPr>
          <w:b/>
          <w:bCs/>
          <w:sz w:val="24"/>
          <w:szCs w:val="24"/>
          <w:lang w:val="en-US"/>
        </w:rPr>
        <w:t>without</w:t>
      </w:r>
      <w:r w:rsidRPr="00AF7F20">
        <w:rPr>
          <w:sz w:val="24"/>
          <w:szCs w:val="24"/>
          <w:lang w:val="en-US"/>
        </w:rPr>
        <w:t xml:space="preserve"> taking down the surrounding 500 systems, respecting the ≤10-minute downtime constraint (in fact, only the infected host is affected, not the broader network).</w:t>
      </w:r>
    </w:p>
    <w:p w14:paraId="2FF275C3" w14:textId="77777777" w:rsidR="00AF7F20" w:rsidRPr="00AF7F20" w:rsidRDefault="00AF7F20" w:rsidP="00AF7F20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lastRenderedPageBreak/>
        <w:t>Disable the specific exploited service network-wide as an immediate stopgap</w:t>
      </w:r>
      <w:r w:rsidRPr="00AF7F20">
        <w:rPr>
          <w:sz w:val="24"/>
          <w:szCs w:val="24"/>
          <w:lang w:val="en-US"/>
        </w:rPr>
        <w:t xml:space="preserve"> — e.g., if the worm exploits SMBv1, push a firewall rule blocking port 445 between internal segments while patches are validated, rather than shutting down affected hosts entirely.</w:t>
      </w:r>
    </w:p>
    <w:p w14:paraId="039C867F" w14:textId="77777777" w:rsidR="00AF7F20" w:rsidRPr="00AF7F20" w:rsidRDefault="00AF7F20" w:rsidP="00AF7F20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NAC (802.1X) enforcement</w:t>
      </w:r>
      <w:r w:rsidRPr="00AF7F20">
        <w:rPr>
          <w:sz w:val="24"/>
          <w:szCs w:val="24"/>
          <w:lang w:val="en-US"/>
        </w:rPr>
        <w:t xml:space="preserve"> — ensures any host attempting to reconnect after quarantine must pass a compliance check (patched, EDR agent healthy) before being allowed back onto the production network.</w:t>
      </w:r>
    </w:p>
    <w:p w14:paraId="26E062A5" w14:textId="77777777" w:rsidR="00AF7F20" w:rsidRPr="00AF7F20" w:rsidRDefault="00AF7F20" w:rsidP="00AF7F20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Automated patch/remediation pipeline</w:t>
      </w:r>
      <w:r w:rsidRPr="00AF7F20">
        <w:rPr>
          <w:sz w:val="24"/>
          <w:szCs w:val="24"/>
          <w:lang w:val="en-US"/>
        </w:rPr>
        <w:t xml:space="preserve"> — once contained, push the relevant security patch or remove the malicious binary via the EDR's remote remediation capability, then run a compliance check before restoring the host to the network — keeping total host downtime within the 10-minute budget.</w:t>
      </w:r>
    </w:p>
    <w:p w14:paraId="093529BD" w14:textId="77777777" w:rsidR="00AF7F20" w:rsidRPr="00AF7F20" w:rsidRDefault="00AF7F20" w:rsidP="00AF7F20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Rate-limiting/traffic shaping at the core switch/firewall</w:t>
      </w:r>
      <w:r w:rsidRPr="00AF7F20">
        <w:rPr>
          <w:sz w:val="24"/>
          <w:szCs w:val="24"/>
          <w:lang w:val="en-US"/>
        </w:rPr>
        <w:t xml:space="preserve"> as a network-wide safety net — cap the rate of new internal connections per host, which slows worm propagation across the remaining fleet even before individual hosts are identified and quarantined.</w:t>
      </w:r>
    </w:p>
    <w:p w14:paraId="578EEA50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6: Prevention Strategy (Long-Term, Reduces Recurrence)</w:t>
      </w:r>
    </w:p>
    <w:p w14:paraId="20BFD0D0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Patch management program</w:t>
      </w:r>
      <w:r w:rsidRPr="00AF7F20">
        <w:rPr>
          <w:sz w:val="24"/>
          <w:szCs w:val="24"/>
          <w:lang w:val="en-US"/>
        </w:rPr>
        <w:t xml:space="preserve"> — since worms overwhelmingly exploit known, unpatched vulnerabilities (</w:t>
      </w:r>
      <w:proofErr w:type="spellStart"/>
      <w:r w:rsidRPr="00AF7F20">
        <w:rPr>
          <w:sz w:val="24"/>
          <w:szCs w:val="24"/>
          <w:lang w:val="en-US"/>
        </w:rPr>
        <w:t>EternalBlue</w:t>
      </w:r>
      <w:proofErr w:type="spellEnd"/>
      <w:r w:rsidRPr="00AF7F20">
        <w:rPr>
          <w:sz w:val="24"/>
          <w:szCs w:val="24"/>
          <w:lang w:val="en-US"/>
        </w:rPr>
        <w:t>/WannaCry being the textbook example), enforce a strict SLA for critical patch deployment across all 500+ systems.</w:t>
      </w:r>
    </w:p>
    <w:p w14:paraId="79BA758E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Network segmentation by function</w:t>
      </w:r>
      <w:r w:rsidRPr="00AF7F20">
        <w:rPr>
          <w:sz w:val="24"/>
          <w:szCs w:val="24"/>
          <w:lang w:val="en-US"/>
        </w:rPr>
        <w:t xml:space="preserve"> (finance, HR, engineering, guest, etc.) — limits the "blast radius" so a worm in one segment cannot freely reach the entire 500-host network, reducing reliance on reactive containment alone.</w:t>
      </w:r>
    </w:p>
    <w:p w14:paraId="013CB90F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Disable/limit unnecessary lateral-movement protocols</w:t>
      </w:r>
      <w:r w:rsidRPr="00AF7F20">
        <w:rPr>
          <w:sz w:val="24"/>
          <w:szCs w:val="24"/>
          <w:lang w:val="en-US"/>
        </w:rPr>
        <w:t xml:space="preserve"> — restrict SMB, RDP, and admin-share access to only what's operationally required, following least-privilege principles.</w:t>
      </w:r>
    </w:p>
    <w:p w14:paraId="11941A4B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Application allowlisting</w:t>
      </w:r>
      <w:r w:rsidRPr="00AF7F20">
        <w:rPr>
          <w:sz w:val="24"/>
          <w:szCs w:val="24"/>
          <w:lang w:val="en-US"/>
        </w:rPr>
        <w:t xml:space="preserve"> on critical/endpoint systems — prevents unauthorized executables (including Trojans and virus payloads) from running even if delivered.</w:t>
      </w:r>
    </w:p>
    <w:p w14:paraId="79C1584E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lastRenderedPageBreak/>
        <w:t>Email/web gateway filtering</w:t>
      </w:r>
      <w:r w:rsidRPr="00AF7F20">
        <w:rPr>
          <w:sz w:val="24"/>
          <w:szCs w:val="24"/>
          <w:lang w:val="en-US"/>
        </w:rPr>
        <w:t xml:space="preserve"> — reduces the initial infection vector for viruses and Trojans that do rely on some user interaction (phishing attachments, drive-by downloads).</w:t>
      </w:r>
    </w:p>
    <w:p w14:paraId="0965A25C" w14:textId="77777777" w:rsidR="00AF7F20" w:rsidRPr="00AF7F20" w:rsidRDefault="00AF7F20" w:rsidP="00AF7F20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Regular tabletop exercises and IDS/IPS rule tuning</w:t>
      </w:r>
      <w:r w:rsidRPr="00AF7F20">
        <w:rPr>
          <w:sz w:val="24"/>
          <w:szCs w:val="24"/>
          <w:lang w:val="en-US"/>
        </w:rPr>
        <w:t xml:space="preserve"> — ensures detection signatures and behavioral thresholds stay current against evolving malware techniques, keeping the 2-minute detection SLA realistic over time rather than degrading as new variants appear.</w:t>
      </w:r>
    </w:p>
    <w:p w14:paraId="1B126297" w14:textId="77777777" w:rsidR="00AF7F20" w:rsidRPr="00AF7F20" w:rsidRDefault="00AF7F20" w:rsidP="00AF7F20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AF7F20">
        <w:rPr>
          <w:b/>
          <w:bCs/>
          <w:sz w:val="24"/>
          <w:szCs w:val="24"/>
          <w:lang w:val="en-US"/>
        </w:rPr>
        <w:t>Step 7: Summary — How the Strategy Satisfies Every Constraint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367"/>
      </w:tblGrid>
      <w:tr w:rsidR="00AF7F20" w:rsidRPr="00AF7F20" w14:paraId="1B7F7DBA" w14:textId="77777777" w:rsidTr="00AF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CF30E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7E51C68" w14:textId="77777777" w:rsidR="00AF7F20" w:rsidRPr="00AF7F20" w:rsidRDefault="00AF7F20" w:rsidP="00AF7F20">
            <w:pPr>
              <w:spacing w:after="240" w:line="360" w:lineRule="auto"/>
              <w:ind w:left="720"/>
              <w:rPr>
                <w:b/>
                <w:bCs/>
                <w:sz w:val="24"/>
                <w:szCs w:val="24"/>
                <w:lang w:val="en-US"/>
              </w:rPr>
            </w:pPr>
            <w:r w:rsidRPr="00AF7F20">
              <w:rPr>
                <w:b/>
                <w:bCs/>
                <w:sz w:val="24"/>
                <w:szCs w:val="24"/>
                <w:lang w:val="en-US"/>
              </w:rPr>
              <w:t>How it's satisfied</w:t>
            </w:r>
          </w:p>
        </w:tc>
      </w:tr>
      <w:tr w:rsidR="00AF7F20" w:rsidRPr="00AF7F20" w14:paraId="255B7CCE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080A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A. 500+ systems</w:t>
            </w:r>
          </w:p>
        </w:tc>
        <w:tc>
          <w:tcPr>
            <w:tcW w:w="0" w:type="auto"/>
            <w:vAlign w:val="center"/>
            <w:hideMark/>
          </w:tcPr>
          <w:p w14:paraId="79CC1556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Centralized SIEM + automated NAC/SDN quarantine scales without manual per-host intervention</w:t>
            </w:r>
          </w:p>
        </w:tc>
      </w:tr>
      <w:tr w:rsidR="00AF7F20" w:rsidRPr="00AF7F20" w14:paraId="30445709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A85A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B. ≤10 min downtime/system</w:t>
            </w:r>
          </w:p>
        </w:tc>
        <w:tc>
          <w:tcPr>
            <w:tcW w:w="0" w:type="auto"/>
            <w:vAlign w:val="center"/>
            <w:hideMark/>
          </w:tcPr>
          <w:p w14:paraId="567A6367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Micro-segmentation isolates only the infected host; remediation pipeline is automated for fast restoration</w:t>
            </w:r>
          </w:p>
        </w:tc>
      </w:tr>
      <w:tr w:rsidR="00AF7F20" w:rsidRPr="00AF7F20" w14:paraId="12BB4A89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CE55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C. Detection within 2 minutes</w:t>
            </w:r>
          </w:p>
        </w:tc>
        <w:tc>
          <w:tcPr>
            <w:tcW w:w="0" w:type="auto"/>
            <w:vAlign w:val="center"/>
            <w:hideMark/>
          </w:tcPr>
          <w:p w14:paraId="4DB77975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Real-time IDS/IPS + EDR + NetFlow correlation via SIEM, with automated threshold-based alerting</w:t>
            </w:r>
          </w:p>
        </w:tc>
      </w:tr>
      <w:tr w:rsidR="00AF7F20" w:rsidRPr="00AF7F20" w14:paraId="79A11DA5" w14:textId="77777777" w:rsidTr="00AF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12C2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D. Differentiate malware type</w:t>
            </w:r>
          </w:p>
        </w:tc>
        <w:tc>
          <w:tcPr>
            <w:tcW w:w="0" w:type="auto"/>
            <w:vAlign w:val="center"/>
            <w:hideMark/>
          </w:tcPr>
          <w:p w14:paraId="14075DAB" w14:textId="77777777" w:rsidR="00AF7F20" w:rsidRPr="00AF7F20" w:rsidRDefault="00AF7F20" w:rsidP="00AF7F20">
            <w:pPr>
              <w:spacing w:after="240" w:line="360" w:lineRule="auto"/>
              <w:ind w:left="720"/>
              <w:rPr>
                <w:sz w:val="24"/>
                <w:szCs w:val="24"/>
                <w:lang w:val="en-US"/>
              </w:rPr>
            </w:pPr>
            <w:r w:rsidRPr="00AF7F20">
              <w:rPr>
                <w:sz w:val="24"/>
                <w:szCs w:val="24"/>
                <w:lang w:val="en-US"/>
              </w:rPr>
              <w:t>Behavioral fingerprinting (propagation pattern, process ancestry, C2 vs internal spread) drives classification and response logic</w:t>
            </w:r>
          </w:p>
        </w:tc>
      </w:tr>
    </w:tbl>
    <w:p w14:paraId="1249BBD9" w14:textId="77777777" w:rsidR="00AF7F20" w:rsidRDefault="00AF7F20" w:rsidP="00AF7F20">
      <w:pPr>
        <w:spacing w:after="240" w:line="360" w:lineRule="auto"/>
        <w:ind w:left="720"/>
        <w:rPr>
          <w:sz w:val="24"/>
          <w:szCs w:val="24"/>
        </w:rPr>
      </w:pPr>
    </w:p>
    <w:p w14:paraId="270891DB" w14:textId="77777777" w:rsidR="00FD4D8E" w:rsidRDefault="00FD4D8E">
      <w:pPr>
        <w:spacing w:before="240" w:after="240" w:line="360" w:lineRule="auto"/>
        <w:ind w:left="720"/>
        <w:rPr>
          <w:sz w:val="24"/>
          <w:szCs w:val="24"/>
        </w:rPr>
      </w:pPr>
    </w:p>
    <w:p w14:paraId="6DD2E04A" w14:textId="77777777" w:rsidR="00AF7F20" w:rsidRDefault="00AF7F20">
      <w:pPr>
        <w:spacing w:before="240" w:after="240" w:line="360" w:lineRule="auto"/>
        <w:jc w:val="both"/>
        <w:rPr>
          <w:sz w:val="24"/>
          <w:szCs w:val="24"/>
        </w:rPr>
      </w:pPr>
    </w:p>
    <w:p w14:paraId="234D2EF0" w14:textId="77777777" w:rsidR="00FD4D8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30E7138" w14:textId="77777777" w:rsidR="00FD4D8E" w:rsidRDefault="00FD4D8E">
      <w:pPr>
        <w:rPr>
          <w:sz w:val="24"/>
          <w:szCs w:val="24"/>
        </w:rPr>
      </w:pPr>
    </w:p>
    <w:tbl>
      <w:tblPr>
        <w:tblStyle w:val="a"/>
        <w:tblW w:w="9371" w:type="dxa"/>
        <w:tblInd w:w="-21" w:type="dxa"/>
        <w:tblLayout w:type="fixed"/>
        <w:tblLook w:val="0400" w:firstRow="0" w:lastRow="0" w:firstColumn="0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FD4D8E" w14:paraId="457AD982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A6ED9" w14:textId="77777777" w:rsidR="00FD4D8E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B5E2F" w14:textId="77777777" w:rsidR="00FD4D8E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F92BBA" w14:textId="77777777" w:rsidR="00FD4D8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0F8C09" w14:textId="77777777" w:rsidR="00FD4D8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7C0CB5" w14:textId="77777777" w:rsidR="00FD4D8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007AFB" w14:textId="77777777" w:rsidR="00FD4D8E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D8E" w14:paraId="6698E022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207A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Problem Understanding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5B066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6D2F37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93BFB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ECE58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EEEB7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FD4D8E" w14:paraId="53EE8F88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69B9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38ADE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A32404" w14:textId="77777777" w:rsidR="00FD4D8E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Analyzes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constraints effectively and prioritizes them logically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97E3A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5C4992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F18FE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FD4D8E" w14:paraId="515F161B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2449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DA9C3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765BE2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FC6DE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CFD5A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04335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FD4D8E" w14:paraId="5C774DAD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D915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97DB35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C185A0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303141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E5432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0C3E0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FD4D8E" w14:paraId="0405EE28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D5DD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86E54" w14:textId="77777777" w:rsidR="00FD4D8E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2D6DB2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6360F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4A29C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F073F" w14:textId="77777777" w:rsidR="00FD4D8E" w:rsidRDefault="00000000">
            <w:pPr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728E2814" w14:textId="77777777" w:rsidR="00FD4D8E" w:rsidRDefault="00FD4D8E">
      <w:pPr>
        <w:rPr>
          <w:b/>
          <w:bCs/>
          <w:sz w:val="34"/>
          <w:szCs w:val="34"/>
        </w:rPr>
      </w:pPr>
    </w:p>
    <w:sectPr w:rsidR="00FD4D8E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F480A5-5985-45C6-BFE7-0A561F10B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E80D7C-8432-4C8B-803A-EFEBFD0AE0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C5E"/>
    <w:multiLevelType w:val="multilevel"/>
    <w:tmpl w:val="8658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6477"/>
    <w:multiLevelType w:val="multilevel"/>
    <w:tmpl w:val="C684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A0E4B"/>
    <w:multiLevelType w:val="multilevel"/>
    <w:tmpl w:val="2430A63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B30825"/>
    <w:multiLevelType w:val="hybridMultilevel"/>
    <w:tmpl w:val="3750611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C7E7D"/>
    <w:multiLevelType w:val="multilevel"/>
    <w:tmpl w:val="D054E3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A6E487C"/>
    <w:multiLevelType w:val="multilevel"/>
    <w:tmpl w:val="E86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A4E8C"/>
    <w:multiLevelType w:val="multilevel"/>
    <w:tmpl w:val="3D06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74463"/>
    <w:multiLevelType w:val="multilevel"/>
    <w:tmpl w:val="8A1272C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D80102"/>
    <w:multiLevelType w:val="multilevel"/>
    <w:tmpl w:val="981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B0EBA"/>
    <w:multiLevelType w:val="multilevel"/>
    <w:tmpl w:val="3C54F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33C12"/>
    <w:multiLevelType w:val="multilevel"/>
    <w:tmpl w:val="5E9627E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653AFA"/>
    <w:multiLevelType w:val="multilevel"/>
    <w:tmpl w:val="88EC5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1E1DAD"/>
    <w:multiLevelType w:val="multilevel"/>
    <w:tmpl w:val="5C7EB11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642B20"/>
    <w:multiLevelType w:val="multilevel"/>
    <w:tmpl w:val="4D5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23B4D"/>
    <w:multiLevelType w:val="multilevel"/>
    <w:tmpl w:val="9246003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FE5740C"/>
    <w:multiLevelType w:val="multilevel"/>
    <w:tmpl w:val="7A300FB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16192A"/>
    <w:multiLevelType w:val="multilevel"/>
    <w:tmpl w:val="096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C0778"/>
    <w:multiLevelType w:val="multilevel"/>
    <w:tmpl w:val="8C262DC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52261AD"/>
    <w:multiLevelType w:val="multilevel"/>
    <w:tmpl w:val="C4E048C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ACF3A4B"/>
    <w:multiLevelType w:val="multilevel"/>
    <w:tmpl w:val="180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04697">
    <w:abstractNumId w:val="18"/>
  </w:num>
  <w:num w:numId="2" w16cid:durableId="1273593397">
    <w:abstractNumId w:val="15"/>
  </w:num>
  <w:num w:numId="3" w16cid:durableId="500857347">
    <w:abstractNumId w:val="10"/>
  </w:num>
  <w:num w:numId="4" w16cid:durableId="1199969812">
    <w:abstractNumId w:val="14"/>
  </w:num>
  <w:num w:numId="5" w16cid:durableId="1801797657">
    <w:abstractNumId w:val="17"/>
  </w:num>
  <w:num w:numId="6" w16cid:durableId="216672033">
    <w:abstractNumId w:val="4"/>
  </w:num>
  <w:num w:numId="7" w16cid:durableId="1523590748">
    <w:abstractNumId w:val="12"/>
  </w:num>
  <w:num w:numId="8" w16cid:durableId="100534649">
    <w:abstractNumId w:val="2"/>
  </w:num>
  <w:num w:numId="9" w16cid:durableId="835416242">
    <w:abstractNumId w:val="7"/>
  </w:num>
  <w:num w:numId="10" w16cid:durableId="927427904">
    <w:abstractNumId w:val="11"/>
  </w:num>
  <w:num w:numId="11" w16cid:durableId="842009173">
    <w:abstractNumId w:val="3"/>
  </w:num>
  <w:num w:numId="12" w16cid:durableId="733890350">
    <w:abstractNumId w:val="5"/>
  </w:num>
  <w:num w:numId="13" w16cid:durableId="314651463">
    <w:abstractNumId w:val="19"/>
  </w:num>
  <w:num w:numId="14" w16cid:durableId="1330016715">
    <w:abstractNumId w:val="16"/>
  </w:num>
  <w:num w:numId="15" w16cid:durableId="54664933">
    <w:abstractNumId w:val="8"/>
  </w:num>
  <w:num w:numId="16" w16cid:durableId="1466006306">
    <w:abstractNumId w:val="13"/>
  </w:num>
  <w:num w:numId="17" w16cid:durableId="1070075190">
    <w:abstractNumId w:val="6"/>
  </w:num>
  <w:num w:numId="18" w16cid:durableId="1288969943">
    <w:abstractNumId w:val="1"/>
  </w:num>
  <w:num w:numId="19" w16cid:durableId="466748755">
    <w:abstractNumId w:val="9"/>
  </w:num>
  <w:num w:numId="20" w16cid:durableId="100690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D8E"/>
    <w:rsid w:val="002E6BEB"/>
    <w:rsid w:val="00A147EE"/>
    <w:rsid w:val="00AF7F20"/>
    <w:rsid w:val="00E876C3"/>
    <w:rsid w:val="00F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0796"/>
  <w15:docId w15:val="{33CF5DED-9C1B-45A3-9955-CFCEB47F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F7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5P9JmYcAq3hGtLcSsp0+y/ydDA==">CgMxLjA4AHIhMW5hS2l5WEtmMXdqN29ZM1ZuMTdMeEVlOGFSUjdPdlla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2291</Words>
  <Characters>13060</Characters>
  <Application>Microsoft Office Word</Application>
  <DocSecurity>0</DocSecurity>
  <Lines>108</Lines>
  <Paragraphs>30</Paragraphs>
  <ScaleCrop>false</ScaleCrop>
  <Company/>
  <LinksUpToDate>false</LinksUpToDate>
  <CharactersWithSpaces>15321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Hayagriva R A Hayagriva</cp:lastModifiedBy>
  <cp:revision>2</cp:revision>
  <dcterms:created xsi:type="dcterms:W3CDTF">2026-08-30T04:36:00Z</dcterms:created>
  <dcterms:modified xsi:type="dcterms:W3CDTF">2026-08-30T04:36:00Z</dcterms:modified>
</cp:coreProperties>
</file>