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425" w:lineRule="exact"/>
        <w:jc w:val="center"/>
      </w:pPr>
      <w:r>
        <w:rPr>
          <w:b w:val="0"/>
          <w:i w:val="0"/>
          <w:sz w:val="36"/>
        </w:rPr>
        <w:t>MARLで制御するEV群は調整力市場に参加し続けられるか</w:t>
      </w:r>
    </w:p>
    <w:p>
      <w:pPr>
        <w:spacing w:after="0" w:line="189" w:lineRule="exact"/>
        <w:jc w:val="center"/>
      </w:pPr>
      <w:r>
        <w:rPr>
          <w:b w:val="0"/>
          <w:i w:val="0"/>
          <w:color w:val="444444"/>
          <w:sz w:val="16"/>
        </w:rPr>
        <w:t>（日本語の下書き。灰色の注記は、まだ測っていないことや決めていないこと）</w:t>
      </w:r>
    </w:p>
    <w:p>
      <w:pPr>
        <w:spacing w:after="160" w:line="260" w:lineRule="exact"/>
        <w:jc w:val="center"/>
      </w:pPr>
      <w:r>
        <w:rPr>
          <w:b w:val="0"/>
          <w:i w:val="0"/>
          <w:sz w:val="22"/>
        </w:rPr>
        <w:t>Koshin Hayashi, Sihui Xue, and Daisuke Kodaira</w:t>
      </w:r>
    </w:p>
    <w:p>
      <w:pPr>
        <w:sectPr>
          <w:pgSz w:w="12240" w:h="15840"/>
          <w:pgMar w:top="1080" w:right="900" w:bottom="1440" w:left="900" w:header="720" w:footer="720" w:gutter="0"/>
          <w:docGrid w:linePitch="360"/>
          <w:cols w:num="1" w:space="360"/>
        </w:sectPr>
      </w:pPr>
    </w:p>
    <w:p w14:paraId="14769EA4" w14:textId="5E153C08" w:rsidR="00387C47" w:rsidRDefault="00000000">
      <w:pPr>
        <w:rPr>
          <w:lang w:eastAsia="ja-JP"/>
        </w:rPr>
      </w:pPr>
      <w:r>
        <w:rPr>
          <w:b/>
          <w:lang w:eastAsia="ja-JP"/>
        </w:rPr>
        <w:t>要旨</w:t>
      </w:r>
      <w:r>
        <w:rPr>
          <w:b/>
          <w:lang w:eastAsia="ja-JP"/>
        </w:rPr>
        <w:t>—</w:t>
      </w:r>
      <w:r w:rsidR="00F60531" w:rsidRPr="00EB1E97">
        <w:rPr>
          <w:rFonts w:hint="eastAsia"/>
          <w:b/>
          <w:color w:val="EE0000"/>
          <w:lang w:eastAsia="ja-JP"/>
        </w:rPr>
        <w:t>地理的に分散した</w:t>
      </w:r>
      <w:r w:rsidR="00F60531" w:rsidRPr="00EB1E97">
        <w:rPr>
          <w:rFonts w:hint="eastAsia"/>
          <w:b/>
          <w:color w:val="EE0000"/>
          <w:lang w:eastAsia="ja-JP"/>
        </w:rPr>
        <w:t>EV</w:t>
      </w:r>
      <w:r w:rsidR="00F60531" w:rsidRPr="00EB1E97">
        <w:rPr>
          <w:rFonts w:hint="eastAsia"/>
          <w:b/>
          <w:color w:val="EE0000"/>
          <w:lang w:eastAsia="ja-JP"/>
        </w:rPr>
        <w:t>をまとめ上げ、</w:t>
      </w:r>
      <w:r w:rsidR="00476778" w:rsidRPr="00EB1E97">
        <w:rPr>
          <w:rFonts w:hint="eastAsia"/>
          <w:b/>
          <w:color w:val="EE0000"/>
          <w:lang w:eastAsia="ja-JP"/>
        </w:rPr>
        <w:t>VPP</w:t>
      </w:r>
      <w:r w:rsidR="00F60531" w:rsidRPr="00EB1E97">
        <w:rPr>
          <w:rFonts w:hint="eastAsia"/>
          <w:b/>
          <w:color w:val="EE0000"/>
          <w:lang w:eastAsia="ja-JP"/>
        </w:rPr>
        <w:t>として需給調整市場に参入する試みは多くなされている。その際分散制御に強い</w:t>
      </w:r>
      <w:r w:rsidR="00F60531" w:rsidRPr="00EB1E97">
        <w:rPr>
          <w:rFonts w:hint="eastAsia"/>
          <w:b/>
          <w:color w:val="EE0000"/>
          <w:lang w:eastAsia="ja-JP"/>
        </w:rPr>
        <w:t>marl</w:t>
      </w:r>
      <w:r w:rsidR="00F60531" w:rsidRPr="00EB1E97">
        <w:rPr>
          <w:rFonts w:hint="eastAsia"/>
          <w:b/>
          <w:color w:val="EE0000"/>
          <w:lang w:eastAsia="ja-JP"/>
        </w:rPr>
        <w:t>が多く使われ、</w:t>
      </w:r>
      <w:r w:rsidR="00F60531" w:rsidRPr="00EB1E97">
        <w:rPr>
          <w:rFonts w:hint="eastAsia"/>
          <w:color w:val="EE0000"/>
          <w:lang w:eastAsia="ja-JP"/>
        </w:rPr>
        <w:t>高い性能が報告されている。しかし、</w:t>
      </w:r>
      <w:r w:rsidRPr="00EB1E97">
        <w:rPr>
          <w:color w:val="EE0000"/>
          <w:lang w:eastAsia="ja-JP"/>
        </w:rPr>
        <w:t>多くは簡略化した</w:t>
      </w:r>
      <w:r w:rsidR="00F60531" w:rsidRPr="00EB1E97">
        <w:rPr>
          <w:rFonts w:hint="eastAsia"/>
          <w:color w:val="EE0000"/>
          <w:lang w:eastAsia="ja-JP"/>
        </w:rPr>
        <w:t>環境を想定し、また実際に市場の規則と照らし合わせて達成可能かを判定したものは少ない</w:t>
      </w:r>
      <w:r w:rsidRPr="00EB1E97">
        <w:rPr>
          <w:color w:val="EE0000"/>
          <w:lang w:eastAsia="ja-JP"/>
        </w:rPr>
        <w:t>。本研究</w:t>
      </w:r>
      <w:r w:rsidR="00F91E5B" w:rsidRPr="00EB1E97">
        <w:rPr>
          <w:rFonts w:hint="eastAsia"/>
          <w:color w:val="EE0000"/>
          <w:lang w:eastAsia="ja-JP"/>
        </w:rPr>
        <w:t>で</w:t>
      </w:r>
      <w:r w:rsidRPr="00EB1E97">
        <w:rPr>
          <w:color w:val="EE0000"/>
          <w:lang w:eastAsia="ja-JP"/>
        </w:rPr>
        <w:t>は、</w:t>
      </w:r>
      <w:r w:rsidR="00F91E5B" w:rsidRPr="00EB1E97">
        <w:rPr>
          <w:rFonts w:hint="eastAsia"/>
          <w:color w:val="EE0000"/>
          <w:lang w:eastAsia="ja-JP"/>
        </w:rPr>
        <w:t>実際の状況に近い</w:t>
      </w:r>
      <w:r w:rsidR="00F91E5B" w:rsidRPr="00EB1E97">
        <w:rPr>
          <w:rFonts w:hint="eastAsia"/>
          <w:color w:val="EE0000"/>
          <w:lang w:eastAsia="ja-JP"/>
        </w:rPr>
        <w:t>EV</w:t>
      </w:r>
      <w:r w:rsidR="00F91E5B" w:rsidRPr="00EB1E97">
        <w:rPr>
          <w:rFonts w:hint="eastAsia"/>
          <w:color w:val="EE0000"/>
          <w:lang w:eastAsia="ja-JP"/>
        </w:rPr>
        <w:t>環境を用意し、また複数の需給調整市場の実過去指令を用いてシミュレーション環境を構築し、</w:t>
      </w:r>
      <w:r w:rsidR="00EB1E97">
        <w:rPr>
          <w:rFonts w:hint="eastAsia"/>
          <w:color w:val="EE0000"/>
          <w:lang w:eastAsia="ja-JP"/>
        </w:rPr>
        <w:t>そこで</w:t>
      </w:r>
      <w:r w:rsidR="00F91E5B" w:rsidRPr="00EB1E97">
        <w:rPr>
          <w:rFonts w:hint="eastAsia"/>
          <w:color w:val="EE0000"/>
          <w:lang w:eastAsia="ja-JP"/>
        </w:rPr>
        <w:t>先行研究の方式を再現し、市場の判定に照らし合わせた。</w:t>
      </w:r>
      <w:r w:rsidR="00EB1E97">
        <w:rPr>
          <w:rFonts w:hint="eastAsia"/>
          <w:color w:val="EE0000"/>
          <w:lang w:eastAsia="ja-JP"/>
        </w:rPr>
        <w:t>その上で、制御の難しさを複数の側面に切り分け、それらに対応した、この実際の環境にも</w:t>
      </w:r>
      <w:r w:rsidR="006066D4">
        <w:rPr>
          <w:rFonts w:hint="eastAsia"/>
          <w:color w:val="EE0000"/>
          <w:lang w:eastAsia="ja-JP"/>
        </w:rPr>
        <w:t>適用できる入札・制御システムを構築した。その結果、先行研究が</w:t>
      </w:r>
      <w:r w:rsidR="006066D4">
        <w:rPr>
          <w:rFonts w:hint="eastAsia"/>
          <w:color w:val="EE0000"/>
          <w:lang w:eastAsia="ja-JP"/>
        </w:rPr>
        <w:t>///</w:t>
      </w:r>
      <w:r w:rsidR="006066D4">
        <w:rPr>
          <w:rFonts w:hint="eastAsia"/>
          <w:color w:val="EE0000"/>
          <w:lang w:eastAsia="ja-JP"/>
        </w:rPr>
        <w:t>の性能に対し、このシステムは</w:t>
      </w:r>
      <w:r w:rsidR="006066D4">
        <w:rPr>
          <w:rFonts w:hint="eastAsia"/>
          <w:color w:val="EE0000"/>
          <w:lang w:eastAsia="ja-JP"/>
        </w:rPr>
        <w:t>///</w:t>
      </w:r>
      <w:r w:rsidR="006066D4">
        <w:rPr>
          <w:rFonts w:hint="eastAsia"/>
          <w:color w:val="EE0000"/>
          <w:lang w:eastAsia="ja-JP"/>
        </w:rPr>
        <w:t>の結果になった。</w:t>
      </w:r>
    </w:p>
    <w:p w14:paraId="0E0A7563" w14:textId="77777777" w:rsidR="00B60BAD" w:rsidRDefault="00000000" w:rsidP="00B60BAD">
      <w:pPr>
        <w:spacing w:after="80"/>
        <w:rPr>
          <w:b/>
          <w:color w:val="EE0000"/>
          <w:lang w:eastAsia="ja-JP"/>
        </w:rPr>
      </w:pPr>
      <w:r>
        <w:rPr>
          <w:b/>
          <w:lang w:eastAsia="ja-JP"/>
        </w:rPr>
        <w:t>索引語</w:t>
      </w:r>
      <w:r>
        <w:rPr>
          <w:b/>
          <w:lang w:eastAsia="ja-JP"/>
        </w:rPr>
        <w:t>—</w:t>
      </w:r>
      <w:r w:rsidRPr="00B60BAD">
        <w:rPr>
          <w:b/>
          <w:color w:val="EE0000"/>
          <w:lang w:eastAsia="ja-JP"/>
        </w:rPr>
        <w:t>電気自動車、マルチエージェント強化学習、</w:t>
      </w:r>
      <w:r w:rsidR="00B60BAD">
        <w:rPr>
          <w:rFonts w:hint="eastAsia"/>
          <w:b/>
          <w:color w:val="EE0000"/>
          <w:lang w:eastAsia="ja-JP"/>
        </w:rPr>
        <w:t>******</w:t>
      </w:r>
    </w:p>
    <w:p>
      <w:pPr>
        <w:spacing w:after="40" w:before="120"/>
        <w:jc w:val="center"/>
      </w:pPr>
      <w:r>
        <w:rPr>
          <w:b w:val="0"/>
          <w:i w:val="0"/>
          <w:smallCaps/>
          <w:sz w:val="20"/>
        </w:rPr>
        <w:t>I. はじめに</w:t>
      </w:r>
    </w:p>
    <w:p>
      <w:pPr>
        <w:spacing w:after="0"/>
        <w:ind w:firstLine="202"/>
      </w:pPr>
      <w:r>
        <w:rPr>
          <w:b w:val="0"/>
          <w:i w:val="0"/>
          <w:sz w:val="20"/>
        </w:rPr>
        <w:t>EVの充電を束ねて調整力として売る仕組みは、仮想発電所（VPP）の一つとして研究が進んでいる。EVを動かす権利は、多くの場合、充電ステーション（以下station）の側にある。市場に入札するのはアグリゲーターだが、各stationは自局の利用者の都合を優先し、見合う対価がなければ指令に従わない。各stationが自局のEVだけを見て動く分散制御は、この状況に合う。中央に全EVの状態を集めずに済むので、通信と計算の負担が小さく、利用者の情報も外に出ない。</w:t>
      </w:r>
    </w:p>
    <w:p>
      <w:pPr>
        <w:spacing w:after="0"/>
        <w:ind w:firstLine="202"/>
      </w:pPr>
      <w:r>
        <w:rPr>
          <w:b w:val="0"/>
          <w:i w:val="0"/>
          <w:sz w:val="20"/>
        </w:rPr>
        <w:t>EV群を調整力の指令に追従させる制御として、学習や分散最適化を使う方式が多く提案されている［2］〜［7］［17］。マルチエージェント強化学習（MARL）では、Wangらが、EV1台ずつのMARLでPJMのRegDに追従させ、平均の誤差5.53%を報告した［2］。著者らの既発表の論文も、stationごとのMADDPGで、帯に入った時刻の割合97%を報告した［1］。これらの研究が報告する値は、誤差1〜6%、追従率95〜97%と高い。</w:t>
      </w:r>
    </w:p>
    <w:p>
      <w:pPr>
        <w:spacing w:after="0"/>
        <w:ind w:firstLine="202"/>
      </w:pPr>
      <w:r>
        <w:rPr>
          <w:b w:val="0"/>
          <w:i w:val="0"/>
          <w:sz w:val="20"/>
        </w:rPr>
        <w:t>ただし、これらの評価には3つの課題がある。1つ目は、評価の環境が簡略化されていることである。多くはPJMのRegDか合成した信号を使い、評価には平均誤差率やRMSEのような平均の指標を使う［2］［3］［7］。実際の市場は、平均ではなく区間ごとの合否で判定する。日本の二次調整力②は、30分コマの1分値30点のうち27点が「指令量±約定量の10%」に入れば合格とし、同じリソースが1か月に3回不適合になると新規取引を停止しうる［15］。PJMの性能スコアを収入に入れた研究［5］や、平均誤差率を市場の閾値と比べた研究［7］はあるが、コマごとの合否と参加の停止までを扱った評価は見当たらない。日本の二次②の指令のように、エネルギーの収支が0にならない指令で動くかも分かっていない。</w:t>
      </w:r>
    </w:p>
    <w:p>
      <w:pPr>
        <w:spacing w:after="0"/>
        <w:ind w:firstLine="202"/>
      </w:pPr>
      <w:r>
        <w:rPr>
          <w:b w:val="0"/>
          <w:i w:val="0"/>
          <w:sz w:val="20"/>
        </w:rPr>
        <w:t>2つ目は、性能が足りないときに、どこに難しさがあるかが分からないことである。入札と制御を同時に検証した論文は少なく、同時に扱ったものも、入札と制御の効果を切り分けられない構造になっている。入札の段階で無理な量を約束したのか、制御が指令を外したのかが分からなければ、何を直せばよいかも決まらない。</w:t>
      </w:r>
    </w:p>
    <w:p>
      <w:pPr>
        <w:spacing w:after="0"/>
        <w:ind w:firstLine="202"/>
      </w:pPr>
      <w:r>
        <w:rPr>
          <w:b w:val="0"/>
          <w:i w:val="0"/>
          <w:sz w:val="20"/>
        </w:rPr>
        <w:t>3つ目は、実際の状況の難しさを入れた環境で動く入札と制御のシステムがないことである。前日の入札の時点では、当日の指令もEVの来方も分からない。利用者の充電需要は必ず満たさなければならない。入札の側では、EVと指令の不確実性を確率計画や頑健最適化で扱う入札［9］［10］［11］［29］〜［31］がある。しかし、どれも指令を値の範囲や確率分布で近似し、可否をSoCや蓄電量の上下限、点数で決めている。市場が実際に下す判定、すなわちコマごとに約定量の帯の中へ追従できたかを、入札の段階で保証するものはない。学習した制御器と組み合わせる入札は、入札も学習で決めるもの［5］［12］で、この判定を保証しない。</w:t>
      </w:r>
    </w:p>
    <w:p>
      <w:pPr>
        <w:spacing w:after="0"/>
        <w:ind w:firstLine="202"/>
      </w:pPr>
      <w:r>
        <w:rPr>
          <w:b w:val="0"/>
          <w:i w:val="0"/>
          <w:sz w:val="20"/>
        </w:rPr>
        <w:t>本研究の貢献は次の3つである。第一に、市場の判定そのものを入札の制約にした。過去の実データから作った指令系列と、実際の充電記録から作ったEVの実現を標本にし、そのすべての組で、5分ごとのEV群の電力が30分コマごとに約定量の±10%の帯に収まる充電計画が存在する入札を、前日に求める。我々の知る限り、市場の追従の判定をこの形で入札に課したEV群の調整力の入札は、本研究が初めてである。この入札はシナリオに基づく頑健最適化［25］〜［27］の形をとり、分散MARLの制御器につなぐため、制御器の誤差から決めた最低入札量と出力の余裕、基準電力の段差の罰を加える。さらに、標本の取り方（指令の本数、EVの実現の数と選び方、予測精度）が標本の外での成立を左右することを示し、市場の要求から組み合わせを選ぶ（課題3）。第二に、MARLで制御するEV群を、市場が実際に下す判定で評価した。日本の二次②のコマごとの合否と参加停止の規則、およびPJMの点数で、先行研究の方式と本研究のシステムを測る。MARLのEV群をこの判定で評価したのも、本研究が初めてである（課題1）。第三に、残る難しさの所在を量で示した。入札と制御に渡す情報を一つずつ変え、足りない分を、入札の側（EVが分からないこと）と制御の側（先を知らずに実時間で動かすこと、分散で動かすこと）に分ける。そのうえで、埋めるのに要る連系点の蓄電池の大きさと、市場の判定の形による違いを示す（課題2）。評価には、AEMOとERCOTの計画からのずれとPJMのRegDという3つの市場の実データから作った指令と、実際の充電セッションのデータを使う。</w:t>
      </w:r>
    </w:p>
    <w:p>
      <w:pPr>
        <w:keepNext/>
        <w:spacing w:after="0" w:line="189" w:lineRule="exact" w:before="80"/>
        <w:jc w:val="center"/>
      </w:pPr>
      <w:r>
        <w:rPr>
          <w:b w:val="0"/>
          <w:i w:val="0"/>
          <w:sz w:val="16"/>
        </w:rPr>
        <w:t>TABLE I</w:t>
      </w:r>
    </w:p>
    <w:p>
      <w:pPr>
        <w:keepNext/>
        <w:spacing w:after="40" w:line="189" w:lineRule="exact"/>
        <w:jc w:val="center"/>
      </w:pPr>
      <w:r>
        <w:rPr>
          <w:b w:val="0"/>
          <w:i w:val="0"/>
          <w:sz w:val="16"/>
        </w:rPr>
        <w:t>追従の判定：市場ごとの比較［15］［16］［22］［23］</w:t>
      </w:r>
    </w:p>
    <w:tbl>
      <w:tblPr>
        <w:tblW w:type="dxa" w:w="4968"/>
        <w:jc w:val="center"/>
        <w:tblLayout w:type="fixed"/>
        <w:tblLook w:firstColumn="1" w:firstRow="1" w:lastColumn="0" w:lastRow="0" w:noHBand="0" w:noVBand="1" w:val="04A0"/>
        <w:tblLayout w:type="fixed"/>
        <w:tblBorders>
          <w:top w:val="single" w:sz="8" w:color="000000"/>
          <w:bottom w:val="single" w:sz="8" w:color="000000"/>
        </w:tblBorders>
      </w:tblPr>
      <w:tblGrid>
        <w:gridCol w:w="792"/>
        <w:gridCol w:w="892"/>
        <w:gridCol w:w="1123"/>
        <w:gridCol w:w="1224"/>
        <w:gridCol w:w="936"/>
      </w:tblGrid>
      <w:tr>
        <w:tc>
          <w:tcPr>
            <w:tcW w:type="dxa" w:w="792"/>
            <w:tcBorders>
              <w:bottom w:val="single" w:sz="4" w:color="000000"/>
            </w:tcBorders>
          </w:tcPr>
          <w:p>
            <w:pPr>
              <w:keepNext/>
              <w:spacing w:line="149" w:lineRule="exact"/>
            </w:pPr>
            <w:r/>
            <w:r>
              <w:rPr>
                <w:b/>
                <w:sz w:val="13"/>
              </w:rPr>
              <w:t>市場</w:t>
            </w:r>
          </w:p>
        </w:tc>
        <w:tc>
          <w:tcPr>
            <w:tcW w:type="dxa" w:w="893"/>
            <w:tcBorders>
              <w:bottom w:val="single" w:sz="4" w:color="000000"/>
            </w:tcBorders>
          </w:tcPr>
          <w:p>
            <w:pPr>
              <w:keepNext/>
              <w:spacing w:line="149" w:lineRule="exact"/>
            </w:pPr>
            <w:r/>
            <w:r>
              <w:rPr>
                <w:b/>
                <w:sz w:val="13"/>
              </w:rPr>
              <w:t>判定の単位</w:t>
            </w:r>
          </w:p>
        </w:tc>
        <w:tc>
          <w:tcPr>
            <w:tcW w:type="dxa" w:w="1123"/>
            <w:tcBorders>
              <w:bottom w:val="single" w:sz="4" w:color="000000"/>
            </w:tcBorders>
          </w:tcPr>
          <w:p>
            <w:pPr>
              <w:keepNext/>
              <w:spacing w:line="149" w:lineRule="exact"/>
            </w:pPr>
            <w:r/>
            <w:r>
              <w:rPr>
                <w:b/>
                <w:sz w:val="13"/>
              </w:rPr>
              <w:t>許容</w:t>
            </w:r>
          </w:p>
        </w:tc>
        <w:tc>
          <w:tcPr>
            <w:tcW w:type="dxa" w:w="1224"/>
            <w:tcBorders>
              <w:bottom w:val="single" w:sz="4" w:color="000000"/>
            </w:tcBorders>
          </w:tcPr>
          <w:p>
            <w:pPr>
              <w:keepNext/>
              <w:spacing w:line="149" w:lineRule="exact"/>
            </w:pPr>
            <w:r/>
            <w:r>
              <w:rPr>
                <w:b/>
                <w:sz w:val="13"/>
              </w:rPr>
              <w:t>続けて参加する条件</w:t>
            </w:r>
          </w:p>
        </w:tc>
        <w:tc>
          <w:tcPr>
            <w:tcW w:type="dxa" w:w="936"/>
            <w:tcBorders>
              <w:bottom w:val="single" w:sz="4" w:color="000000"/>
            </w:tcBorders>
          </w:tcPr>
          <w:p>
            <w:pPr>
              <w:keepNext/>
              <w:spacing w:line="149" w:lineRule="exact"/>
            </w:pPr>
            <w:r/>
            <w:r>
              <w:rPr>
                <w:b/>
                <w:sz w:val="13"/>
              </w:rPr>
              <w:t>外れたとき</w:t>
            </w:r>
          </w:p>
        </w:tc>
      </w:tr>
      <w:tr>
        <w:tc>
          <w:tcPr>
            <w:tcW w:type="dxa" w:w="792"/>
          </w:tcPr>
          <w:p>
            <w:pPr>
              <w:keepNext/>
              <w:spacing w:line="149" w:lineRule="exact"/>
            </w:pPr>
            <w:r/>
            <w:r>
              <w:rPr>
                <w:b w:val="0"/>
                <w:sz w:val="13"/>
              </w:rPr>
              <w:t>日本 二次②</w:t>
            </w:r>
          </w:p>
        </w:tc>
        <w:tc>
          <w:tcPr>
            <w:tcW w:type="dxa" w:w="893"/>
          </w:tcPr>
          <w:p>
            <w:pPr>
              <w:keepNext/>
              <w:spacing w:line="149" w:lineRule="exact"/>
            </w:pPr>
            <w:r/>
            <w:r>
              <w:rPr>
                <w:b w:val="0"/>
                <w:sz w:val="13"/>
              </w:rPr>
              <w:t>1分値・30分コマ</w:t>
            </w:r>
          </w:p>
        </w:tc>
        <w:tc>
          <w:tcPr>
            <w:tcW w:type="dxa" w:w="1123"/>
          </w:tcPr>
          <w:p>
            <w:pPr>
              <w:keepNext/>
              <w:spacing w:line="149" w:lineRule="exact"/>
            </w:pPr>
            <w:r/>
            <w:r>
              <w:rPr>
                <w:b w:val="0"/>
                <w:sz w:val="13"/>
              </w:rPr>
              <w:t>約定量の±10%</w:t>
            </w:r>
          </w:p>
        </w:tc>
        <w:tc>
          <w:tcPr>
            <w:tcW w:type="dxa" w:w="1224"/>
          </w:tcPr>
          <w:p>
            <w:pPr>
              <w:keepNext/>
              <w:spacing w:line="149" w:lineRule="exact"/>
            </w:pPr>
            <w:r/>
            <w:r>
              <w:rPr>
                <w:b w:val="0"/>
                <w:sz w:val="13"/>
              </w:rPr>
              <w:t>30点中27点。月3回の不適合で停止のおそれ</w:t>
            </w:r>
          </w:p>
        </w:tc>
        <w:tc>
          <w:tcPr>
            <w:tcW w:type="dxa" w:w="936"/>
          </w:tcPr>
          <w:p>
            <w:pPr>
              <w:keepNext/>
              <w:spacing w:line="149" w:lineRule="exact"/>
            </w:pPr>
            <w:r/>
            <w:r>
              <w:rPr>
                <w:b w:val="0"/>
                <w:sz w:val="13"/>
              </w:rPr>
              <w:t>コマの料金を返す</w:t>
            </w:r>
          </w:p>
        </w:tc>
      </w:tr>
      <w:tr>
        <w:tc>
          <w:tcPr>
            <w:tcW w:type="dxa" w:w="792"/>
          </w:tcPr>
          <w:p>
            <w:pPr>
              <w:keepNext/>
              <w:spacing w:line="149" w:lineRule="exact"/>
            </w:pPr>
            <w:r/>
            <w:r>
              <w:rPr>
                <w:b w:val="0"/>
                <w:sz w:val="13"/>
              </w:rPr>
              <w:t>PJM</w:t>
            </w:r>
          </w:p>
        </w:tc>
        <w:tc>
          <w:tcPr>
            <w:tcW w:type="dxa" w:w="893"/>
          </w:tcPr>
          <w:p>
            <w:pPr>
              <w:keepNext/>
              <w:spacing w:line="149" w:lineRule="exact"/>
            </w:pPr>
            <w:r/>
            <w:r>
              <w:rPr>
                <w:b w:val="0"/>
                <w:sz w:val="13"/>
              </w:rPr>
              <w:t>10秒・5分の点数</w:t>
            </w:r>
          </w:p>
        </w:tc>
        <w:tc>
          <w:tcPr>
            <w:tcW w:type="dxa" w:w="1123"/>
          </w:tcPr>
          <w:p>
            <w:pPr>
              <w:keepNext/>
              <w:spacing w:line="149" w:lineRule="exact"/>
            </w:pPr>
            <w:r/>
            <w:r>
              <w:rPr>
                <w:b w:val="0"/>
                <w:sz w:val="13"/>
              </w:rPr>
              <w:t>誤差÷(0.5|信号|＋0.5 AReg)</w:t>
            </w:r>
          </w:p>
        </w:tc>
        <w:tc>
          <w:tcPr>
            <w:tcW w:type="dxa" w:w="1224"/>
          </w:tcPr>
          <w:p>
            <w:pPr>
              <w:keepNext/>
              <w:spacing w:line="149" w:lineRule="exact"/>
            </w:pPr>
            <w:r/>
            <w:r>
              <w:rPr>
                <w:b w:val="0"/>
                <w:sz w:val="13"/>
              </w:rPr>
              <w:t>100時間の平均40%以上</w:t>
            </w:r>
          </w:p>
        </w:tc>
        <w:tc>
          <w:tcPr>
            <w:tcW w:type="dxa" w:w="936"/>
          </w:tcPr>
          <w:p>
            <w:pPr>
              <w:keepNext/>
              <w:spacing w:line="149" w:lineRule="exact"/>
            </w:pPr>
            <w:r/>
            <w:r>
              <w:rPr>
                <w:b w:val="0"/>
                <w:color w:val="999999"/>
                <w:sz w:val="13"/>
              </w:rPr>
              <w:t>点数に比例。25%未満は0</w:t>
            </w:r>
          </w:p>
        </w:tc>
      </w:tr>
      <w:tr>
        <w:tc>
          <w:tcPr>
            <w:tcW w:type="dxa" w:w="792"/>
          </w:tcPr>
          <w:p>
            <w:pPr>
              <w:keepNext/>
              <w:spacing w:line="149" w:lineRule="exact"/>
            </w:pPr>
            <w:r/>
            <w:r>
              <w:rPr>
                <w:b w:val="0"/>
                <w:sz w:val="13"/>
              </w:rPr>
              <w:t>CAISO</w:t>
            </w:r>
          </w:p>
        </w:tc>
        <w:tc>
          <w:tcPr>
            <w:tcW w:type="dxa" w:w="893"/>
          </w:tcPr>
          <w:p>
            <w:pPr>
              <w:keepNext/>
              <w:spacing w:line="149" w:lineRule="exact"/>
            </w:pPr>
            <w:r/>
            <w:r>
              <w:rPr>
                <w:b w:val="0"/>
                <w:sz w:val="13"/>
              </w:rPr>
              <w:t>4秒・15分</w:t>
            </w:r>
          </w:p>
        </w:tc>
        <w:tc>
          <w:tcPr>
            <w:tcW w:type="dxa" w:w="1123"/>
          </w:tcPr>
          <w:p>
            <w:pPr>
              <w:keepNext/>
              <w:spacing w:line="149" w:lineRule="exact"/>
            </w:pPr>
            <w:r/>
            <w:r>
              <w:rPr>
                <w:b w:val="0"/>
                <w:sz w:val="13"/>
              </w:rPr>
              <w:t>偏差の和÷設定値の和</w:t>
            </w:r>
          </w:p>
        </w:tc>
        <w:tc>
          <w:tcPr>
            <w:tcW w:type="dxa" w:w="1224"/>
          </w:tcPr>
          <w:p>
            <w:pPr>
              <w:keepNext/>
              <w:spacing w:line="149" w:lineRule="exact"/>
            </w:pPr>
            <w:r/>
            <w:r>
              <w:rPr>
                <w:b w:val="0"/>
                <w:sz w:val="13"/>
              </w:rPr>
              <w:t>月平均25%以上</w:t>
            </w:r>
          </w:p>
        </w:tc>
        <w:tc>
          <w:tcPr>
            <w:tcW w:type="dxa" w:w="936"/>
          </w:tcPr>
          <w:p>
            <w:pPr>
              <w:keepNext/>
              <w:spacing w:line="149" w:lineRule="exact"/>
            </w:pPr>
            <w:r/>
            <w:r>
              <w:rPr>
                <w:b w:val="0"/>
                <w:sz w:val="13"/>
              </w:rPr>
              <w:t>支払いに精度を掛ける</w:t>
            </w:r>
          </w:p>
        </w:tc>
      </w:tr>
      <w:tr>
        <w:tc>
          <w:tcPr>
            <w:tcW w:type="dxa" w:w="792"/>
          </w:tcPr>
          <w:p>
            <w:pPr>
              <w:keepNext/>
              <w:spacing w:line="149" w:lineRule="exact"/>
            </w:pPr>
            <w:r/>
            <w:r>
              <w:rPr>
                <w:b w:val="0"/>
                <w:sz w:val="13"/>
              </w:rPr>
              <w:t>ERCOT</w:t>
            </w:r>
          </w:p>
        </w:tc>
        <w:tc>
          <w:tcPr>
            <w:tcW w:type="dxa" w:w="893"/>
          </w:tcPr>
          <w:p>
            <w:pPr>
              <w:keepNext/>
              <w:spacing w:line="149" w:lineRule="exact"/>
            </w:pPr>
            <w:r/>
            <w:r>
              <w:rPr>
                <w:b w:val="0"/>
                <w:sz w:val="13"/>
              </w:rPr>
              <w:t>5分平均</w:t>
            </w:r>
          </w:p>
        </w:tc>
        <w:tc>
          <w:tcPr>
            <w:tcW w:type="dxa" w:w="1123"/>
          </w:tcPr>
          <w:p>
            <w:pPr>
              <w:keepNext/>
              <w:spacing w:line="149" w:lineRule="exact"/>
            </w:pPr>
            <w:r/>
            <w:r>
              <w:rPr>
                <w:b w:val="0"/>
                <w:sz w:val="13"/>
              </w:rPr>
              <w:t>max(X%, Y MW)</w:t>
            </w:r>
          </w:p>
        </w:tc>
        <w:tc>
          <w:tcPr>
            <w:tcW w:type="dxa" w:w="1224"/>
          </w:tcPr>
          <w:p>
            <w:pPr>
              <w:keepNext/>
              <w:spacing w:line="149" w:lineRule="exact"/>
            </w:pPr>
            <w:r/>
            <w:r>
              <w:rPr>
                <w:b w:val="0"/>
                <w:sz w:val="13"/>
              </w:rPr>
              <w:t>月の区間の85%</w:t>
            </w:r>
          </w:p>
        </w:tc>
        <w:tc>
          <w:tcPr>
            <w:tcW w:type="dxa" w:w="936"/>
          </w:tcPr>
          <w:p>
            <w:pPr>
              <w:keepNext/>
              <w:spacing w:line="149" w:lineRule="exact"/>
            </w:pPr>
            <w:r/>
            <w:r>
              <w:rPr>
                <w:b w:val="0"/>
                <w:sz w:val="13"/>
              </w:rPr>
              <w:t>報告</w:t>
            </w:r>
          </w:p>
        </w:tc>
      </w:tr>
      <w:tr>
        <w:tc>
          <w:tcPr>
            <w:tcW w:type="dxa" w:w="792"/>
          </w:tcPr>
          <w:p>
            <w:pPr>
              <w:keepNext/>
              <w:spacing w:line="149" w:lineRule="exact"/>
            </w:pPr>
            <w:r/>
            <w:r>
              <w:rPr>
                <w:b w:val="0"/>
                <w:sz w:val="13"/>
              </w:rPr>
              <w:t>ドイツ aFRR</w:t>
            </w:r>
          </w:p>
        </w:tc>
        <w:tc>
          <w:tcPr>
            <w:tcW w:type="dxa" w:w="893"/>
          </w:tcPr>
          <w:p>
            <w:pPr>
              <w:keepNext/>
              <w:spacing w:line="149" w:lineRule="exact"/>
            </w:pPr>
            <w:r/>
            <w:r>
              <w:rPr>
                <w:b w:val="0"/>
                <w:sz w:val="13"/>
              </w:rPr>
              <w:t>1秒</w:t>
            </w:r>
          </w:p>
        </w:tc>
        <w:tc>
          <w:tcPr>
            <w:tcW w:type="dxa" w:w="1123"/>
          </w:tcPr>
          <w:p>
            <w:pPr>
              <w:keepNext/>
              <w:spacing w:line="149" w:lineRule="exact"/>
            </w:pPr>
            <w:r/>
            <w:r>
              <w:rPr>
                <w:b w:val="0"/>
                <w:sz w:val="13"/>
              </w:rPr>
              <w:t>許容の幅＋5%</w:t>
            </w:r>
          </w:p>
        </w:tc>
        <w:tc>
          <w:tcPr>
            <w:tcW w:type="dxa" w:w="1224"/>
          </w:tcPr>
          <w:p>
            <w:pPr>
              <w:keepNext/>
              <w:spacing w:line="149" w:lineRule="exact"/>
            </w:pPr>
            <w:r/>
            <w:r>
              <w:rPr>
                <w:b w:val="0"/>
                <w:sz w:val="13"/>
              </w:rPr>
              <w:t>5%を超えた不足を計上</w:t>
            </w:r>
          </w:p>
        </w:tc>
        <w:tc>
          <w:tcPr>
            <w:tcW w:type="dxa" w:w="936"/>
          </w:tcPr>
          <w:p>
            <w:pPr>
              <w:keepNext/>
              <w:spacing w:line="149" w:lineRule="exact"/>
            </w:pPr>
            <w:r/>
            <w:r>
              <w:rPr>
                <w:b w:val="0"/>
                <w:sz w:val="13"/>
              </w:rPr>
              <w:t>不足量×価格</w:t>
            </w:r>
          </w:p>
        </w:tc>
      </w:tr>
      <w:tr>
        <w:tc>
          <w:tcPr>
            <w:tcW w:type="dxa" w:w="792"/>
          </w:tcPr>
          <w:p>
            <w:pPr>
              <w:keepNext w:val="0"/>
              <w:spacing w:line="149" w:lineRule="exact"/>
            </w:pPr>
            <w:r/>
            <w:r>
              <w:rPr>
                <w:b w:val="0"/>
                <w:sz w:val="13"/>
              </w:rPr>
              <w:t>英国 DC</w:t>
            </w:r>
          </w:p>
        </w:tc>
        <w:tc>
          <w:tcPr>
            <w:tcW w:type="dxa" w:w="893"/>
          </w:tcPr>
          <w:p>
            <w:pPr>
              <w:keepNext w:val="0"/>
              <w:spacing w:line="149" w:lineRule="exact"/>
            </w:pPr>
            <w:r/>
            <w:r>
              <w:rPr>
                <w:b w:val="0"/>
                <w:sz w:val="13"/>
              </w:rPr>
              <w:t>20 Hz・30分</w:t>
            </w:r>
          </w:p>
        </w:tc>
        <w:tc>
          <w:tcPr>
            <w:tcW w:type="dxa" w:w="1123"/>
          </w:tcPr>
          <w:p>
            <w:pPr>
              <w:keepNext w:val="0"/>
              <w:spacing w:line="149" w:lineRule="exact"/>
            </w:pPr>
            <w:r/>
            <w:r>
              <w:rPr>
                <w:b w:val="0"/>
                <w:sz w:val="13"/>
              </w:rPr>
              <w:t>3%で減額、7%で0</w:t>
            </w:r>
          </w:p>
        </w:tc>
        <w:tc>
          <w:tcPr>
            <w:tcW w:type="dxa" w:w="1224"/>
          </w:tcPr>
          <w:p>
            <w:pPr>
              <w:keepNext w:val="0"/>
              <w:spacing w:line="149" w:lineRule="exact"/>
            </w:pPr>
            <w:r/>
            <w:r>
              <w:rPr>
                <w:b w:val="0"/>
                <w:sz w:val="13"/>
              </w:rPr>
              <w:t>期間内の最悪値</w:t>
            </w:r>
          </w:p>
        </w:tc>
        <w:tc>
          <w:tcPr>
            <w:tcW w:type="dxa" w:w="936"/>
          </w:tcPr>
          <w:p>
            <w:pPr>
              <w:keepNext w:val="0"/>
              <w:spacing w:line="149" w:lineRule="exact"/>
            </w:pPr>
            <w:r/>
            <w:r>
              <w:rPr>
                <w:b w:val="0"/>
                <w:sz w:val="13"/>
              </w:rPr>
              <w:t>支払いの減額</w:t>
            </w:r>
          </w:p>
        </w:tc>
      </w:tr>
    </w:tbl>
    <w:p>
      <w:pPr>
        <w:spacing w:after="80" w:line="94" w:lineRule="exact"/>
      </w:pPr>
    </w:p>
    <w:p>
      <w:pPr>
        <w:spacing w:after="40" w:before="120"/>
        <w:jc w:val="center"/>
      </w:pPr>
      <w:r>
        <w:rPr>
          <w:b w:val="0"/>
          <w:i w:val="0"/>
          <w:smallCaps/>
          <w:sz w:val="20"/>
        </w:rPr>
        <w:t>II. 問題設定</w:t>
      </w:r>
    </w:p>
    <w:p>
      <w:pPr>
        <w:spacing w:after="20" w:before="60"/>
      </w:pPr>
      <w:r>
        <w:rPr>
          <w:b w:val="0"/>
          <w:i/>
          <w:sz w:val="20"/>
        </w:rPr>
        <w:t>A. 市場の規則</w:t>
      </w:r>
    </w:p>
    <w:p>
      <w:pPr>
        <w:spacing w:after="0"/>
        <w:ind w:firstLine="202"/>
      </w:pPr>
      <w:r>
        <w:rPr>
          <w:b w:val="0"/>
          <w:i w:val="0"/>
          <w:sz w:val="20"/>
        </w:rPr>
        <w:t>本研究は、日本の二次調整力②（以下、二次②）を単独で約定した場合の規則で評価する。二次②は前日に30分コマごとに約定し、指令は5分ごとに出る。判定は2段ある。アセスメントIは、約定した量を30分出し続けられるかを確かめる。アセスメントIIは、1分値で30点のうち27点が指令量±約定量の10%の帯に入るかを判定する。不適合のコマはΔkW料金を全額返し、同じリソースが1か月に3回不適合になると新規取引を停止されうる［15］。平日に1日48コマ入札すると月のコマは960前後になるので、停止を避けるにはコマの合格率を99.69%以上に保つ必要がある。</w:t>
      </w:r>
    </w:p>
    <w:p>
      <w:pPr>
        <w:spacing w:after="0"/>
        <w:ind w:firstLine="202"/>
      </w:pPr>
      <w:r>
        <w:rPr>
          <w:b w:val="0"/>
          <w:i w:val="0"/>
          <w:sz w:val="20"/>
        </w:rPr>
        <w:t>現行の二次②の商品は上げだけである。本研究は、下げも約定できると仮定する。海外には下げも調達する市場があり、ドイツのaFRRは上げと下げを別の商品で、PJMは上下を1つの双方向の商品で調達する。シミュレーションは5分刻みで、指令が一定の5分間はEVの電力も一定に保つ。そのため5分ごとの判定は1分ごとの判定と同じ結果になり、5分の時刻を1つ外したコマは1分ごとの判定でも不合格になる。</w:t>
      </w:r>
    </w:p>
    <w:p>
      <w:pPr>
        <w:spacing w:after="20" w:before="60"/>
      </w:pPr>
      <w:r>
        <w:rPr>
          <w:b w:val="0"/>
          <w:i/>
          <w:sz w:val="20"/>
        </w:rPr>
        <w:t>B. EV群と指令</w:t>
      </w:r>
    </w:p>
    <w:p>
      <w:pPr>
        <w:spacing w:after="0"/>
        <w:ind w:firstLine="202"/>
      </w:pPr>
      <w:r>
        <w:rPr>
          <w:b w:val="0"/>
          <w:i w:val="0"/>
          <w:sz w:val="20"/>
        </w:rPr>
        <w:t>stationは職場と住宅に限る。職場はACNのJPLとCaltechの実セッション［13］、住宅はノルウェーの住宅の実セッション［14］を使い、EVの定格はすべて7.7 kWとした。6 stationは職場3局と住宅3局、20 stationは職場10局と住宅10局である。到着時刻、到着時のSoC、必要なSoCは各stationの実セッションから引き、入札と評価は平日に限る。出発時に必要なSoCは必ず満たす。</w:t>
      </w:r>
    </w:p>
    <w:p>
      <w:pPr>
        <w:spacing w:after="0"/>
        <w:ind w:firstLine="202"/>
      </w:pPr>
      <w:r>
        <w:rPr>
          <w:b w:val="0"/>
          <w:i w:val="0"/>
          <w:sz w:val="20"/>
        </w:rPr>
        <w:t>指令には、AEMOとERCOTの計画からのずれと、PJMのRegDを使う［24］。AEMOとERCOTの指令は、二次②と同じくエネルギーの収支が0にならない。指令の日付は設計用、学習用、評価用に分け、重ならないように使う。</w:t>
      </w:r>
    </w:p>
    <w:p>
      <w:pPr>
        <w:spacing w:after="20" w:before="60"/>
      </w:pPr>
      <w:r>
        <w:rPr>
          <w:b w:val="0"/>
          <w:i/>
          <w:sz w:val="20"/>
        </w:rPr>
        <w:t>C. 情報の制約と評価の方法</w:t>
      </w:r>
    </w:p>
    <w:p>
      <w:pPr>
        <w:spacing w:after="0"/>
        <w:ind w:firstLine="202"/>
      </w:pPr>
      <w:r>
        <w:rPr>
          <w:b w:val="0"/>
          <w:i w:val="0"/>
          <w:sz w:val="20"/>
        </w:rPr>
        <w:t>前日の入札の時点では、当日の指令とEVの実現は分からない。入札器が使えるのは、EVの到着の予測分布と過去の指令だけである。当日の各stationの行動器が使えるのは、自局の情報、前日の入札、当日の指令、1つ前の時刻の全体のずれだけである。全体のずれは連系点の蓄電池が使う値と同じで、蓄電池を置く以上その計測はシステムにある。</w:t>
      </w:r>
    </w:p>
    <w:p>
      <w:pPr>
        <w:spacing w:after="0"/>
        <w:ind w:firstLine="202"/>
      </w:pPr>
      <w:r>
        <w:rPr>
          <w:b w:val="0"/>
          <w:i w:val="0"/>
          <w:sz w:val="20"/>
        </w:rPr>
        <w:t>評価は、検証用の平日5日、学習に使っていない指令4本、EVの乱数2通りを組み合わせた40組で行う。入札が物理的に成り立つかは、別に未見通過率で測る。未見通過率は、検証用の5日、未見の指令128本、独立なEVの実現3通りの1,920組のうち、入札を守る充放電が存在する組の割合である。</w:t>
      </w:r>
    </w:p>
    <w:p>
      <w:pPr>
        <w:keepNext/>
        <w:spacing w:after="0" w:line="189" w:lineRule="exact" w:before="80"/>
        <w:jc w:val="center"/>
      </w:pPr>
      <w:r>
        <w:rPr>
          <w:b w:val="0"/>
          <w:i w:val="0"/>
          <w:sz w:val="16"/>
        </w:rPr>
        <w:t>TABLE II</w:t>
      </w:r>
    </w:p>
    <w:p>
      <w:pPr>
        <w:keepNext/>
        <w:spacing w:after="40" w:line="189" w:lineRule="exact"/>
        <w:jc w:val="center"/>
      </w:pPr>
      <w:r>
        <w:rPr>
          <w:b w:val="0"/>
          <w:i w:val="0"/>
          <w:sz w:val="16"/>
        </w:rPr>
        <w:t>環境と評価の条件</w:t>
      </w:r>
    </w:p>
    <w:tbl>
      <w:tblPr>
        <w:tblW w:type="dxa" w:w="4824"/>
        <w:jc w:val="center"/>
        <w:tblLayout w:type="fixed"/>
        <w:tblLook w:firstColumn="1" w:firstRow="1" w:lastColumn="0" w:lastRow="0" w:noHBand="0" w:noVBand="1" w:val="04A0"/>
        <w:tblLayout w:type="fixed"/>
        <w:tblBorders>
          <w:top w:val="single" w:sz="8" w:color="000000"/>
          <w:bottom w:val="single" w:sz="8" w:color="000000"/>
        </w:tblBorders>
      </w:tblPr>
      <w:tblGrid>
        <w:gridCol w:w="864"/>
        <w:gridCol w:w="3960"/>
      </w:tblGrid>
      <w:tr>
        <w:tc>
          <w:tcPr>
            <w:tcW w:type="dxa" w:w="864"/>
            <w:tcBorders>
              <w:bottom w:val="single" w:sz="4" w:color="000000"/>
            </w:tcBorders>
          </w:tcPr>
          <w:p>
            <w:pPr>
              <w:keepNext/>
              <w:spacing w:line="161" w:lineRule="exact"/>
            </w:pPr>
            <w:r/>
            <w:r>
              <w:rPr>
                <w:b/>
                <w:sz w:val="14"/>
              </w:rPr>
              <w:t>項目</w:t>
            </w:r>
          </w:p>
        </w:tc>
        <w:tc>
          <w:tcPr>
            <w:tcW w:type="dxa" w:w="3960"/>
            <w:tcBorders>
              <w:bottom w:val="single" w:sz="4" w:color="000000"/>
            </w:tcBorders>
          </w:tcPr>
          <w:p>
            <w:pPr>
              <w:keepNext/>
              <w:spacing w:line="161" w:lineRule="exact"/>
            </w:pPr>
            <w:r/>
            <w:r>
              <w:rPr>
                <w:b/>
                <w:sz w:val="14"/>
              </w:rPr>
              <w:t>設定</w:t>
            </w:r>
          </w:p>
        </w:tc>
      </w:tr>
      <w:tr>
        <w:tc>
          <w:tcPr>
            <w:tcW w:type="dxa" w:w="864"/>
          </w:tcPr>
          <w:p>
            <w:pPr>
              <w:keepNext/>
              <w:spacing w:line="161" w:lineRule="exact"/>
            </w:pPr>
            <w:r/>
            <w:r>
              <w:rPr>
                <w:b w:val="0"/>
                <w:sz w:val="14"/>
              </w:rPr>
              <w:t>station</w:t>
            </w:r>
          </w:p>
        </w:tc>
        <w:tc>
          <w:tcPr>
            <w:tcW w:type="dxa" w:w="3960"/>
          </w:tcPr>
          <w:p>
            <w:pPr>
              <w:keepNext/>
              <w:spacing w:line="161" w:lineRule="exact"/>
            </w:pPr>
            <w:r/>
            <w:r>
              <w:rPr>
                <w:b w:val="0"/>
                <w:sz w:val="14"/>
              </w:rPr>
              <w:t>6（職場3・住宅3）と20（職場10・住宅10）</w:t>
            </w:r>
          </w:p>
        </w:tc>
      </w:tr>
      <w:tr>
        <w:tc>
          <w:tcPr>
            <w:tcW w:type="dxa" w:w="864"/>
          </w:tcPr>
          <w:p>
            <w:pPr>
              <w:keepNext/>
              <w:spacing w:line="161" w:lineRule="exact"/>
            </w:pPr>
            <w:r/>
            <w:r>
              <w:rPr>
                <w:b w:val="0"/>
                <w:sz w:val="14"/>
              </w:rPr>
              <w:t>EV</w:t>
            </w:r>
          </w:p>
        </w:tc>
        <w:tc>
          <w:tcPr>
            <w:tcW w:type="dxa" w:w="3960"/>
          </w:tcPr>
          <w:p>
            <w:pPr>
              <w:keepNext/>
              <w:spacing w:line="161" w:lineRule="exact"/>
            </w:pPr>
            <w:r/>
            <w:r>
              <w:rPr>
                <w:b w:val="0"/>
                <w:sz w:val="14"/>
              </w:rPr>
              <w:t>ACN（JPL、Caltech）とノルウェーの住宅の実セッション。定格7.7 kW</w:t>
            </w:r>
          </w:p>
        </w:tc>
      </w:tr>
      <w:tr>
        <w:tc>
          <w:tcPr>
            <w:tcW w:type="dxa" w:w="864"/>
          </w:tcPr>
          <w:p>
            <w:pPr>
              <w:keepNext/>
              <w:spacing w:line="161" w:lineRule="exact"/>
            </w:pPr>
            <w:r/>
            <w:r>
              <w:rPr>
                <w:b w:val="0"/>
                <w:sz w:val="14"/>
              </w:rPr>
              <w:t>指令</w:t>
            </w:r>
          </w:p>
        </w:tc>
        <w:tc>
          <w:tcPr>
            <w:tcW w:type="dxa" w:w="3960"/>
          </w:tcPr>
          <w:p>
            <w:pPr>
              <w:keepNext/>
              <w:spacing w:line="161" w:lineRule="exact"/>
            </w:pPr>
            <w:r/>
            <w:r>
              <w:rPr>
                <w:b w:val="0"/>
                <w:sz w:val="14"/>
              </w:rPr>
              <w:t>AEMO・ERCOT（計画からのずれ）、PJM RegD</w:t>
            </w:r>
          </w:p>
        </w:tc>
      </w:tr>
      <w:tr>
        <w:tc>
          <w:tcPr>
            <w:tcW w:type="dxa" w:w="864"/>
          </w:tcPr>
          <w:p>
            <w:pPr>
              <w:keepNext/>
              <w:spacing w:line="161" w:lineRule="exact"/>
            </w:pPr>
            <w:r/>
            <w:r>
              <w:rPr>
                <w:b w:val="0"/>
                <w:sz w:val="14"/>
              </w:rPr>
              <w:t>規則</w:t>
            </w:r>
          </w:p>
        </w:tc>
        <w:tc>
          <w:tcPr>
            <w:tcW w:type="dxa" w:w="3960"/>
          </w:tcPr>
          <w:p>
            <w:pPr>
              <w:keepNext/>
              <w:spacing w:line="161" w:lineRule="exact"/>
            </w:pPr>
            <w:r/>
            <w:r>
              <w:rPr>
                <w:b w:val="0"/>
                <w:sz w:val="14"/>
              </w:rPr>
              <w:t>日本の二次②（アセスメントI・II）。下げも約定できると仮定</w:t>
            </w:r>
          </w:p>
        </w:tc>
      </w:tr>
      <w:tr>
        <w:tc>
          <w:tcPr>
            <w:tcW w:type="dxa" w:w="864"/>
          </w:tcPr>
          <w:p>
            <w:pPr>
              <w:keepNext/>
              <w:spacing w:line="161" w:lineRule="exact"/>
            </w:pPr>
            <w:r/>
            <w:r>
              <w:rPr>
                <w:b w:val="0"/>
                <w:sz w:val="14"/>
              </w:rPr>
              <w:t>入札</w:t>
            </w:r>
          </w:p>
        </w:tc>
        <w:tc>
          <w:tcPr>
            <w:tcW w:type="dxa" w:w="3960"/>
          </w:tcPr>
          <w:p>
            <w:pPr>
              <w:keepNext/>
              <w:spacing w:line="161" w:lineRule="exact"/>
            </w:pPr>
            <w:r/>
            <w:r>
              <w:rPr>
                <w:b w:val="0"/>
                <w:sz w:val="14"/>
              </w:rPr>
              <w:t>前日、30分コマ48、設計用の指令128本、EVの実現3通り</w:t>
            </w:r>
          </w:p>
        </w:tc>
      </w:tr>
      <w:tr>
        <w:tc>
          <w:tcPr>
            <w:tcW w:type="dxa" w:w="864"/>
          </w:tcPr>
          <w:p>
            <w:pPr>
              <w:keepNext/>
              <w:spacing w:line="161" w:lineRule="exact"/>
            </w:pPr>
            <w:r/>
            <w:r>
              <w:rPr>
                <w:b w:val="0"/>
                <w:sz w:val="14"/>
              </w:rPr>
              <w:t>評価</w:t>
            </w:r>
          </w:p>
        </w:tc>
        <w:tc>
          <w:tcPr>
            <w:tcW w:type="dxa" w:w="3960"/>
          </w:tcPr>
          <w:p>
            <w:pPr>
              <w:keepNext/>
              <w:spacing w:line="161" w:lineRule="exact"/>
            </w:pPr>
            <w:r/>
            <w:r>
              <w:rPr>
                <w:b w:val="0"/>
                <w:color w:val="999999"/>
                <w:sz w:val="14"/>
              </w:rPr>
              <w:t>検証用の平日5日 × 未見の指令4本 × EVの乱数2通り＝40組</w:t>
            </w:r>
          </w:p>
        </w:tc>
      </w:tr>
      <w:tr>
        <w:tc>
          <w:tcPr>
            <w:tcW w:type="dxa" w:w="864"/>
          </w:tcPr>
          <w:p>
            <w:pPr>
              <w:keepNext w:val="0"/>
              <w:spacing w:line="161" w:lineRule="exact"/>
            </w:pPr>
            <w:r/>
            <w:r>
              <w:rPr>
                <w:b w:val="0"/>
                <w:sz w:val="14"/>
              </w:rPr>
              <w:t>学習</w:t>
            </w:r>
          </w:p>
        </w:tc>
        <w:tc>
          <w:tcPr>
            <w:tcW w:type="dxa" w:w="3960"/>
          </w:tcPr>
          <w:p>
            <w:pPr>
              <w:keepNext w:val="0"/>
              <w:spacing w:line="161" w:lineRule="exact"/>
            </w:pPr>
            <w:r/>
            <w:r>
              <w:rPr>
                <w:b w:val="0"/>
                <w:sz w:val="14"/>
              </w:rPr>
              <w:t>CTDE、2000回。行動器は自局・入札・指令・1つ前の全体のずれ</w:t>
            </w:r>
          </w:p>
        </w:tc>
      </w:tr>
    </w:tbl>
    <w:p>
      <w:pPr>
        <w:spacing w:after="80" w:line="94" w:lineRule="exact"/>
      </w:pPr>
    </w:p>
    <w:p>
      <w:pPr>
        <w:spacing w:after="40" w:before="120"/>
        <w:jc w:val="center"/>
      </w:pPr>
      <w:r>
        <w:rPr>
          <w:b w:val="0"/>
          <w:i w:val="0"/>
          <w:smallCaps/>
          <w:sz w:val="20"/>
        </w:rPr>
        <w:t>III. 入札器</w:t>
      </w:r>
    </w:p>
    <w:p>
      <w:pPr>
        <w:spacing w:after="20" w:before="60"/>
      </w:pPr>
      <w:r>
        <w:rPr>
          <w:b w:val="0"/>
          <w:i/>
          <w:sz w:val="20"/>
        </w:rPr>
        <w:t>A. シナリオに基づく入札</w:t>
      </w:r>
    </w:p>
    <w:p>
      <w:pPr>
        <w:spacing w:after="0"/>
        <w:ind w:firstLine="202"/>
      </w:pPr>
      <w:r>
        <w:rPr>
          <w:b w:val="0"/>
          <w:i w:val="0"/>
          <w:sz w:val="20"/>
        </w:rPr>
        <w:t>入札器は、1日48コマの基準電力 b_t、上げの量 u_t、下げの量 d_t を前日に決める。当日の指令とEVは分からないので、過去の実データから作った指令から設計用の指令を取り、EVの到着の予測分布から作った128通りの実現のうち3通りを選び、その全組 S を標本にする。入札は、標本のすべての組で、出発時のSoCを守りながら帯の中に追従できる充放電 y_s が存在するように決める（式4）。目的は1日の供出容量の和を最大にすることである。</w:t>
      </w:r>
    </w:p>
    <w:p>
      <w:pPr>
        <w:spacing w:after="40"/>
        <w:jc w:val="center"/>
      </w:pPr>
      <w:r>
        <w:rPr>
          <w:i/>
          <w:color w:val="999999"/>
        </w:rPr>
        <w:t>max Σ_t (u_t + d_t) − w Σ_t |b_{t+1} − b_t|</w:t>
        <w:tab/>
        <w:t>(1)</w:t>
      </w:r>
    </w:p>
    <w:p>
      <w:pPr>
        <w:spacing w:after="40"/>
        <w:jc w:val="center"/>
      </w:pPr>
      <w:r>
        <w:rPr>
          <w:i/>
          <w:color w:val="999999"/>
        </w:rPr>
        <w:t>u_t ∈ {0} ∪ [q, ū_t],  d_t ∈ {0} ∪ [q, d̄_t]</w:t>
        <w:tab/>
        <w:t>(2)</w:t>
      </w:r>
    </w:p>
    <w:p>
      <w:pPr>
        <w:spacing w:after="40"/>
        <w:jc w:val="center"/>
      </w:pPr>
      <w:r>
        <w:rPr>
          <w:i/>
          <w:color w:val="999999"/>
        </w:rPr>
        <w:t>b_t − u_t ≥ P^min_t + m,  b_t + d_t ≤ P^max_t − m</w:t>
        <w:tab/>
        <w:t>(3)</w:t>
      </w:r>
    </w:p>
    <w:p>
      <w:pPr>
        <w:spacing w:after="40"/>
        <w:jc w:val="center"/>
      </w:pPr>
      <w:r>
        <w:rPr>
          <w:i/>
          <w:color w:val="999999"/>
        </w:rPr>
        <w:t>∀ s ∈ S : ∃ y_s,  g(x, y_s, ξ_s) ≤ 0</w:t>
        <w:tab/>
        <w:t>(4)</w:t>
      </w:r>
    </w:p>
    <w:p>
      <w:pPr>
        <w:spacing w:after="0"/>
        <w:ind w:firstLine="202"/>
      </w:pPr>
      <w:r>
        <w:rPr>
          <w:b w:val="0"/>
          <w:i w:val="0"/>
          <w:sz w:val="20"/>
        </w:rPr>
        <w:t>y_s は組ごとに変えてよい運転計画で、g はEVの接続時間、充放電の上下限、SoCの推移、出発時のSoC、帯への追従の条件を表す。式3はアセスメントIで、P^min_t と P^max_t は、コマの30分間接続しているEVが出発時に必要なエネルギーを残して出し続けられる電力である。EVごとのエネルギーの上下の包絡は、文献［20］の仮想蓄電池の作り方にならう。</w:t>
      </w:r>
    </w:p>
    <w:p>
      <w:pPr>
        <w:spacing w:after="0"/>
        <w:ind w:firstLine="202"/>
      </w:pPr>
      <w:r>
        <w:rPr>
          <w:b w:val="0"/>
          <w:i w:val="0"/>
          <w:sz w:val="20"/>
        </w:rPr>
        <w:t>入札を1段目、組ごとの運転計画を2段目とするこの形は、有限のシナリオ集合で解く2段階の調整可能な頑健最適化［25］と同じである。標本の外で成り立つ割合で入札を確かめる考え方は、シナリオ法［26］［27］に当たる。電力の分野では、過去の信号から作った不確かさの集合で、ビル群の二次調整力を決めた例がある［28］。EV群の調整力でも、AGCや予備力の発動率、周波数偏差の不確かさを、過去の実績や規程から作った値の範囲で表し、範囲の中の最悪の場合でも成り立つ量を決める頑健な入札がある［29］〜［31］。これらは、可否をSoCや蓄電量の上下限で決める。本研究の入札は、指令を範囲で近似せず、実際に来た指令の系列そのものを標本にする。そして、市場が下す判定、すなわち30分コマごとに帯の中へ追従できることを、可否の条件として課す。ただし、標本のEVは規則で選び、決める変数の数は標本数より多いので、シナリオ法の事前の保証はこの入札器にそのまま当てはまらない。本研究は、未見通過率で標本の外を直接確かめる。</w:t>
      </w:r>
    </w:p>
    <w:p>
      <w:pPr>
        <w:spacing w:after="0"/>
        <w:ind w:firstLine="202"/>
      </w:pPr>
      <w:r>
        <w:rPr>
          <w:b w:val="0"/>
          <w:i w:val="0"/>
          <w:sz w:val="20"/>
        </w:rPr>
        <w:t>2段目の y_s は、その組の1日分の指令とEVを先に知る計画である。そのため、入札が標本で成り立つことは、先を知らない実時間の制御で追従できることを意味しない。この差はV-Eで測る。</w:t>
      </w:r>
    </w:p>
    <w:p>
      <w:pPr>
        <w:spacing w:after="0"/>
        <w:ind w:firstLine="202"/>
      </w:pPr>
      <w:r>
        <w:rPr>
          <w:b w:val="0"/>
          <w:i w:val="0"/>
          <w:sz w:val="20"/>
        </w:rPr>
        <w:t>組の数は数百に及び、すべてを一つのLPにすると解けない。そこで、基準電力と量の144変数を主問題とし、各組の実行可能性を列生成で確かめるBendersの分解で解く。成り立たない組からは、Farkasの補題による切除平面を主問題に返す。反復のあいだで解が振れないように、前の解に近い解を選ぶ。最初の候補は、組ごとのエネルギーの収支だけを見る集計のLPで作り、その値を量の上限にも使う。最低入札量を保った解がないときは、最低入札量を外したLPから価値の小さい方向を1つ選んで外し、解き直す。</w:t>
      </w:r>
    </w:p>
    <w:p>
      <w:pPr>
        <w:spacing w:after="20" w:before="60"/>
      </w:pPr>
      <w:r>
        <w:rPr>
          <w:b w:val="0"/>
          <w:i/>
          <w:sz w:val="20"/>
        </w:rPr>
        <w:t>B. 分散MARLにつなぐための手当て</w:t>
      </w:r>
    </w:p>
    <w:p>
      <w:pPr>
        <w:spacing w:after="0"/>
        <w:ind w:firstLine="202"/>
      </w:pPr>
      <w:r>
        <w:rPr>
          <w:b w:val="0"/>
          <w:i w:val="0"/>
          <w:sz w:val="20"/>
        </w:rPr>
        <w:t>この枠組みは、2段目の運転計画が計画どおりに実行されることを前提にしている。分散MARLの制御器には誤差が残り、局所の目的もあるので、3つの手当てを加えた。1つ目は最低入札量 q である（式2）。帯は約定量の10%なので、制御器の誤差より狭い帯のコマに入札すると、いくら学習しても合格できない。そこで、充電需要を外して指令の追従だけで学習した制御器の5分ごとの誤差から帯の下限を決め、それを0.1で割った値を q とする。2つ目はアセスメントIの余裕 m で、出力の上下限の近くで制御器が外すのを避けるため、範囲を誤差の分だけ内側に狭める（式3）。6 stationでは q = 70 kW、m = 7 kW、20 stationでは q = 250 kW、m = 25 kWとした。3つ目は基準電力の段差の罰である。約定量の和だけを目的にすると、基準電力は解き方の都合で隣のコマと大きく跳ね、跳ねた基準電力では制御器が外しやすい。そこで、隣り合う参加コマの基準電力の差に重み w = 0.5 の罰を掛ける（式1）。</w:t>
      </w:r>
    </w:p>
    <w:p>
      <w:pPr>
        <w:spacing w:after="0"/>
        <w:ind w:firstLine="202"/>
      </w:pPr>
      <w:r>
        <w:rPr>
          <w:b w:val="0"/>
          <w:i w:val="0"/>
          <w:sz w:val="20"/>
        </w:rPr>
        <w:t>標本の取り方、すなわち設計用の指令の本数と、EVの実現の数と選び方は、V-Cで市場の要求から決める。本線は、設計用の指令128本と、30分ごとの接続充電電力が少ない2通りとセッション数が最も多い1通りのEVの実現である。</w:t>
      </w:r>
    </w:p>
    <w:p>
      <w:pPr>
        <w:spacing w:after="40" w:before="120"/>
        <w:jc w:val="center"/>
      </w:pPr>
      <w:r>
        <w:rPr>
          <w:b w:val="0"/>
          <w:i w:val="0"/>
          <w:smallCaps/>
          <w:sz w:val="20"/>
        </w:rPr>
        <w:t>IV. 分散制御器</w:t>
      </w:r>
    </w:p>
    <w:p>
      <w:pPr>
        <w:spacing w:after="0"/>
        <w:ind w:firstLine="202"/>
      </w:pPr>
      <w:r>
        <w:rPr>
          <w:b w:val="0"/>
          <w:i w:val="0"/>
          <w:sz w:val="20"/>
        </w:rPr>
        <w:t>各stationの制御器には、著者らの既発表の論文［1］のMADDPG［21］をそのまま使う。学習時は批評家が全体を見るが、実行時の行動器は自局の情報だけを使う。局所の批評家（出発時のSoC）と大域の批評家（全体の追従）の勾配を0.5ずつ混ぜて行動器を学習する。学習率、割引率、勾配の上限、探索のノイズ、リプレイの大きさも既発表の論文と同じである。</w:t>
      </w:r>
    </w:p>
    <w:p>
      <w:pPr>
        <w:spacing w:after="0"/>
        <w:ind w:firstLine="202"/>
      </w:pPr>
      <w:r>
        <w:rPr>
          <w:b w:val="0"/>
          <w:i w:val="0"/>
          <w:sz w:val="20"/>
        </w:rPr>
        <w:t>既発表の論文から変えたのは4点である。第一に、観測に、参加しているコマかどうか、1つ前の時刻の全体のずれ、前日の入札の先読み（24コマ分と指令の大きさ）を足した。第二に、大域の報酬を、帯の内側を満点とする形から、帯を使わない式5の形に変えた。帯の内側を満点にすると、帯の中に収まった時点で学習が進まなくなり、誤差がそれ以上小さくならなかった。第三に、EVの定格を7.7 kWにそろえたことで小さくなった局所の勾配を戻すため、局所の報酬を7.17倍にした。第四に、行動の上下限では内向きの勾配だけを通す。</w:t>
      </w:r>
    </w:p>
    <w:p>
      <w:pPr>
        <w:spacing w:after="40"/>
        <w:jc w:val="center"/>
      </w:pPr>
      <w:r>
        <w:rPr>
          <w:i/>
          <w:color w:val="999999"/>
        </w:rPr>
        <w:t>r_t = 1 − 2 tanh(e_t / s)（e_t ≤ e_0）、その先は直線</w:t>
        <w:tab/>
        <w:t>(5)</w:t>
      </w:r>
    </w:p>
    <w:p>
      <w:pPr>
        <w:spacing w:after="0"/>
        <w:ind w:firstLine="202"/>
      </w:pPr>
      <w:r>
        <w:rPr>
          <w:b w:val="0"/>
          <w:i w:val="0"/>
          <w:sz w:val="20"/>
        </w:rPr>
        <w:t>制御器の後ろには2つの層を置く。強制充電の層は、このままでは出発時のSoCに届かなくなるEVだけを充電させる。既発表の論文の安全層にあたる。連系点の蓄電池は、EV群全体に残った誤差を埋める。蓄電池が使うのは、行動器と同じ1つ前の時刻の全体のずれである。蓄電池の大きさは、不適合を消すのに要る最小にとどめる。</w:t>
      </w:r>
    </w:p>
    <w:p>
      <w:pPr>
        <w:spacing w:after="40" w:before="120"/>
        <w:jc w:val="center"/>
      </w:pPr>
      <w:r>
        <w:rPr>
          <w:b w:val="0"/>
          <w:i w:val="0"/>
          <w:smallCaps/>
          <w:sz w:val="20"/>
        </w:rPr>
        <w:t>V. 結果</w:t>
      </w:r>
    </w:p>
    <w:p>
      <w:pPr>
        <w:spacing w:after="20" w:before="60"/>
      </w:pPr>
      <w:r>
        <w:rPr>
          <w:b w:val="0"/>
          <w:i/>
          <w:sz w:val="20"/>
        </w:rPr>
        <w:t>A. 先行研究の方式</w:t>
      </w:r>
    </w:p>
    <w:p>
      <w:pPr>
        <w:spacing w:after="0"/>
        <w:ind w:firstLine="202"/>
      </w:pPr>
      <w:r>
        <w:rPr>
          <w:b w:val="0"/>
          <w:i w:val="0"/>
          <w:sz w:val="20"/>
        </w:rPr>
        <w:t>入札と実時間の配分の両方のコードが公開されている方式として、LiuとLyuらの方式［8］を本研究の環境に移した。蓄電池は使っていない（表III）。6 stationのAEMOとERCOTでは、平均誤差率は0.18〜0.28%と小さかった。それでも30分コマは1日に0.6〜1.0コマ不合格になり、月3回の不適合に3〜5日で届く。出発時のSoC達成率は平均89%で、最小は37.5%だった。達成率が大きく下がったのは、指令が長い時間一方向に偏った日である。PJMでは、LiuとLyuの入札は1日1,198 kW・コマと小さく、参加したコマは1日平均6.6だった。出発時のSoC達成率は平均69.9%だった。20 stationのAEMOとERCOTでも、平均誤差率は0.14〜0.28%と小さいが、月の不適合は11〜14回だった。本研究の入札にLiuとLyuの配分を組み合わせると、6 stationの30分コマの合格率はAEMOとERCOTで97.0〜98.0%、PJMで49.3%だった。</w:t>
      </w:r>
    </w:p>
    <w:p>
      <w:pPr>
        <w:spacing w:after="20" w:line="189" w:lineRule="exact"/>
      </w:pPr>
      <w:r>
        <w:rPr>
          <w:b w:val="0"/>
          <w:i w:val="0"/>
          <w:color w:val="444444"/>
          <w:sz w:val="16"/>
        </w:rPr>
        <w:t>【予定】先行研究のMARL（MARL-AFM［12］）は未測定。同じ入札、指令、EVで測り、表IIIに加えるかを決める。</w:t>
      </w:r>
    </w:p>
    <w:p>
      <w:pPr>
        <w:keepNext/>
        <w:spacing w:after="0" w:line="189" w:lineRule="exact" w:before="80"/>
        <w:jc w:val="center"/>
      </w:pPr>
      <w:r>
        <w:rPr>
          <w:b w:val="0"/>
          <w:i w:val="0"/>
          <w:sz w:val="16"/>
        </w:rPr>
        <w:t>TABLE III</w:t>
      </w:r>
    </w:p>
    <w:p>
      <w:pPr>
        <w:keepNext/>
        <w:spacing w:after="40" w:line="189" w:lineRule="exact"/>
        <w:jc w:val="center"/>
      </w:pPr>
      <w:r>
        <w:rPr>
          <w:b w:val="0"/>
          <w:i w:val="0"/>
          <w:sz w:val="16"/>
        </w:rPr>
        <w:t>先行研究の方式の成績（6 station、40組）</w:t>
      </w:r>
    </w:p>
    <w:tbl>
      <w:tblPr>
        <w:tblW w:type="dxa" w:w="4953"/>
        <w:jc w:val="center"/>
        <w:tblLayout w:type="fixed"/>
        <w:tblLook w:firstColumn="1" w:firstRow="1" w:lastColumn="0" w:lastRow="0" w:noHBand="0" w:noVBand="1" w:val="04A0"/>
        <w:tblLayout w:type="fixed"/>
        <w:tblBorders>
          <w:top w:val="single" w:sz="8" w:color="000000"/>
          <w:bottom w:val="single" w:sz="8" w:color="000000"/>
        </w:tblBorders>
      </w:tblPr>
      <w:tblGrid>
        <w:gridCol w:w="1440"/>
        <w:gridCol w:w="720"/>
        <w:gridCol w:w="633"/>
        <w:gridCol w:w="576"/>
        <w:gridCol w:w="921"/>
        <w:gridCol w:w="662"/>
      </w:tblGrid>
      <w:tr>
        <w:tc>
          <w:tcPr>
            <w:tcW w:type="dxa" w:w="1440"/>
            <w:tcBorders>
              <w:bottom w:val="single" w:sz="4" w:color="000000"/>
            </w:tcBorders>
          </w:tcPr>
          <w:p>
            <w:pPr>
              <w:keepNext/>
              <w:spacing w:line="149" w:lineRule="exact"/>
            </w:pPr>
            <w:r/>
            <w:r>
              <w:rPr>
                <w:b/>
                <w:sz w:val="13"/>
              </w:rPr>
              <w:t>方式</w:t>
            </w:r>
          </w:p>
        </w:tc>
        <w:tc>
          <w:tcPr>
            <w:tcW w:type="dxa" w:w="720"/>
            <w:tcBorders>
              <w:bottom w:val="single" w:sz="4" w:color="000000"/>
            </w:tcBorders>
          </w:tcPr>
          <w:p>
            <w:pPr>
              <w:keepNext/>
              <w:spacing w:line="149" w:lineRule="exact"/>
            </w:pPr>
            <w:r/>
            <w:r>
              <w:rPr>
                <w:b/>
                <w:sz w:val="13"/>
              </w:rPr>
              <w:t>市場</w:t>
            </w:r>
          </w:p>
        </w:tc>
        <w:tc>
          <w:tcPr>
            <w:tcW w:type="dxa" w:w="634"/>
            <w:tcBorders>
              <w:bottom w:val="single" w:sz="4" w:color="000000"/>
            </w:tcBorders>
          </w:tcPr>
          <w:p>
            <w:pPr>
              <w:keepNext/>
              <w:spacing w:line="149" w:lineRule="exact"/>
            </w:pPr>
            <w:r/>
            <w:r>
              <w:rPr>
                <w:b/>
                <w:sz w:val="13"/>
              </w:rPr>
              <w:t>5分</w:t>
            </w:r>
          </w:p>
        </w:tc>
        <w:tc>
          <w:tcPr>
            <w:tcW w:type="dxa" w:w="576"/>
            <w:tcBorders>
              <w:bottom w:val="single" w:sz="4" w:color="000000"/>
            </w:tcBorders>
          </w:tcPr>
          <w:p>
            <w:pPr>
              <w:keepNext/>
              <w:spacing w:line="149" w:lineRule="exact"/>
            </w:pPr>
            <w:r/>
            <w:r>
              <w:rPr>
                <w:b/>
                <w:sz w:val="13"/>
              </w:rPr>
              <w:t>コマ/日</w:t>
            </w:r>
          </w:p>
        </w:tc>
        <w:tc>
          <w:tcPr>
            <w:tcW w:type="dxa" w:w="922"/>
            <w:tcBorders>
              <w:bottom w:val="single" w:sz="4" w:color="000000"/>
            </w:tcBorders>
          </w:tcPr>
          <w:p>
            <w:pPr>
              <w:keepNext/>
              <w:spacing w:line="149" w:lineRule="exact"/>
            </w:pPr>
            <w:r/>
            <w:r>
              <w:rPr>
                <w:b/>
                <w:sz w:val="13"/>
              </w:rPr>
              <w:t>SoC（平均/最小）</w:t>
            </w:r>
          </w:p>
        </w:tc>
        <w:tc>
          <w:tcPr>
            <w:tcW w:type="dxa" w:w="662"/>
            <w:tcBorders>
              <w:bottom w:val="single" w:sz="4" w:color="000000"/>
            </w:tcBorders>
          </w:tcPr>
          <w:p>
            <w:pPr>
              <w:keepNext/>
              <w:spacing w:line="149" w:lineRule="exact"/>
            </w:pPr>
            <w:r/>
            <w:r>
              <w:rPr>
                <w:b/>
                <w:sz w:val="13"/>
              </w:rPr>
              <w:t>入札量</w:t>
            </w:r>
          </w:p>
        </w:tc>
      </w:tr>
      <w:tr>
        <w:tc>
          <w:tcPr>
            <w:tcW w:type="dxa" w:w="1440"/>
          </w:tcPr>
          <w:p>
            <w:pPr>
              <w:keepNext/>
              <w:spacing w:line="149" w:lineRule="exact"/>
            </w:pPr>
            <w:r/>
            <w:r>
              <w:rPr>
                <w:b w:val="0"/>
                <w:sz w:val="13"/>
              </w:rPr>
              <w:t>Liu/Lyu の入札と配分</w:t>
            </w:r>
          </w:p>
        </w:tc>
        <w:tc>
          <w:tcPr>
            <w:tcW w:type="dxa" w:w="720"/>
          </w:tcPr>
          <w:p>
            <w:pPr>
              <w:keepNext/>
              <w:spacing w:line="149" w:lineRule="exact"/>
            </w:pPr>
            <w:r/>
            <w:r>
              <w:rPr>
                <w:b w:val="0"/>
                <w:sz w:val="13"/>
              </w:rPr>
              <w:t>AEMO</w:t>
            </w:r>
          </w:p>
        </w:tc>
        <w:tc>
          <w:tcPr>
            <w:tcW w:type="dxa" w:w="634"/>
          </w:tcPr>
          <w:p>
            <w:pPr>
              <w:keepNext/>
              <w:spacing w:line="149" w:lineRule="exact"/>
            </w:pPr>
            <w:r/>
            <w:r>
              <w:rPr>
                <w:b w:val="0"/>
                <w:sz w:val="13"/>
              </w:rPr>
              <w:t>99.5%</w:t>
            </w:r>
          </w:p>
        </w:tc>
        <w:tc>
          <w:tcPr>
            <w:tcW w:type="dxa" w:w="576"/>
          </w:tcPr>
          <w:p>
            <w:pPr>
              <w:keepNext/>
              <w:spacing w:line="149" w:lineRule="exact"/>
            </w:pPr>
            <w:r/>
            <w:r>
              <w:rPr>
                <w:b w:val="0"/>
                <w:sz w:val="13"/>
              </w:rPr>
              <w:t>1.02</w:t>
            </w:r>
          </w:p>
        </w:tc>
        <w:tc>
          <w:tcPr>
            <w:tcW w:type="dxa" w:w="922"/>
          </w:tcPr>
          <w:p>
            <w:pPr>
              <w:keepNext/>
              <w:spacing w:line="149" w:lineRule="exact"/>
            </w:pPr>
            <w:r/>
            <w:r>
              <w:rPr>
                <w:b w:val="0"/>
                <w:sz w:val="13"/>
              </w:rPr>
              <w:t>89.0/37.5%</w:t>
            </w:r>
          </w:p>
        </w:tc>
        <w:tc>
          <w:tcPr>
            <w:tcW w:type="dxa" w:w="662"/>
          </w:tcPr>
          <w:p>
            <w:pPr>
              <w:keepNext/>
              <w:spacing w:line="149" w:lineRule="exact"/>
            </w:pPr>
            <w:r/>
            <w:r>
              <w:rPr>
                <w:b w:val="0"/>
                <w:sz w:val="13"/>
              </w:rPr>
              <w:t>20,095</w:t>
            </w:r>
          </w:p>
        </w:tc>
      </w:tr>
      <w:tr>
        <w:tc>
          <w:tcPr>
            <w:tcW w:type="dxa" w:w="1440"/>
          </w:tcPr>
          <w:p>
            <w:pPr>
              <w:keepNext/>
              <w:spacing w:line="149" w:lineRule="exact"/>
            </w:pPr>
            <w:r/>
            <w:r>
              <w:rPr>
                <w:b w:val="0"/>
                <w:sz w:val="13"/>
              </w:rPr>
              <w:t>Liu/Lyu の入札と配分</w:t>
            </w:r>
          </w:p>
        </w:tc>
        <w:tc>
          <w:tcPr>
            <w:tcW w:type="dxa" w:w="720"/>
          </w:tcPr>
          <w:p>
            <w:pPr>
              <w:keepNext/>
              <w:spacing w:line="149" w:lineRule="exact"/>
            </w:pPr>
            <w:r/>
            <w:r>
              <w:rPr>
                <w:b w:val="0"/>
                <w:sz w:val="13"/>
              </w:rPr>
              <w:t>ERCOT</w:t>
            </w:r>
          </w:p>
        </w:tc>
        <w:tc>
          <w:tcPr>
            <w:tcW w:type="dxa" w:w="634"/>
          </w:tcPr>
          <w:p>
            <w:pPr>
              <w:keepNext/>
              <w:spacing w:line="149" w:lineRule="exact"/>
            </w:pPr>
            <w:r/>
            <w:r>
              <w:rPr>
                <w:b w:val="0"/>
                <w:sz w:val="13"/>
              </w:rPr>
              <w:t>99.3%</w:t>
            </w:r>
          </w:p>
        </w:tc>
        <w:tc>
          <w:tcPr>
            <w:tcW w:type="dxa" w:w="576"/>
          </w:tcPr>
          <w:p>
            <w:pPr>
              <w:keepNext/>
              <w:spacing w:line="149" w:lineRule="exact"/>
            </w:pPr>
            <w:r/>
            <w:r>
              <w:rPr>
                <w:b w:val="0"/>
                <w:sz w:val="13"/>
              </w:rPr>
              <w:t>0.60</w:t>
            </w:r>
          </w:p>
        </w:tc>
        <w:tc>
          <w:tcPr>
            <w:tcW w:type="dxa" w:w="922"/>
          </w:tcPr>
          <w:p>
            <w:pPr>
              <w:keepNext/>
              <w:spacing w:line="149" w:lineRule="exact"/>
            </w:pPr>
            <w:r/>
            <w:r>
              <w:rPr>
                <w:b w:val="0"/>
                <w:sz w:val="13"/>
              </w:rPr>
              <w:t>88.9/58.4%</w:t>
            </w:r>
          </w:p>
        </w:tc>
        <w:tc>
          <w:tcPr>
            <w:tcW w:type="dxa" w:w="662"/>
          </w:tcPr>
          <w:p>
            <w:pPr>
              <w:keepNext/>
              <w:spacing w:line="149" w:lineRule="exact"/>
            </w:pPr>
            <w:r/>
            <w:r>
              <w:rPr>
                <w:b w:val="0"/>
                <w:sz w:val="13"/>
              </w:rPr>
              <w:t>12,681</w:t>
            </w:r>
          </w:p>
        </w:tc>
      </w:tr>
      <w:tr>
        <w:tc>
          <w:tcPr>
            <w:tcW w:type="dxa" w:w="1440"/>
          </w:tcPr>
          <w:p>
            <w:pPr>
              <w:keepNext/>
              <w:spacing w:line="149" w:lineRule="exact"/>
            </w:pPr>
            <w:r/>
            <w:r>
              <w:rPr>
                <w:b w:val="0"/>
                <w:sz w:val="13"/>
              </w:rPr>
              <w:t>Liu/Lyu の入札と配分</w:t>
            </w:r>
          </w:p>
        </w:tc>
        <w:tc>
          <w:tcPr>
            <w:tcW w:type="dxa" w:w="720"/>
          </w:tcPr>
          <w:p>
            <w:pPr>
              <w:keepNext/>
              <w:spacing w:line="149" w:lineRule="exact"/>
            </w:pPr>
            <w:r/>
            <w:r>
              <w:rPr>
                <w:b w:val="0"/>
                <w:sz w:val="13"/>
              </w:rPr>
              <w:t>PJM</w:t>
            </w:r>
          </w:p>
        </w:tc>
        <w:tc>
          <w:tcPr>
            <w:tcW w:type="dxa" w:w="634"/>
          </w:tcPr>
          <w:p>
            <w:pPr>
              <w:keepNext/>
              <w:spacing w:line="149" w:lineRule="exact"/>
            </w:pPr>
            <w:r/>
            <w:r>
              <w:rPr>
                <w:b w:val="0"/>
                <w:sz w:val="13"/>
              </w:rPr>
              <w:t>99.1%</w:t>
            </w:r>
          </w:p>
        </w:tc>
        <w:tc>
          <w:tcPr>
            <w:tcW w:type="dxa" w:w="576"/>
          </w:tcPr>
          <w:p>
            <w:pPr>
              <w:keepNext/>
              <w:spacing w:line="149" w:lineRule="exact"/>
            </w:pPr>
            <w:r/>
            <w:r>
              <w:rPr>
                <w:b w:val="0"/>
                <w:sz w:val="13"/>
              </w:rPr>
              <w:t>0.30</w:t>
            </w:r>
          </w:p>
        </w:tc>
        <w:tc>
          <w:tcPr>
            <w:tcW w:type="dxa" w:w="922"/>
          </w:tcPr>
          <w:p>
            <w:pPr>
              <w:keepNext/>
              <w:spacing w:line="149" w:lineRule="exact"/>
            </w:pPr>
            <w:r/>
            <w:r>
              <w:rPr>
                <w:b w:val="0"/>
                <w:sz w:val="13"/>
              </w:rPr>
              <w:t>69.9/39.0%</w:t>
            </w:r>
          </w:p>
        </w:tc>
        <w:tc>
          <w:tcPr>
            <w:tcW w:type="dxa" w:w="662"/>
          </w:tcPr>
          <w:p>
            <w:pPr>
              <w:keepNext/>
              <w:spacing w:line="149" w:lineRule="exact"/>
            </w:pPr>
            <w:r/>
            <w:r>
              <w:rPr>
                <w:b w:val="0"/>
                <w:sz w:val="13"/>
              </w:rPr>
              <w:t>1,198</w:t>
            </w:r>
          </w:p>
        </w:tc>
      </w:tr>
      <w:tr>
        <w:tc>
          <w:tcPr>
            <w:tcW w:type="dxa" w:w="1440"/>
          </w:tcPr>
          <w:p>
            <w:pPr>
              <w:keepNext/>
              <w:spacing w:line="149" w:lineRule="exact"/>
            </w:pPr>
            <w:r/>
            <w:r>
              <w:rPr>
                <w:b w:val="0"/>
                <w:sz w:val="13"/>
              </w:rPr>
              <w:t>本研究の入札＋Liu/Lyu の配分</w:t>
            </w:r>
          </w:p>
        </w:tc>
        <w:tc>
          <w:tcPr>
            <w:tcW w:type="dxa" w:w="720"/>
          </w:tcPr>
          <w:p>
            <w:pPr>
              <w:keepNext/>
              <w:spacing w:line="149" w:lineRule="exact"/>
            </w:pPr>
            <w:r/>
            <w:r>
              <w:rPr>
                <w:b w:val="0"/>
                <w:sz w:val="13"/>
              </w:rPr>
              <w:t>AEMO</w:t>
            </w:r>
          </w:p>
        </w:tc>
        <w:tc>
          <w:tcPr>
            <w:tcW w:type="dxa" w:w="634"/>
          </w:tcPr>
          <w:p>
            <w:pPr>
              <w:keepNext/>
              <w:spacing w:line="149" w:lineRule="exact"/>
            </w:pPr>
            <w:r/>
            <w:r>
              <w:rPr>
                <w:b w:val="0"/>
                <w:sz w:val="13"/>
              </w:rPr>
              <w:t>99.1%</w:t>
            </w:r>
          </w:p>
        </w:tc>
        <w:tc>
          <w:tcPr>
            <w:tcW w:type="dxa" w:w="576"/>
          </w:tcPr>
          <w:p>
            <w:pPr>
              <w:keepNext/>
              <w:spacing w:line="149" w:lineRule="exact"/>
            </w:pPr>
            <w:r/>
            <w:r>
              <w:rPr>
                <w:b w:val="0"/>
                <w:sz w:val="13"/>
              </w:rPr>
              <w:t>0.97</w:t>
            </w:r>
          </w:p>
        </w:tc>
        <w:tc>
          <w:tcPr>
            <w:tcW w:type="dxa" w:w="922"/>
          </w:tcPr>
          <w:p>
            <w:pPr>
              <w:keepNext/>
              <w:spacing w:line="149" w:lineRule="exact"/>
            </w:pPr>
            <w:r/>
            <w:r>
              <w:rPr>
                <w:b w:val="0"/>
                <w:sz w:val="13"/>
              </w:rPr>
              <w:t>93.3/46.9%</w:t>
            </w:r>
          </w:p>
        </w:tc>
        <w:tc>
          <w:tcPr>
            <w:tcW w:type="dxa" w:w="662"/>
          </w:tcPr>
          <w:p>
            <w:pPr>
              <w:keepNext/>
              <w:spacing w:line="149" w:lineRule="exact"/>
            </w:pPr>
            <w:r/>
            <w:r>
              <w:rPr>
                <w:b w:val="0"/>
                <w:sz w:val="13"/>
              </w:rPr>
              <w:t>15,749</w:t>
            </w:r>
          </w:p>
        </w:tc>
      </w:tr>
      <w:tr>
        <w:tc>
          <w:tcPr>
            <w:tcW w:type="dxa" w:w="1440"/>
          </w:tcPr>
          <w:p>
            <w:pPr>
              <w:keepNext/>
              <w:spacing w:line="149" w:lineRule="exact"/>
            </w:pPr>
            <w:r/>
            <w:r>
              <w:rPr>
                <w:b w:val="0"/>
                <w:sz w:val="13"/>
              </w:rPr>
              <w:t>本研究の入札＋Liu/Lyu の配分</w:t>
            </w:r>
          </w:p>
        </w:tc>
        <w:tc>
          <w:tcPr>
            <w:tcW w:type="dxa" w:w="720"/>
          </w:tcPr>
          <w:p>
            <w:pPr>
              <w:keepNext/>
              <w:spacing w:line="149" w:lineRule="exact"/>
            </w:pPr>
            <w:r/>
            <w:r>
              <w:rPr>
                <w:b w:val="0"/>
                <w:sz w:val="13"/>
              </w:rPr>
              <w:t>ERCOT</w:t>
            </w:r>
          </w:p>
        </w:tc>
        <w:tc>
          <w:tcPr>
            <w:tcW w:type="dxa" w:w="634"/>
          </w:tcPr>
          <w:p>
            <w:pPr>
              <w:keepNext/>
              <w:spacing w:line="149" w:lineRule="exact"/>
            </w:pPr>
            <w:r/>
            <w:r>
              <w:rPr>
                <w:b w:val="0"/>
                <w:sz w:val="13"/>
              </w:rPr>
              <w:t>98.7%</w:t>
            </w:r>
          </w:p>
        </w:tc>
        <w:tc>
          <w:tcPr>
            <w:tcW w:type="dxa" w:w="576"/>
          </w:tcPr>
          <w:p>
            <w:pPr>
              <w:keepNext/>
              <w:spacing w:line="149" w:lineRule="exact"/>
            </w:pPr>
            <w:r/>
            <w:r>
              <w:rPr>
                <w:b w:val="0"/>
                <w:sz w:val="13"/>
              </w:rPr>
              <w:t>1.43</w:t>
            </w:r>
          </w:p>
        </w:tc>
        <w:tc>
          <w:tcPr>
            <w:tcW w:type="dxa" w:w="922"/>
          </w:tcPr>
          <w:p>
            <w:pPr>
              <w:keepNext/>
              <w:spacing w:line="149" w:lineRule="exact"/>
            </w:pPr>
            <w:r/>
            <w:r>
              <w:rPr>
                <w:b w:val="0"/>
                <w:sz w:val="13"/>
              </w:rPr>
              <w:t>93.1/66.3%</w:t>
            </w:r>
          </w:p>
        </w:tc>
        <w:tc>
          <w:tcPr>
            <w:tcW w:type="dxa" w:w="662"/>
          </w:tcPr>
          <w:p>
            <w:pPr>
              <w:keepNext/>
              <w:spacing w:line="149" w:lineRule="exact"/>
            </w:pPr>
            <w:r/>
            <w:r>
              <w:rPr>
                <w:b w:val="0"/>
                <w:sz w:val="13"/>
              </w:rPr>
              <w:t>16,220</w:t>
            </w:r>
          </w:p>
        </w:tc>
      </w:tr>
      <w:tr>
        <w:tc>
          <w:tcPr>
            <w:tcW w:type="dxa" w:w="1440"/>
          </w:tcPr>
          <w:p>
            <w:pPr>
              <w:keepNext/>
              <w:spacing w:line="149" w:lineRule="exact"/>
            </w:pPr>
            <w:r/>
            <w:r>
              <w:rPr>
                <w:b w:val="0"/>
                <w:sz w:val="13"/>
              </w:rPr>
              <w:t>本研究の入札＋Liu/Lyu の配分</w:t>
            </w:r>
          </w:p>
        </w:tc>
        <w:tc>
          <w:tcPr>
            <w:tcW w:type="dxa" w:w="720"/>
          </w:tcPr>
          <w:p>
            <w:pPr>
              <w:keepNext/>
              <w:spacing w:line="149" w:lineRule="exact"/>
            </w:pPr>
            <w:r/>
            <w:r>
              <w:rPr>
                <w:b w:val="0"/>
                <w:sz w:val="13"/>
              </w:rPr>
              <w:t>PJM</w:t>
            </w:r>
          </w:p>
        </w:tc>
        <w:tc>
          <w:tcPr>
            <w:tcW w:type="dxa" w:w="634"/>
          </w:tcPr>
          <w:p>
            <w:pPr>
              <w:keepNext/>
              <w:spacing w:line="149" w:lineRule="exact"/>
            </w:pPr>
            <w:r/>
            <w:r>
              <w:rPr>
                <w:b w:val="0"/>
                <w:sz w:val="13"/>
              </w:rPr>
              <w:t>87.7%</w:t>
            </w:r>
          </w:p>
        </w:tc>
        <w:tc>
          <w:tcPr>
            <w:tcW w:type="dxa" w:w="576"/>
          </w:tcPr>
          <w:p>
            <w:pPr>
              <w:keepNext/>
              <w:spacing w:line="149" w:lineRule="exact"/>
            </w:pPr>
            <w:r/>
            <w:r>
              <w:rPr>
                <w:b w:val="0"/>
                <w:sz w:val="13"/>
              </w:rPr>
              <w:t>24.3</w:t>
            </w:r>
          </w:p>
        </w:tc>
        <w:tc>
          <w:tcPr>
            <w:tcW w:type="dxa" w:w="922"/>
          </w:tcPr>
          <w:p>
            <w:pPr>
              <w:keepNext/>
              <w:spacing w:line="149" w:lineRule="exact"/>
            </w:pPr>
            <w:r/>
            <w:r>
              <w:rPr>
                <w:b w:val="0"/>
                <w:sz w:val="13"/>
              </w:rPr>
              <w:t>64.7/32.4%</w:t>
            </w:r>
          </w:p>
        </w:tc>
        <w:tc>
          <w:tcPr>
            <w:tcW w:type="dxa" w:w="662"/>
          </w:tcPr>
          <w:p>
            <w:pPr>
              <w:keepNext/>
              <w:spacing w:line="149" w:lineRule="exact"/>
            </w:pPr>
            <w:r/>
            <w:r>
              <w:rPr>
                <w:b w:val="0"/>
                <w:sz w:val="13"/>
              </w:rPr>
              <w:t>16,783</w:t>
            </w:r>
          </w:p>
        </w:tc>
      </w:tr>
      <w:tr>
        <w:tc>
          <w:tcPr>
            <w:tcW w:type="dxa" w:w="1440"/>
          </w:tcPr>
          <w:p>
            <w:pPr>
              <w:keepNext w:val="0"/>
              <w:spacing w:line="149" w:lineRule="exact"/>
            </w:pPr>
            <w:r/>
            <w:r>
              <w:rPr>
                <w:b w:val="0"/>
                <w:sz w:val="13"/>
              </w:rPr>
              <w:t>MARL-AFM［12］</w:t>
            </w:r>
          </w:p>
        </w:tc>
        <w:tc>
          <w:tcPr>
            <w:tcW w:type="dxa" w:w="720"/>
          </w:tcPr>
          <w:p>
            <w:pPr>
              <w:keepNext w:val="0"/>
              <w:spacing w:line="149" w:lineRule="exact"/>
            </w:pPr>
            <w:r/>
            <w:r>
              <w:rPr>
                <w:b w:val="0"/>
                <w:sz w:val="13"/>
              </w:rPr>
              <w:t>AEMO・ERCOT</w:t>
            </w:r>
          </w:p>
        </w:tc>
        <w:tc>
          <w:tcPr>
            <w:tcW w:type="dxa" w:w="634"/>
          </w:tcPr>
          <w:p>
            <w:pPr>
              <w:keepNext w:val="0"/>
              <w:spacing w:line="149" w:lineRule="exact"/>
            </w:pPr>
            <w:r/>
            <w:r>
              <w:rPr>
                <w:b w:val="0"/>
                <w:color w:val="999999"/>
                <w:sz w:val="13"/>
              </w:rPr>
              <w:t>未測定</w:t>
            </w:r>
          </w:p>
        </w:tc>
        <w:tc>
          <w:tcPr>
            <w:tcW w:type="dxa" w:w="576"/>
          </w:tcPr>
          <w:p>
            <w:pPr>
              <w:keepNext w:val="0"/>
              <w:spacing w:line="149" w:lineRule="exact"/>
            </w:pPr>
            <w:r/>
            <w:r>
              <w:rPr>
                <w:b w:val="0"/>
                <w:color w:val="999999"/>
                <w:sz w:val="13"/>
              </w:rPr>
              <w:t>未測定</w:t>
            </w:r>
          </w:p>
        </w:tc>
        <w:tc>
          <w:tcPr>
            <w:tcW w:type="dxa" w:w="922"/>
          </w:tcPr>
          <w:p>
            <w:pPr>
              <w:keepNext w:val="0"/>
              <w:spacing w:line="149" w:lineRule="exact"/>
            </w:pPr>
            <w:r/>
            <w:r>
              <w:rPr>
                <w:b w:val="0"/>
                <w:color w:val="999999"/>
                <w:sz w:val="13"/>
              </w:rPr>
              <w:t>未測定</w:t>
            </w:r>
          </w:p>
        </w:tc>
        <w:tc>
          <w:tcPr>
            <w:tcW w:type="dxa" w:w="662"/>
          </w:tcPr>
          <w:p>
            <w:pPr>
              <w:keepNext w:val="0"/>
              <w:spacing w:line="149" w:lineRule="exact"/>
            </w:pPr>
            <w:r/>
            <w:r>
              <w:rPr>
                <w:b w:val="0"/>
                <w:color w:val="999999"/>
                <w:sz w:val="13"/>
              </w:rPr>
              <w:t>未測定</w:t>
            </w:r>
          </w:p>
        </w:tc>
      </w:tr>
    </w:tbl>
    <w:p>
      <w:pPr>
        <w:spacing w:after="80" w:line="94" w:lineRule="exact"/>
      </w:pPr>
    </w:p>
    <w:p>
      <w:pPr>
        <w:spacing w:after="20" w:before="60"/>
      </w:pPr>
      <w:r>
        <w:rPr>
          <w:b w:val="0"/>
          <w:i/>
          <w:sz w:val="20"/>
        </w:rPr>
        <w:t>B. 分散MARLにつなぐ手当ての効果</w:t>
      </w:r>
    </w:p>
    <w:p>
      <w:pPr>
        <w:spacing w:after="0"/>
        <w:ind w:firstLine="202"/>
      </w:pPr>
      <w:r>
        <w:rPr>
          <w:b w:val="0"/>
          <w:i w:val="0"/>
          <w:sz w:val="20"/>
        </w:rPr>
        <w:t>最低入札量の根拠は、帯の幅と合格率の関係にある（図1）。分散MARLの30分コマの合格率は、帯が10 kW未満のコマでは52〜79%で、30 kW以上では95〜100%だった。中央のルールベースは、どの幅でも93%以上だった。分散MARLの5分ごとの平均誤差は5.2〜6.4 kWで、帯がこの誤差と同じ程度まで狭まると、合否を分けるようになる。</w:t>
      </w:r>
    </w:p>
    <w:p>
      <w:pPr>
        <w:keepNext/>
        <w:spacing w:before="80" w:line="240" w:lineRule="auto"/>
        <w:jc w:val="center"/>
      </w:pPr>
      <w:r>
        <w:drawing>
          <wp:inline xmlns:a="http://schemas.openxmlformats.org/drawingml/2006/main" xmlns:pic="http://schemas.openxmlformats.org/drawingml/2006/picture">
            <wp:extent cx="3154680" cy="1622407"/>
            <wp:docPr id="1" name="Picture 1"/>
            <wp:cNvGraphicFramePr>
              <a:graphicFrameLocks noChangeAspect="1"/>
            </wp:cNvGraphicFramePr>
            <a:graphic>
              <a:graphicData uri="http://schemas.openxmlformats.org/drawingml/2006/picture">
                <pic:pic>
                  <pic:nvPicPr>
                    <pic:cNvPr id="0" name="fig_band.png"/>
                    <pic:cNvPicPr/>
                  </pic:nvPicPr>
                  <pic:blipFill>
                    <a:blip r:embed="rId9"/>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1.  帯の幅ごとの30分コマの合格率（6 station、40組）。実線は分散MARL、破線は中央のルールベース。</w:t>
      </w:r>
    </w:p>
    <w:p>
      <w:pPr>
        <w:spacing w:after="0"/>
        <w:ind w:firstLine="202"/>
      </w:pPr>
      <w:r>
        <w:rPr>
          <w:b w:val="0"/>
          <w:i w:val="0"/>
          <w:sz w:val="20"/>
        </w:rPr>
        <w:t>手当てとEVの選び方をすべて外した入札（ERCOT、検証用5日）では、隣り合う参加コマで50 kW以上の基準電力の段差が13か所あり、最大は273 kWだった。手当てを入れた本線では1か所、最大66 kWだった。最低入札量と余裕を変えたときの合格率と入札量を図2に示す。</w:t>
      </w:r>
    </w:p>
    <w:p>
      <w:pPr>
        <w:spacing w:after="20" w:line="189" w:lineRule="exact"/>
      </w:pPr>
      <w:r>
        <w:rPr>
          <w:b w:val="0"/>
          <w:i w:val="0"/>
          <w:color w:val="444444"/>
          <w:sz w:val="16"/>
        </w:rPr>
        <w:t>【予定】未測定（実験C4）。手当てとEVの選び方を外した入札器で学習した分散MARLの40組（実験B0）は測定中。</w:t>
      </w:r>
    </w:p>
    <w:p>
      <w:pPr>
        <w:keepNext/>
        <w:spacing w:before="80" w:line="240" w:lineRule="auto"/>
        <w:jc w:val="center"/>
      </w:pPr>
      <w:r>
        <w:drawing>
          <wp:inline xmlns:a="http://schemas.openxmlformats.org/drawingml/2006/main" xmlns:pic="http://schemas.openxmlformats.org/drawingml/2006/picture">
            <wp:extent cx="3154680" cy="1622407"/>
            <wp:docPr id="2" name="Picture 2"/>
            <wp:cNvGraphicFramePr>
              <a:graphicFrameLocks noChangeAspect="1"/>
            </wp:cNvGraphicFramePr>
            <a:graphic>
              <a:graphicData uri="http://schemas.openxmlformats.org/drawingml/2006/picture">
                <pic:pic>
                  <pic:nvPicPr>
                    <pic:cNvPr id="0" name="fig_minbid.png"/>
                    <pic:cNvPicPr/>
                  </pic:nvPicPr>
                  <pic:blipFill>
                    <a:blip r:embed="rId10"/>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2.  最低入札量と余裕を変えたときの合格率と入札量（未測定、予定の大きさ）。</w:t>
      </w:r>
    </w:p>
    <w:p>
      <w:pPr>
        <w:spacing w:after="20" w:before="60"/>
      </w:pPr>
      <w:r>
        <w:rPr>
          <w:b w:val="0"/>
          <w:i/>
          <w:sz w:val="20"/>
        </w:rPr>
        <w:t>C. 標本の取り方と、市場の要求からの選び方</w:t>
      </w:r>
    </w:p>
    <w:p>
      <w:pPr>
        <w:spacing w:after="0"/>
        <w:ind w:firstLine="202"/>
      </w:pPr>
      <w:r>
        <w:rPr>
          <w:b w:val="0"/>
          <w:i w:val="0"/>
          <w:sz w:val="20"/>
        </w:rPr>
        <w:t>設計用の指令の本数、EVの実現の数と選び方、EVの予測精度を変えて入札し、未見通過率を測った（表IV、図3）。未見通過率を大きく動かしたのは、EVの実現の数と選び方と予測精度だった。EVの実現が1〜2通りでは88.7〜95.3%、無作為に3通り選ぶと92.1〜96.6%に下がり、4〜6通りでは99.5〜100%だった。予測精度は、当日のEVの到着と出発の時刻をずらして128通りの予測を作り、ずらす幅で変えた。本線と同じ選び方では、精度が95・91・85%と下がるにつれ、未見通過率はAEMOで99.3・96.0・87.3%、ERCOTで99.7・97.3・91.5%に下がった。設計用の指令の本数は、8〜256本で99.1〜99.8%にとどまり、未見通過率をほとんど動かさなかった。外れた組の多くは、どの本数でも同じEVの実現の組だった。</w:t>
      </w:r>
    </w:p>
    <w:p>
      <w:pPr>
        <w:spacing w:after="20" w:line="189" w:lineRule="exact"/>
      </w:pPr>
      <w:r>
        <w:rPr>
          <w:b w:val="0"/>
          <w:i w:val="0"/>
          <w:color w:val="444444"/>
          <w:sz w:val="16"/>
        </w:rPr>
        <w:t>【予定】設計用の指令を128本から選ぶ乱数を10通り変えた測定（8・16・32本）を進めている。</w:t>
      </w:r>
    </w:p>
    <w:p>
      <w:pPr>
        <w:spacing w:after="0"/>
        <w:ind w:firstLine="202"/>
      </w:pPr>
      <w:r>
        <w:rPr>
          <w:b w:val="0"/>
          <w:i w:val="0"/>
          <w:sz w:val="20"/>
        </w:rPr>
        <w:t>日本の二次②では、不適合が月3回に達すると停止されうるので、入札の側で上限を落とさない選び方が要る。そこで、未見通過率が最良と区別できない（信頼区間が重なる）組み合わせのうち、入札量が最も大きいものを選んだ。それが本線の選び方で、未見通過率はAEMOで99.3%、ERCOTで99.8%、入札量はEVの実現を4〜6通りにした場合より4〜8%多い。</w:t>
      </w:r>
    </w:p>
    <w:p>
      <w:pPr>
        <w:spacing w:after="20" w:line="189" w:lineRule="exact"/>
      </w:pPr>
      <w:r>
        <w:rPr>
          <w:b w:val="0"/>
          <w:i w:val="0"/>
          <w:color w:val="444444"/>
          <w:sz w:val="16"/>
        </w:rPr>
        <w:t>【予定】要求がゆるい市場（デンマークのP90［22］など）では、より攻めた選び方を取れる可能性がある。P90をどの物差しで照合するかが未決。</w:t>
      </w:r>
    </w:p>
    <w:p>
      <w:pPr>
        <w:keepNext/>
        <w:spacing w:after="0" w:line="189" w:lineRule="exact" w:before="80"/>
        <w:jc w:val="center"/>
      </w:pPr>
      <w:r>
        <w:rPr>
          <w:b w:val="0"/>
          <w:i w:val="0"/>
          <w:sz w:val="16"/>
        </w:rPr>
        <w:t>TABLE IV</w:t>
      </w:r>
    </w:p>
    <w:p>
      <w:pPr>
        <w:keepNext/>
        <w:spacing w:after="40" w:line="189" w:lineRule="exact"/>
        <w:jc w:val="center"/>
      </w:pPr>
      <w:r>
        <w:rPr>
          <w:b w:val="0"/>
          <w:i w:val="0"/>
          <w:sz w:val="16"/>
        </w:rPr>
        <w:t>標本の取り方と未見通過率（6 station、1,920組）。各欄は入札量（kW・コマ/日）/ 未見通過率。予測精度の行は未見通過率だけ</w:t>
      </w:r>
    </w:p>
    <w:tbl>
      <w:tblPr>
        <w:tblW w:type="dxa" w:w="4968"/>
        <w:jc w:val="center"/>
        <w:tblLayout w:type="fixed"/>
        <w:tblLook w:firstColumn="1" w:firstRow="1" w:lastColumn="0" w:lastRow="0" w:noHBand="0" w:noVBand="1" w:val="04A0"/>
        <w:tblLayout w:type="fixed"/>
        <w:tblBorders>
          <w:top w:val="single" w:sz="8" w:color="000000"/>
          <w:bottom w:val="single" w:sz="8" w:color="000000"/>
        </w:tblBorders>
      </w:tblPr>
      <w:tblGrid>
        <w:gridCol w:w="1800"/>
        <w:gridCol w:w="1584"/>
        <w:gridCol w:w="1584"/>
      </w:tblGrid>
      <w:tr>
        <w:tc>
          <w:tcPr>
            <w:tcW w:type="dxa" w:w="1800"/>
            <w:tcBorders>
              <w:bottom w:val="single" w:sz="4" w:color="000000"/>
            </w:tcBorders>
          </w:tcPr>
          <w:p>
            <w:pPr>
              <w:keepNext/>
              <w:spacing w:line="149" w:lineRule="exact"/>
            </w:pPr>
            <w:r/>
            <w:r>
              <w:rPr>
                <w:b/>
                <w:sz w:val="13"/>
              </w:rPr>
              <w:t>変種</w:t>
            </w:r>
          </w:p>
        </w:tc>
        <w:tc>
          <w:tcPr>
            <w:tcW w:type="dxa" w:w="1584"/>
            <w:tcBorders>
              <w:bottom w:val="single" w:sz="4" w:color="000000"/>
            </w:tcBorders>
          </w:tcPr>
          <w:p>
            <w:pPr>
              <w:keepNext/>
              <w:spacing w:line="149" w:lineRule="exact"/>
            </w:pPr>
            <w:r/>
            <w:r>
              <w:rPr>
                <w:b/>
                <w:sz w:val="13"/>
              </w:rPr>
              <w:t>AEMO</w:t>
            </w:r>
          </w:p>
        </w:tc>
        <w:tc>
          <w:tcPr>
            <w:tcW w:type="dxa" w:w="1584"/>
            <w:tcBorders>
              <w:bottom w:val="single" w:sz="4" w:color="000000"/>
            </w:tcBorders>
          </w:tcPr>
          <w:p>
            <w:pPr>
              <w:keepNext/>
              <w:spacing w:line="149" w:lineRule="exact"/>
            </w:pPr>
            <w:r/>
            <w:r>
              <w:rPr>
                <w:b/>
                <w:sz w:val="13"/>
              </w:rPr>
              <w:t>ERCOT</w:t>
            </w:r>
          </w:p>
        </w:tc>
      </w:tr>
      <w:tr>
        <w:tc>
          <w:tcPr>
            <w:tcW w:type="dxa" w:w="1800"/>
          </w:tcPr>
          <w:p>
            <w:pPr>
              <w:keepNext/>
              <w:spacing w:line="149" w:lineRule="exact"/>
            </w:pPr>
            <w:r/>
            <w:r>
              <w:rPr>
                <w:b w:val="0"/>
                <w:sz w:val="13"/>
              </w:rPr>
              <w:t>本線（指令128本、EVは下2上1）</w:t>
            </w:r>
          </w:p>
        </w:tc>
        <w:tc>
          <w:tcPr>
            <w:tcW w:type="dxa" w:w="1584"/>
          </w:tcPr>
          <w:p>
            <w:pPr>
              <w:keepNext/>
              <w:spacing w:line="149" w:lineRule="exact"/>
            </w:pPr>
            <w:r/>
            <w:r>
              <w:rPr>
                <w:b w:val="0"/>
                <w:sz w:val="13"/>
              </w:rPr>
              <w:t>15,749 / 99.27%</w:t>
            </w:r>
          </w:p>
        </w:tc>
        <w:tc>
          <w:tcPr>
            <w:tcW w:type="dxa" w:w="1584"/>
          </w:tcPr>
          <w:p>
            <w:pPr>
              <w:keepNext/>
              <w:spacing w:line="149" w:lineRule="exact"/>
            </w:pPr>
            <w:r/>
            <w:r>
              <w:rPr>
                <w:b w:val="0"/>
                <w:sz w:val="13"/>
              </w:rPr>
              <w:t>16,220 / 99.79%</w:t>
            </w:r>
          </w:p>
        </w:tc>
      </w:tr>
      <w:tr>
        <w:tc>
          <w:tcPr>
            <w:tcW w:type="dxa" w:w="1800"/>
          </w:tcPr>
          <w:p>
            <w:pPr>
              <w:keepNext/>
              <w:spacing w:line="149" w:lineRule="exact"/>
            </w:pPr>
            <w:r/>
            <w:r>
              <w:rPr>
                <w:b w:val="0"/>
                <w:sz w:val="13"/>
              </w:rPr>
              <w:t>指令8本</w:t>
            </w:r>
          </w:p>
        </w:tc>
        <w:tc>
          <w:tcPr>
            <w:tcW w:type="dxa" w:w="1584"/>
          </w:tcPr>
          <w:p>
            <w:pPr>
              <w:keepNext/>
              <w:spacing w:line="149" w:lineRule="exact"/>
            </w:pPr>
            <w:r/>
            <w:r>
              <w:rPr>
                <w:b w:val="0"/>
                <w:sz w:val="13"/>
              </w:rPr>
              <w:t>15,433 / 99.17%</w:t>
            </w:r>
          </w:p>
        </w:tc>
        <w:tc>
          <w:tcPr>
            <w:tcW w:type="dxa" w:w="1584"/>
          </w:tcPr>
          <w:p>
            <w:pPr>
              <w:keepNext/>
              <w:spacing w:line="149" w:lineRule="exact"/>
            </w:pPr>
            <w:r/>
            <w:r>
              <w:rPr>
                <w:b w:val="0"/>
                <w:sz w:val="13"/>
              </w:rPr>
              <w:t>16,634 / 99.64%</w:t>
            </w:r>
          </w:p>
        </w:tc>
      </w:tr>
      <w:tr>
        <w:tc>
          <w:tcPr>
            <w:tcW w:type="dxa" w:w="1800"/>
          </w:tcPr>
          <w:p>
            <w:pPr>
              <w:keepNext/>
              <w:spacing w:line="149" w:lineRule="exact"/>
            </w:pPr>
            <w:r/>
            <w:r>
              <w:rPr>
                <w:b w:val="0"/>
                <w:sz w:val="13"/>
              </w:rPr>
              <w:t>指令16〜64本</w:t>
            </w:r>
          </w:p>
        </w:tc>
        <w:tc>
          <w:tcPr>
            <w:tcW w:type="dxa" w:w="1584"/>
          </w:tcPr>
          <w:p>
            <w:pPr>
              <w:keepNext/>
              <w:spacing w:line="149" w:lineRule="exact"/>
            </w:pPr>
            <w:r/>
            <w:r>
              <w:rPr>
                <w:b w:val="0"/>
                <w:sz w:val="13"/>
              </w:rPr>
              <w:t>16,089〜16,807 / 99.06%</w:t>
            </w:r>
          </w:p>
        </w:tc>
        <w:tc>
          <w:tcPr>
            <w:tcW w:type="dxa" w:w="1584"/>
          </w:tcPr>
          <w:p>
            <w:pPr>
              <w:keepNext/>
              <w:spacing w:line="149" w:lineRule="exact"/>
            </w:pPr>
            <w:r/>
            <w:r>
              <w:rPr>
                <w:b w:val="0"/>
                <w:sz w:val="13"/>
              </w:rPr>
              <w:t>16,774〜16,786 / 99.64%</w:t>
            </w:r>
          </w:p>
        </w:tc>
      </w:tr>
      <w:tr>
        <w:tc>
          <w:tcPr>
            <w:tcW w:type="dxa" w:w="1800"/>
          </w:tcPr>
          <w:p>
            <w:pPr>
              <w:keepNext/>
              <w:spacing w:line="149" w:lineRule="exact"/>
            </w:pPr>
            <w:r/>
            <w:r>
              <w:rPr>
                <w:b w:val="0"/>
                <w:sz w:val="13"/>
              </w:rPr>
              <w:t>指令256本</w:t>
            </w:r>
          </w:p>
        </w:tc>
        <w:tc>
          <w:tcPr>
            <w:tcW w:type="dxa" w:w="1584"/>
          </w:tcPr>
          <w:p>
            <w:pPr>
              <w:keepNext/>
              <w:spacing w:line="149" w:lineRule="exact"/>
            </w:pPr>
            <w:r/>
            <w:r>
              <w:rPr>
                <w:b w:val="0"/>
                <w:sz w:val="13"/>
              </w:rPr>
              <w:t>15,655 / 99.22%</w:t>
            </w:r>
          </w:p>
        </w:tc>
        <w:tc>
          <w:tcPr>
            <w:tcW w:type="dxa" w:w="1584"/>
          </w:tcPr>
          <w:p>
            <w:pPr>
              <w:keepNext/>
              <w:spacing w:line="149" w:lineRule="exact"/>
            </w:pPr>
            <w:r/>
            <w:r>
              <w:rPr>
                <w:b w:val="0"/>
                <w:sz w:val="13"/>
              </w:rPr>
              <w:t>16,210 / 99.79%</w:t>
            </w:r>
          </w:p>
        </w:tc>
      </w:tr>
      <w:tr>
        <w:tc>
          <w:tcPr>
            <w:tcW w:type="dxa" w:w="1800"/>
          </w:tcPr>
          <w:p>
            <w:pPr>
              <w:keepNext/>
              <w:spacing w:line="149" w:lineRule="exact"/>
            </w:pPr>
            <w:r/>
            <w:r>
              <w:rPr>
                <w:b w:val="0"/>
                <w:sz w:val="13"/>
              </w:rPr>
              <w:t>EV 1通り</w:t>
            </w:r>
          </w:p>
        </w:tc>
        <w:tc>
          <w:tcPr>
            <w:tcW w:type="dxa" w:w="1584"/>
          </w:tcPr>
          <w:p>
            <w:pPr>
              <w:keepNext/>
              <w:spacing w:line="149" w:lineRule="exact"/>
            </w:pPr>
            <w:r/>
            <w:r>
              <w:rPr>
                <w:b w:val="0"/>
                <w:sz w:val="13"/>
              </w:rPr>
              <w:t>17,804 / 91.98%</w:t>
            </w:r>
          </w:p>
        </w:tc>
        <w:tc>
          <w:tcPr>
            <w:tcW w:type="dxa" w:w="1584"/>
          </w:tcPr>
          <w:p>
            <w:pPr>
              <w:keepNext/>
              <w:spacing w:line="149" w:lineRule="exact"/>
            </w:pPr>
            <w:r/>
            <w:r>
              <w:rPr>
                <w:b w:val="0"/>
                <w:sz w:val="13"/>
              </w:rPr>
              <w:t>18,218 / 94.43%</w:t>
            </w:r>
          </w:p>
        </w:tc>
      </w:tr>
      <w:tr>
        <w:tc>
          <w:tcPr>
            <w:tcW w:type="dxa" w:w="1800"/>
          </w:tcPr>
          <w:p>
            <w:pPr>
              <w:keepNext/>
              <w:spacing w:line="149" w:lineRule="exact"/>
            </w:pPr>
            <w:r/>
            <w:r>
              <w:rPr>
                <w:b w:val="0"/>
                <w:sz w:val="13"/>
              </w:rPr>
              <w:t>EV 2通り</w:t>
            </w:r>
          </w:p>
        </w:tc>
        <w:tc>
          <w:tcPr>
            <w:tcW w:type="dxa" w:w="1584"/>
          </w:tcPr>
          <w:p>
            <w:pPr>
              <w:keepNext/>
              <w:spacing w:line="149" w:lineRule="exact"/>
            </w:pPr>
            <w:r/>
            <w:r>
              <w:rPr>
                <w:b w:val="0"/>
                <w:sz w:val="13"/>
              </w:rPr>
              <w:t>17,658 / 88.70%</w:t>
            </w:r>
          </w:p>
        </w:tc>
        <w:tc>
          <w:tcPr>
            <w:tcW w:type="dxa" w:w="1584"/>
          </w:tcPr>
          <w:p>
            <w:pPr>
              <w:keepNext/>
              <w:spacing w:line="149" w:lineRule="exact"/>
            </w:pPr>
            <w:r/>
            <w:r>
              <w:rPr>
                <w:b w:val="0"/>
                <w:sz w:val="13"/>
              </w:rPr>
              <w:t>18,119 / 95.31%</w:t>
            </w:r>
          </w:p>
        </w:tc>
      </w:tr>
      <w:tr>
        <w:tc>
          <w:tcPr>
            <w:tcW w:type="dxa" w:w="1800"/>
          </w:tcPr>
          <w:p>
            <w:pPr>
              <w:keepNext/>
              <w:spacing w:line="149" w:lineRule="exact"/>
            </w:pPr>
            <w:r/>
            <w:r>
              <w:rPr>
                <w:b w:val="0"/>
                <w:sz w:val="13"/>
              </w:rPr>
              <w:t>EV 4通り</w:t>
            </w:r>
          </w:p>
        </w:tc>
        <w:tc>
          <w:tcPr>
            <w:tcW w:type="dxa" w:w="1584"/>
          </w:tcPr>
          <w:p>
            <w:pPr>
              <w:keepNext/>
              <w:spacing w:line="149" w:lineRule="exact"/>
            </w:pPr>
            <w:r/>
            <w:r>
              <w:rPr>
                <w:b w:val="0"/>
                <w:sz w:val="13"/>
              </w:rPr>
              <w:t>15,184 / 99.48%</w:t>
            </w:r>
          </w:p>
        </w:tc>
        <w:tc>
          <w:tcPr>
            <w:tcW w:type="dxa" w:w="1584"/>
          </w:tcPr>
          <w:p>
            <w:pPr>
              <w:keepNext/>
              <w:spacing w:line="149" w:lineRule="exact"/>
            </w:pPr>
            <w:r/>
            <w:r>
              <w:rPr>
                <w:b w:val="0"/>
                <w:sz w:val="13"/>
              </w:rPr>
              <w:t>15,571 / 100%</w:t>
            </w:r>
          </w:p>
        </w:tc>
      </w:tr>
      <w:tr>
        <w:tc>
          <w:tcPr>
            <w:tcW w:type="dxa" w:w="1800"/>
          </w:tcPr>
          <w:p>
            <w:pPr>
              <w:keepNext/>
              <w:spacing w:line="149" w:lineRule="exact"/>
            </w:pPr>
            <w:r/>
            <w:r>
              <w:rPr>
                <w:b w:val="0"/>
                <w:sz w:val="13"/>
              </w:rPr>
              <w:t>EV 6通り</w:t>
            </w:r>
          </w:p>
        </w:tc>
        <w:tc>
          <w:tcPr>
            <w:tcW w:type="dxa" w:w="1584"/>
          </w:tcPr>
          <w:p>
            <w:pPr>
              <w:keepNext/>
              <w:spacing w:line="149" w:lineRule="exact"/>
            </w:pPr>
            <w:r/>
            <w:r>
              <w:rPr>
                <w:b w:val="0"/>
                <w:sz w:val="13"/>
              </w:rPr>
              <w:t>14,523 / 99.48%</w:t>
            </w:r>
          </w:p>
        </w:tc>
        <w:tc>
          <w:tcPr>
            <w:tcW w:type="dxa" w:w="1584"/>
          </w:tcPr>
          <w:p>
            <w:pPr>
              <w:keepNext/>
              <w:spacing w:line="149" w:lineRule="exact"/>
            </w:pPr>
            <w:r/>
            <w:r>
              <w:rPr>
                <w:b w:val="0"/>
                <w:sz w:val="13"/>
              </w:rPr>
              <w:t>15,145 / 100%</w:t>
            </w:r>
          </w:p>
        </w:tc>
      </w:tr>
      <w:tr>
        <w:tc>
          <w:tcPr>
            <w:tcW w:type="dxa" w:w="1800"/>
          </w:tcPr>
          <w:p>
            <w:pPr>
              <w:keepNext/>
              <w:spacing w:line="149" w:lineRule="exact"/>
            </w:pPr>
            <w:r/>
            <w:r>
              <w:rPr>
                <w:b w:val="0"/>
                <w:sz w:val="13"/>
              </w:rPr>
              <w:t>下1・中央・最大</w:t>
            </w:r>
          </w:p>
        </w:tc>
        <w:tc>
          <w:tcPr>
            <w:tcW w:type="dxa" w:w="1584"/>
          </w:tcPr>
          <w:p>
            <w:pPr>
              <w:keepNext/>
              <w:spacing w:line="149" w:lineRule="exact"/>
            </w:pPr>
            <w:r/>
            <w:r>
              <w:rPr>
                <w:b w:val="0"/>
                <w:sz w:val="13"/>
              </w:rPr>
              <w:t>17,114 / 91.67%</w:t>
            </w:r>
          </w:p>
        </w:tc>
        <w:tc>
          <w:tcPr>
            <w:tcW w:type="dxa" w:w="1584"/>
          </w:tcPr>
          <w:p>
            <w:pPr>
              <w:keepNext/>
              <w:spacing w:line="149" w:lineRule="exact"/>
            </w:pPr>
            <w:r/>
            <w:r>
              <w:rPr>
                <w:b w:val="0"/>
                <w:sz w:val="13"/>
              </w:rPr>
              <w:t>17,647 / 98.07%</w:t>
            </w:r>
          </w:p>
        </w:tc>
      </w:tr>
      <w:tr>
        <w:tc>
          <w:tcPr>
            <w:tcW w:type="dxa" w:w="1800"/>
          </w:tcPr>
          <w:p>
            <w:pPr>
              <w:keepNext/>
              <w:spacing w:line="149" w:lineRule="exact"/>
            </w:pPr>
            <w:r/>
            <w:r>
              <w:rPr>
                <w:b w:val="0"/>
                <w:sz w:val="13"/>
              </w:rPr>
              <w:t>最小・中央・最大</w:t>
            </w:r>
          </w:p>
        </w:tc>
        <w:tc>
          <w:tcPr>
            <w:tcW w:type="dxa" w:w="1584"/>
          </w:tcPr>
          <w:p>
            <w:pPr>
              <w:keepNext/>
              <w:spacing w:line="149" w:lineRule="exact"/>
            </w:pPr>
            <w:r/>
            <w:r>
              <w:rPr>
                <w:b w:val="0"/>
                <w:sz w:val="13"/>
              </w:rPr>
              <w:t>18,401 / 94.17%</w:t>
            </w:r>
          </w:p>
        </w:tc>
        <w:tc>
          <w:tcPr>
            <w:tcW w:type="dxa" w:w="1584"/>
          </w:tcPr>
          <w:p>
            <w:pPr>
              <w:keepNext/>
              <w:spacing w:line="149" w:lineRule="exact"/>
            </w:pPr>
            <w:r/>
            <w:r>
              <w:rPr>
                <w:b w:val="0"/>
                <w:sz w:val="13"/>
              </w:rPr>
              <w:t>18,825 / 96.72%</w:t>
            </w:r>
          </w:p>
        </w:tc>
      </w:tr>
      <w:tr>
        <w:tc>
          <w:tcPr>
            <w:tcW w:type="dxa" w:w="1800"/>
          </w:tcPr>
          <w:p>
            <w:pPr>
              <w:keepNext/>
              <w:spacing w:line="149" w:lineRule="exact"/>
            </w:pPr>
            <w:r/>
            <w:r>
              <w:rPr>
                <w:b w:val="0"/>
                <w:sz w:val="13"/>
              </w:rPr>
              <w:t>無作為3通り（3回）</w:t>
            </w:r>
          </w:p>
        </w:tc>
        <w:tc>
          <w:tcPr>
            <w:tcW w:type="dxa" w:w="1584"/>
          </w:tcPr>
          <w:p>
            <w:pPr>
              <w:keepNext/>
              <w:spacing w:line="149" w:lineRule="exact"/>
            </w:pPr>
            <w:r/>
            <w:r>
              <w:rPr>
                <w:b w:val="0"/>
                <w:sz w:val="13"/>
              </w:rPr>
              <w:t>18,312〜20,323 / 92.1〜94.2%</w:t>
            </w:r>
          </w:p>
        </w:tc>
        <w:tc>
          <w:tcPr>
            <w:tcW w:type="dxa" w:w="1584"/>
          </w:tcPr>
          <w:p>
            <w:pPr>
              <w:keepNext/>
              <w:spacing w:line="149" w:lineRule="exact"/>
            </w:pPr>
            <w:r/>
            <w:r>
              <w:rPr>
                <w:b w:val="0"/>
                <w:sz w:val="13"/>
              </w:rPr>
              <w:t>18,814〜20,799 / 95.2〜96.6%</w:t>
            </w:r>
          </w:p>
        </w:tc>
      </w:tr>
      <w:tr>
        <w:tc>
          <w:tcPr>
            <w:tcW w:type="dxa" w:w="1800"/>
          </w:tcPr>
          <w:p>
            <w:pPr>
              <w:keepNext/>
              <w:spacing w:line="149" w:lineRule="exact"/>
            </w:pPr>
            <w:r/>
            <w:r>
              <w:rPr>
                <w:b w:val="0"/>
                <w:sz w:val="13"/>
              </w:rPr>
              <w:t>予測精度95・91・85%（下2上1）</w:t>
            </w:r>
          </w:p>
        </w:tc>
        <w:tc>
          <w:tcPr>
            <w:tcW w:type="dxa" w:w="1584"/>
          </w:tcPr>
          <w:p>
            <w:pPr>
              <w:keepNext/>
              <w:spacing w:line="149" w:lineRule="exact"/>
            </w:pPr>
            <w:r/>
            <w:r>
              <w:rPr>
                <w:b w:val="0"/>
                <w:sz w:val="13"/>
              </w:rPr>
              <w:t>99.3・96.0・87.3%</w:t>
            </w:r>
          </w:p>
        </w:tc>
        <w:tc>
          <w:tcPr>
            <w:tcW w:type="dxa" w:w="1584"/>
          </w:tcPr>
          <w:p>
            <w:pPr>
              <w:keepNext/>
              <w:spacing w:line="149" w:lineRule="exact"/>
            </w:pPr>
            <w:r/>
            <w:r>
              <w:rPr>
                <w:b w:val="0"/>
                <w:sz w:val="13"/>
              </w:rPr>
              <w:t>99.7・97.3・91.5%</w:t>
            </w:r>
          </w:p>
        </w:tc>
      </w:tr>
      <w:tr>
        <w:tc>
          <w:tcPr>
            <w:tcW w:type="dxa" w:w="1800"/>
          </w:tcPr>
          <w:p>
            <w:pPr>
              <w:keepNext w:val="0"/>
              <w:spacing w:line="149" w:lineRule="exact"/>
            </w:pPr>
            <w:r/>
            <w:r>
              <w:rPr>
                <w:b w:val="0"/>
                <w:sz w:val="13"/>
              </w:rPr>
              <w:t>予測精度95・91・85%（無作為）</w:t>
            </w:r>
          </w:p>
        </w:tc>
        <w:tc>
          <w:tcPr>
            <w:tcW w:type="dxa" w:w="1584"/>
          </w:tcPr>
          <w:p>
            <w:pPr>
              <w:keepNext w:val="0"/>
              <w:spacing w:line="149" w:lineRule="exact"/>
            </w:pPr>
            <w:r/>
            <w:r>
              <w:rPr>
                <w:b w:val="0"/>
                <w:sz w:val="13"/>
              </w:rPr>
              <w:t>98.4・84.0・66.8%</w:t>
            </w:r>
          </w:p>
        </w:tc>
        <w:tc>
          <w:tcPr>
            <w:tcW w:type="dxa" w:w="1584"/>
          </w:tcPr>
          <w:p>
            <w:pPr>
              <w:keepNext w:val="0"/>
              <w:spacing w:line="149" w:lineRule="exact"/>
            </w:pPr>
            <w:r/>
            <w:r>
              <w:rPr>
                <w:b w:val="0"/>
                <w:sz w:val="13"/>
              </w:rPr>
              <w:t>99.0・89.3・75.8%</w:t>
            </w:r>
          </w:p>
        </w:tc>
      </w:tr>
    </w:tbl>
    <w:p>
      <w:pPr>
        <w:spacing w:after="80" w:line="94" w:lineRule="exact"/>
      </w:pPr>
    </w:p>
    <w:p>
      <w:pPr>
        <w:keepNext/>
        <w:spacing w:before="80" w:line="240" w:lineRule="auto"/>
        <w:jc w:val="center"/>
      </w:pPr>
      <w:r>
        <w:drawing>
          <wp:inline xmlns:a="http://schemas.openxmlformats.org/drawingml/2006/main" xmlns:pic="http://schemas.openxmlformats.org/drawingml/2006/picture">
            <wp:extent cx="3154680" cy="3244814"/>
            <wp:docPr id="3" name="Picture 3"/>
            <wp:cNvGraphicFramePr>
              <a:graphicFrameLocks noChangeAspect="1"/>
            </wp:cNvGraphicFramePr>
            <a:graphic>
              <a:graphicData uri="http://schemas.openxmlformats.org/drawingml/2006/picture">
                <pic:pic>
                  <pic:nvPicPr>
                    <pic:cNvPr id="0" name="fig_selection.png"/>
                    <pic:cNvPicPr/>
                  </pic:nvPicPr>
                  <pic:blipFill>
                    <a:blip r:embed="rId11"/>
                    <a:stretch>
                      <a:fillRect/>
                    </a:stretch>
                  </pic:blipFill>
                  <pic:spPr>
                    <a:xfrm>
                      <a:off x="0" y="0"/>
                      <a:ext cx="3154680" cy="3244814"/>
                    </a:xfrm>
                    <a:prstGeom prst="rect"/>
                  </pic:spPr>
                </pic:pic>
              </a:graphicData>
            </a:graphic>
          </wp:inline>
        </w:drawing>
      </w:r>
    </w:p>
    <w:p>
      <w:pPr>
        <w:spacing w:after="120" w:line="189" w:lineRule="exact"/>
        <w:jc w:val="both"/>
      </w:pPr>
      <w:r>
        <w:rPr>
          <w:b w:val="0"/>
          <w:i w:val="0"/>
          <w:sz w:val="16"/>
        </w:rPr>
        <w:t>Fig. 3.  入札量と未見通過率（6 station、上はAEMO、下はERCOT、1,920組）。紫は予測精度の3水準で、白抜きは無作為に3通り選んだもの。</w:t>
      </w:r>
    </w:p>
    <w:p>
      <w:pPr>
        <w:spacing w:after="20" w:before="60"/>
      </w:pPr>
      <w:r>
        <w:rPr>
          <w:b w:val="0"/>
          <w:i/>
          <w:sz w:val="20"/>
        </w:rPr>
        <w:t>D. 最終版の性能</w:t>
      </w:r>
    </w:p>
    <w:p>
      <w:pPr>
        <w:spacing w:after="0"/>
        <w:ind w:firstLine="202"/>
      </w:pPr>
      <w:r>
        <w:rPr>
          <w:b w:val="0"/>
          <w:i w:val="0"/>
          <w:sz w:val="20"/>
        </w:rPr>
        <w:t>最終版の成績を図4に示す。分散MARLの30分コマの合格率は、6 stationで74.9〜89.8%、20 stationで88.6〜90.7%だった。5分ごとの合格率は89.5〜95.9%、出発時のSoC達成率は72.4〜89.0%だった。強制充電の層を足すとSoC達成率は100%になったが、30分コマの合格率は57.9〜87.0%に下がった。中央のルールベース（上下限と出発時刻からEVごとの範囲を求め、指令を配る。［18］［19］に近い形）は、30分コマの合格率が93.1〜98.8%、SoC達成率が100%だった。</w:t>
      </w:r>
    </w:p>
    <w:p>
      <w:pPr>
        <w:spacing w:after="20" w:line="189" w:lineRule="exact"/>
      </w:pPr>
      <w:r>
        <w:rPr>
          <w:b w:val="0"/>
          <w:i w:val="0"/>
          <w:color w:val="444444"/>
          <w:sz w:val="16"/>
        </w:rPr>
        <w:t>【予定】20 station PJMのMARLは学習中。GBの2条件は回すかが未定。</w:t>
      </w:r>
    </w:p>
    <w:p>
      <w:pPr>
        <w:sectPr>
          <w:type w:val="continuous"/>
          <w:pgSz w:w="12240" w:h="15840"/>
          <w:pgMar w:top="1080" w:right="900" w:bottom="1440" w:left="900" w:header="720" w:footer="720" w:gutter="0"/>
          <w:docGrid w:linePitch="360"/>
          <w:cols w:num="2" w:space="360"/>
        </w:sectPr>
      </w:pPr>
    </w:p>
    <w:p>
      <w:pPr>
        <w:keepNext/>
        <w:spacing w:before="80" w:line="240" w:lineRule="auto"/>
        <w:jc w:val="center"/>
      </w:pPr>
      <w:r>
        <w:drawing>
          <wp:inline xmlns:a="http://schemas.openxmlformats.org/drawingml/2006/main" xmlns:pic="http://schemas.openxmlformats.org/drawingml/2006/picture">
            <wp:extent cx="6492240" cy="2810886"/>
            <wp:docPr id="4" name="Picture 4"/>
            <wp:cNvGraphicFramePr>
              <a:graphicFrameLocks noChangeAspect="1"/>
            </wp:cNvGraphicFramePr>
            <a:graphic>
              <a:graphicData uri="http://schemas.openxmlformats.org/drawingml/2006/picture">
                <pic:pic>
                  <pic:nvPicPr>
                    <pic:cNvPr id="0" name="fig_final.png"/>
                    <pic:cNvPicPr/>
                  </pic:nvPicPr>
                  <pic:blipFill>
                    <a:blip r:embed="rId12"/>
                    <a:stretch>
                      <a:fillRect/>
                    </a:stretch>
                  </pic:blipFill>
                  <pic:spPr>
                    <a:xfrm>
                      <a:off x="0" y="0"/>
                      <a:ext cx="6492240" cy="2810886"/>
                    </a:xfrm>
                    <a:prstGeom prst="rect"/>
                  </pic:spPr>
                </pic:pic>
              </a:graphicData>
            </a:graphic>
          </wp:inline>
        </w:drawing>
      </w:r>
    </w:p>
    <w:p>
      <w:pPr>
        <w:spacing w:after="120" w:line="189" w:lineRule="exact"/>
        <w:jc w:val="both"/>
      </w:pPr>
      <w:r>
        <w:rPr>
          <w:b w:val="0"/>
          <w:i w:val="0"/>
          <w:sz w:val="16"/>
        </w:rPr>
        <w:t>Fig. 4.  最終版の成績（6・20 station × 指令4種）。30分コマの合格率、5分ごとの合格率、出発時のSoC達成率。赤い破線は日本の二次②で月3回の不適合を避けるのに要るコマの合格率。6 station AEMOの行動器＋強制充電は30分コマの値だけ。</w:t>
      </w:r>
    </w:p>
    <w:p>
      <w:pPr>
        <w:sectPr>
          <w:type w:val="continuous"/>
          <w:pgSz w:w="12240" w:h="15840"/>
          <w:pgMar w:top="1080" w:right="900" w:bottom="1440" w:left="900" w:header="720" w:footer="720" w:gutter="0"/>
          <w:docGrid w:linePitch="360"/>
          <w:cols w:num="1" w:space="360"/>
        </w:sectPr>
      </w:pPr>
    </w:p>
    <w:p>
      <w:pPr>
        <w:spacing w:after="0"/>
        <w:ind w:firstLine="202"/>
      </w:pPr>
      <w:r>
        <w:rPr>
          <w:b w:val="0"/>
          <w:i w:val="0"/>
          <w:sz w:val="20"/>
        </w:rPr>
        <w:t>市場の要求と照らすと（表V）、分散MARLは月20日の運用に換算して90〜241回の不適合を出し、日本の二次②の停止の基準（月3回）に大きく届かない。中央のルールベースでも12〜66回で、どの方法も届いていない。</w:t>
      </w:r>
    </w:p>
    <w:p>
      <w:pPr>
        <w:keepNext/>
        <w:spacing w:after="0" w:line="189" w:lineRule="exact" w:before="80"/>
        <w:jc w:val="center"/>
      </w:pPr>
      <w:r>
        <w:rPr>
          <w:b w:val="0"/>
          <w:i w:val="0"/>
          <w:sz w:val="16"/>
        </w:rPr>
        <w:t>TABLE V</w:t>
      </w:r>
    </w:p>
    <w:p>
      <w:pPr>
        <w:keepNext/>
        <w:spacing w:after="40" w:line="189" w:lineRule="exact"/>
        <w:jc w:val="center"/>
      </w:pPr>
      <w:r>
        <w:rPr>
          <w:b w:val="0"/>
          <w:i w:val="0"/>
          <w:sz w:val="16"/>
        </w:rPr>
        <w:t>市場の要求との照合（40組。不適合は月20日に換算）</w:t>
      </w:r>
    </w:p>
    <w:tbl>
      <w:tblPr>
        <w:tblW w:type="dxa" w:w="4680"/>
        <w:jc w:val="center"/>
        <w:tblLayout w:type="fixed"/>
        <w:tblLook w:firstColumn="1" w:firstRow="1" w:lastColumn="0" w:lastRow="0" w:noHBand="0" w:noVBand="1" w:val="04A0"/>
        <w:tblLayout w:type="fixed"/>
        <w:tblBorders>
          <w:top w:val="single" w:sz="8" w:color="000000"/>
          <w:bottom w:val="single" w:sz="8" w:color="000000"/>
        </w:tblBorders>
      </w:tblPr>
      <w:tblGrid>
        <w:gridCol w:w="503"/>
        <w:gridCol w:w="720"/>
        <w:gridCol w:w="1152"/>
        <w:gridCol w:w="720"/>
        <w:gridCol w:w="864"/>
        <w:gridCol w:w="720"/>
      </w:tblGrid>
      <w:tr>
        <w:tc>
          <w:tcPr>
            <w:tcW w:type="dxa" w:w="504"/>
            <w:tcBorders>
              <w:bottom w:val="single" w:sz="4" w:color="000000"/>
            </w:tcBorders>
          </w:tcPr>
          <w:p>
            <w:pPr>
              <w:keepNext/>
              <w:spacing w:line="149" w:lineRule="exact"/>
            </w:pPr>
            <w:r/>
            <w:r>
              <w:rPr>
                <w:b/>
                <w:sz w:val="13"/>
              </w:rPr>
              <w:t>規模</w:t>
            </w:r>
          </w:p>
        </w:tc>
        <w:tc>
          <w:tcPr>
            <w:tcW w:type="dxa" w:w="720"/>
            <w:tcBorders>
              <w:bottom w:val="single" w:sz="4" w:color="000000"/>
            </w:tcBorders>
          </w:tcPr>
          <w:p>
            <w:pPr>
              <w:keepNext/>
              <w:spacing w:line="149" w:lineRule="exact"/>
            </w:pPr>
            <w:r/>
            <w:r>
              <w:rPr>
                <w:b/>
                <w:sz w:val="13"/>
              </w:rPr>
              <w:t>市場</w:t>
            </w:r>
          </w:p>
        </w:tc>
        <w:tc>
          <w:tcPr>
            <w:tcW w:type="dxa" w:w="1152"/>
            <w:tcBorders>
              <w:bottom w:val="single" w:sz="4" w:color="000000"/>
            </w:tcBorders>
          </w:tcPr>
          <w:p>
            <w:pPr>
              <w:keepNext/>
              <w:spacing w:line="149" w:lineRule="exact"/>
            </w:pPr>
            <w:r/>
            <w:r>
              <w:rPr>
                <w:b/>
                <w:sz w:val="13"/>
              </w:rPr>
              <w:t>方法</w:t>
            </w:r>
          </w:p>
        </w:tc>
        <w:tc>
          <w:tcPr>
            <w:tcW w:type="dxa" w:w="720"/>
            <w:tcBorders>
              <w:bottom w:val="single" w:sz="4" w:color="000000"/>
            </w:tcBorders>
          </w:tcPr>
          <w:p>
            <w:pPr>
              <w:keepNext/>
              <w:spacing w:line="149" w:lineRule="exact"/>
            </w:pPr>
            <w:r/>
            <w:r>
              <w:rPr>
                <w:b/>
                <w:sz w:val="13"/>
              </w:rPr>
              <w:t>30分コマ</w:t>
            </w:r>
          </w:p>
        </w:tc>
        <w:tc>
          <w:tcPr>
            <w:tcW w:type="dxa" w:w="864"/>
            <w:tcBorders>
              <w:bottom w:val="single" w:sz="4" w:color="000000"/>
            </w:tcBorders>
          </w:tcPr>
          <w:p>
            <w:pPr>
              <w:keepNext/>
              <w:spacing w:line="149" w:lineRule="exact"/>
            </w:pPr>
            <w:r/>
            <w:r>
              <w:rPr>
                <w:b/>
                <w:sz w:val="13"/>
              </w:rPr>
              <w:t>月の不適合</w:t>
            </w:r>
          </w:p>
        </w:tc>
        <w:tc>
          <w:tcPr>
            <w:tcW w:type="dxa" w:w="720"/>
            <w:tcBorders>
              <w:bottom w:val="single" w:sz="4" w:color="000000"/>
            </w:tcBorders>
          </w:tcPr>
          <w:p>
            <w:pPr>
              <w:keepNext/>
              <w:spacing w:line="149" w:lineRule="exact"/>
            </w:pPr>
            <w:r/>
            <w:r>
              <w:rPr>
                <w:b/>
                <w:sz w:val="13"/>
              </w:rPr>
              <w:t>5分</w:t>
            </w:r>
          </w:p>
        </w:tc>
      </w:tr>
      <w:tr>
        <w:tc>
          <w:tcPr>
            <w:tcW w:type="dxa" w:w="504"/>
          </w:tcPr>
          <w:p>
            <w:pPr>
              <w:keepNext/>
              <w:spacing w:line="149" w:lineRule="exact"/>
            </w:pPr>
            <w:r/>
            <w:r>
              <w:rPr>
                <w:b w:val="0"/>
                <w:sz w:val="13"/>
              </w:rPr>
              <w:t>6</w:t>
            </w:r>
          </w:p>
        </w:tc>
        <w:tc>
          <w:tcPr>
            <w:tcW w:type="dxa" w:w="720"/>
          </w:tcPr>
          <w:p>
            <w:pPr>
              <w:keepNext/>
              <w:spacing w:line="149" w:lineRule="exact"/>
            </w:pPr>
            <w:r/>
            <w:r>
              <w:rPr>
                <w:b w:val="0"/>
                <w:sz w:val="13"/>
              </w:rPr>
              <w:t>AEMO</w:t>
            </w:r>
          </w:p>
        </w:tc>
        <w:tc>
          <w:tcPr>
            <w:tcW w:type="dxa" w:w="1152"/>
          </w:tcPr>
          <w:p>
            <w:pPr>
              <w:keepNext/>
              <w:spacing w:line="149" w:lineRule="exact"/>
            </w:pPr>
            <w:r/>
            <w:r>
              <w:rPr>
                <w:b w:val="0"/>
                <w:sz w:val="13"/>
              </w:rPr>
              <w:t>分散MARL</w:t>
            </w:r>
          </w:p>
        </w:tc>
        <w:tc>
          <w:tcPr>
            <w:tcW w:type="dxa" w:w="720"/>
          </w:tcPr>
          <w:p>
            <w:pPr>
              <w:keepNext/>
              <w:spacing w:line="149" w:lineRule="exact"/>
            </w:pPr>
            <w:r/>
            <w:r>
              <w:rPr>
                <w:b w:val="0"/>
                <w:sz w:val="13"/>
              </w:rPr>
              <w:t>89.8%</w:t>
            </w:r>
          </w:p>
        </w:tc>
        <w:tc>
          <w:tcPr>
            <w:tcW w:type="dxa" w:w="864"/>
          </w:tcPr>
          <w:p>
            <w:pPr>
              <w:keepNext/>
              <w:spacing w:line="149" w:lineRule="exact"/>
            </w:pPr>
            <w:r/>
            <w:r>
              <w:rPr>
                <w:b w:val="0"/>
                <w:sz w:val="13"/>
              </w:rPr>
              <w:t>98</w:t>
            </w:r>
          </w:p>
        </w:tc>
        <w:tc>
          <w:tcPr>
            <w:tcW w:type="dxa" w:w="720"/>
          </w:tcPr>
          <w:p>
            <w:pPr>
              <w:keepNext/>
              <w:spacing w:line="149" w:lineRule="exact"/>
            </w:pPr>
            <w:r/>
            <w:r>
              <w:rPr>
                <w:b w:val="0"/>
                <w:sz w:val="13"/>
              </w:rPr>
              <w:t>95.0%</w:t>
            </w:r>
          </w:p>
        </w:tc>
      </w:tr>
      <w:tr>
        <w:tc>
          <w:tcPr>
            <w:tcW w:type="dxa" w:w="504"/>
          </w:tcPr>
          <w:p>
            <w:pPr>
              <w:keepNext/>
              <w:spacing w:line="149" w:lineRule="exact"/>
            </w:pPr>
            <w:r/>
            <w:r>
              <w:rPr>
                <w:b w:val="0"/>
                <w:sz w:val="13"/>
              </w:rPr>
              <w:t>6</w:t>
            </w:r>
          </w:p>
        </w:tc>
        <w:tc>
          <w:tcPr>
            <w:tcW w:type="dxa" w:w="720"/>
          </w:tcPr>
          <w:p>
            <w:pPr>
              <w:keepNext/>
              <w:spacing w:line="149" w:lineRule="exact"/>
            </w:pPr>
            <w:r/>
            <w:r>
              <w:rPr>
                <w:b w:val="0"/>
                <w:sz w:val="13"/>
              </w:rPr>
              <w:t>AEMO</w:t>
            </w:r>
          </w:p>
        </w:tc>
        <w:tc>
          <w:tcPr>
            <w:tcW w:type="dxa" w:w="1152"/>
          </w:tcPr>
          <w:p>
            <w:pPr>
              <w:keepNext/>
              <w:spacing w:line="149" w:lineRule="exact"/>
            </w:pPr>
            <w:r/>
            <w:r>
              <w:rPr>
                <w:b w:val="0"/>
                <w:sz w:val="13"/>
              </w:rPr>
              <w:t>ルールベース</w:t>
            </w:r>
          </w:p>
        </w:tc>
        <w:tc>
          <w:tcPr>
            <w:tcW w:type="dxa" w:w="720"/>
          </w:tcPr>
          <w:p>
            <w:pPr>
              <w:keepNext/>
              <w:spacing w:line="149" w:lineRule="exact"/>
            </w:pPr>
            <w:r/>
            <w:r>
              <w:rPr>
                <w:b w:val="0"/>
                <w:sz w:val="13"/>
              </w:rPr>
              <w:t>98.1%</w:t>
            </w:r>
          </w:p>
        </w:tc>
        <w:tc>
          <w:tcPr>
            <w:tcW w:type="dxa" w:w="864"/>
          </w:tcPr>
          <w:p>
            <w:pPr>
              <w:keepNext/>
              <w:spacing w:line="149" w:lineRule="exact"/>
            </w:pPr>
            <w:r/>
            <w:r>
              <w:rPr>
                <w:b w:val="0"/>
                <w:sz w:val="13"/>
              </w:rPr>
              <w:t>18</w:t>
            </w:r>
          </w:p>
        </w:tc>
        <w:tc>
          <w:tcPr>
            <w:tcW w:type="dxa" w:w="720"/>
          </w:tcPr>
          <w:p>
            <w:pPr>
              <w:keepNext/>
              <w:spacing w:line="149" w:lineRule="exact"/>
            </w:pPr>
            <w:r/>
            <w:r>
              <w:rPr>
                <w:b w:val="0"/>
                <w:sz w:val="13"/>
              </w:rPr>
              <w:t>98.9%</w:t>
            </w:r>
          </w:p>
        </w:tc>
      </w:tr>
      <w:tr>
        <w:tc>
          <w:tcPr>
            <w:tcW w:type="dxa" w:w="504"/>
          </w:tcPr>
          <w:p>
            <w:pPr>
              <w:keepNext/>
              <w:spacing w:line="149" w:lineRule="exact"/>
            </w:pPr>
            <w:r/>
            <w:r>
              <w:rPr>
                <w:b w:val="0"/>
                <w:sz w:val="13"/>
              </w:rPr>
              <w:t>6</w:t>
            </w:r>
          </w:p>
        </w:tc>
        <w:tc>
          <w:tcPr>
            <w:tcW w:type="dxa" w:w="720"/>
          </w:tcPr>
          <w:p>
            <w:pPr>
              <w:keepNext/>
              <w:spacing w:line="149" w:lineRule="exact"/>
            </w:pPr>
            <w:r/>
            <w:r>
              <w:rPr>
                <w:b w:val="0"/>
                <w:sz w:val="13"/>
              </w:rPr>
              <w:t>ERCOT</w:t>
            </w:r>
          </w:p>
        </w:tc>
        <w:tc>
          <w:tcPr>
            <w:tcW w:type="dxa" w:w="1152"/>
          </w:tcPr>
          <w:p>
            <w:pPr>
              <w:keepNext/>
              <w:spacing w:line="149" w:lineRule="exact"/>
            </w:pPr>
            <w:r/>
            <w:r>
              <w:rPr>
                <w:b w:val="0"/>
                <w:sz w:val="13"/>
              </w:rPr>
              <w:t>分散MARL</w:t>
            </w:r>
          </w:p>
        </w:tc>
        <w:tc>
          <w:tcPr>
            <w:tcW w:type="dxa" w:w="720"/>
          </w:tcPr>
          <w:p>
            <w:pPr>
              <w:keepNext/>
              <w:spacing w:line="149" w:lineRule="exact"/>
            </w:pPr>
            <w:r/>
            <w:r>
              <w:rPr>
                <w:b w:val="0"/>
                <w:sz w:val="13"/>
              </w:rPr>
              <w:t>87.2%</w:t>
            </w:r>
          </w:p>
        </w:tc>
        <w:tc>
          <w:tcPr>
            <w:tcW w:type="dxa" w:w="864"/>
          </w:tcPr>
          <w:p>
            <w:pPr>
              <w:keepNext/>
              <w:spacing w:line="149" w:lineRule="exact"/>
            </w:pPr>
            <w:r/>
            <w:r>
              <w:rPr>
                <w:b w:val="0"/>
                <w:sz w:val="13"/>
              </w:rPr>
              <w:t>123</w:t>
            </w:r>
          </w:p>
        </w:tc>
        <w:tc>
          <w:tcPr>
            <w:tcW w:type="dxa" w:w="720"/>
          </w:tcPr>
          <w:p>
            <w:pPr>
              <w:keepNext/>
              <w:spacing w:line="149" w:lineRule="exact"/>
            </w:pPr>
            <w:r/>
            <w:r>
              <w:rPr>
                <w:b w:val="0"/>
                <w:sz w:val="13"/>
              </w:rPr>
              <w:t>91.2%</w:t>
            </w:r>
          </w:p>
        </w:tc>
      </w:tr>
      <w:tr>
        <w:tc>
          <w:tcPr>
            <w:tcW w:type="dxa" w:w="504"/>
          </w:tcPr>
          <w:p>
            <w:pPr>
              <w:keepNext/>
              <w:spacing w:line="149" w:lineRule="exact"/>
            </w:pPr>
            <w:r/>
            <w:r>
              <w:rPr>
                <w:b w:val="0"/>
                <w:sz w:val="13"/>
              </w:rPr>
              <w:t>6</w:t>
            </w:r>
          </w:p>
        </w:tc>
        <w:tc>
          <w:tcPr>
            <w:tcW w:type="dxa" w:w="720"/>
          </w:tcPr>
          <w:p>
            <w:pPr>
              <w:keepNext/>
              <w:spacing w:line="149" w:lineRule="exact"/>
            </w:pPr>
            <w:r/>
            <w:r>
              <w:rPr>
                <w:b w:val="0"/>
                <w:sz w:val="13"/>
              </w:rPr>
              <w:t>PJM</w:t>
            </w:r>
          </w:p>
        </w:tc>
        <w:tc>
          <w:tcPr>
            <w:tcW w:type="dxa" w:w="1152"/>
          </w:tcPr>
          <w:p>
            <w:pPr>
              <w:keepNext/>
              <w:spacing w:line="149" w:lineRule="exact"/>
            </w:pPr>
            <w:r/>
            <w:r>
              <w:rPr>
                <w:b w:val="0"/>
                <w:sz w:val="13"/>
              </w:rPr>
              <w:t>分散MARL</w:t>
            </w:r>
          </w:p>
        </w:tc>
        <w:tc>
          <w:tcPr>
            <w:tcW w:type="dxa" w:w="720"/>
          </w:tcPr>
          <w:p>
            <w:pPr>
              <w:keepNext/>
              <w:spacing w:line="149" w:lineRule="exact"/>
            </w:pPr>
            <w:r/>
            <w:r>
              <w:rPr>
                <w:b w:val="0"/>
                <w:sz w:val="13"/>
              </w:rPr>
              <w:t>74.9%</w:t>
            </w:r>
          </w:p>
        </w:tc>
        <w:tc>
          <w:tcPr>
            <w:tcW w:type="dxa" w:w="864"/>
          </w:tcPr>
          <w:p>
            <w:pPr>
              <w:keepNext/>
              <w:spacing w:line="149" w:lineRule="exact"/>
            </w:pPr>
            <w:r/>
            <w:r>
              <w:rPr>
                <w:b w:val="0"/>
                <w:sz w:val="13"/>
              </w:rPr>
              <w:t>241</w:t>
            </w:r>
          </w:p>
        </w:tc>
        <w:tc>
          <w:tcPr>
            <w:tcW w:type="dxa" w:w="720"/>
          </w:tcPr>
          <w:p>
            <w:pPr>
              <w:keepNext/>
              <w:spacing w:line="149" w:lineRule="exact"/>
            </w:pPr>
            <w:r/>
            <w:r>
              <w:rPr>
                <w:b w:val="0"/>
                <w:sz w:val="13"/>
              </w:rPr>
              <w:t>89.5%</w:t>
            </w:r>
          </w:p>
        </w:tc>
      </w:tr>
      <w:tr>
        <w:tc>
          <w:tcPr>
            <w:tcW w:type="dxa" w:w="504"/>
          </w:tcPr>
          <w:p>
            <w:pPr>
              <w:keepNext/>
              <w:spacing w:line="149" w:lineRule="exact"/>
            </w:pPr>
            <w:r/>
            <w:r>
              <w:rPr>
                <w:b w:val="0"/>
                <w:sz w:val="13"/>
              </w:rPr>
              <w:t>20</w:t>
            </w:r>
          </w:p>
        </w:tc>
        <w:tc>
          <w:tcPr>
            <w:tcW w:type="dxa" w:w="720"/>
          </w:tcPr>
          <w:p>
            <w:pPr>
              <w:keepNext/>
              <w:spacing w:line="149" w:lineRule="exact"/>
            </w:pPr>
            <w:r/>
            <w:r>
              <w:rPr>
                <w:b w:val="0"/>
                <w:sz w:val="13"/>
              </w:rPr>
              <w:t>AEMO</w:t>
            </w:r>
          </w:p>
        </w:tc>
        <w:tc>
          <w:tcPr>
            <w:tcW w:type="dxa" w:w="1152"/>
          </w:tcPr>
          <w:p>
            <w:pPr>
              <w:keepNext/>
              <w:spacing w:line="149" w:lineRule="exact"/>
            </w:pPr>
            <w:r/>
            <w:r>
              <w:rPr>
                <w:b w:val="0"/>
                <w:sz w:val="13"/>
              </w:rPr>
              <w:t>分散MARL</w:t>
            </w:r>
          </w:p>
        </w:tc>
        <w:tc>
          <w:tcPr>
            <w:tcW w:type="dxa" w:w="720"/>
          </w:tcPr>
          <w:p>
            <w:pPr>
              <w:keepNext/>
              <w:spacing w:line="149" w:lineRule="exact"/>
            </w:pPr>
            <w:r/>
            <w:r>
              <w:rPr>
                <w:b w:val="0"/>
                <w:sz w:val="13"/>
              </w:rPr>
              <w:t>90.7%</w:t>
            </w:r>
          </w:p>
        </w:tc>
        <w:tc>
          <w:tcPr>
            <w:tcW w:type="dxa" w:w="864"/>
          </w:tcPr>
          <w:p>
            <w:pPr>
              <w:keepNext/>
              <w:spacing w:line="149" w:lineRule="exact"/>
            </w:pPr>
            <w:r/>
            <w:r>
              <w:rPr>
                <w:b w:val="0"/>
                <w:sz w:val="13"/>
              </w:rPr>
              <w:t>90</w:t>
            </w:r>
          </w:p>
        </w:tc>
        <w:tc>
          <w:tcPr>
            <w:tcW w:type="dxa" w:w="720"/>
          </w:tcPr>
          <w:p>
            <w:pPr>
              <w:keepNext/>
              <w:spacing w:line="149" w:lineRule="exact"/>
            </w:pPr>
            <w:r/>
            <w:r>
              <w:rPr>
                <w:b w:val="0"/>
                <w:sz w:val="13"/>
              </w:rPr>
              <w:t>95.9%</w:t>
            </w:r>
          </w:p>
        </w:tc>
      </w:tr>
      <w:tr>
        <w:tc>
          <w:tcPr>
            <w:tcW w:type="dxa" w:w="504"/>
          </w:tcPr>
          <w:p>
            <w:pPr>
              <w:keepNext/>
              <w:spacing w:line="149" w:lineRule="exact"/>
            </w:pPr>
            <w:r/>
            <w:r>
              <w:rPr>
                <w:b w:val="0"/>
                <w:sz w:val="13"/>
              </w:rPr>
              <w:t>20</w:t>
            </w:r>
          </w:p>
        </w:tc>
        <w:tc>
          <w:tcPr>
            <w:tcW w:type="dxa" w:w="720"/>
          </w:tcPr>
          <w:p>
            <w:pPr>
              <w:keepNext/>
              <w:spacing w:line="149" w:lineRule="exact"/>
            </w:pPr>
            <w:r/>
            <w:r>
              <w:rPr>
                <w:b w:val="0"/>
                <w:sz w:val="13"/>
              </w:rPr>
              <w:t>ERCOT</w:t>
            </w:r>
          </w:p>
        </w:tc>
        <w:tc>
          <w:tcPr>
            <w:tcW w:type="dxa" w:w="1152"/>
          </w:tcPr>
          <w:p>
            <w:pPr>
              <w:keepNext/>
              <w:spacing w:line="149" w:lineRule="exact"/>
            </w:pPr>
            <w:r/>
            <w:r>
              <w:rPr>
                <w:b w:val="0"/>
                <w:sz w:val="13"/>
              </w:rPr>
              <w:t>分散MARL</w:t>
            </w:r>
          </w:p>
        </w:tc>
        <w:tc>
          <w:tcPr>
            <w:tcW w:type="dxa" w:w="720"/>
          </w:tcPr>
          <w:p>
            <w:pPr>
              <w:keepNext/>
              <w:spacing w:line="149" w:lineRule="exact"/>
            </w:pPr>
            <w:r/>
            <w:r>
              <w:rPr>
                <w:b w:val="0"/>
                <w:sz w:val="13"/>
              </w:rPr>
              <w:t>88.6%</w:t>
            </w:r>
          </w:p>
        </w:tc>
        <w:tc>
          <w:tcPr>
            <w:tcW w:type="dxa" w:w="864"/>
          </w:tcPr>
          <w:p>
            <w:pPr>
              <w:keepNext/>
              <w:spacing w:line="149" w:lineRule="exact"/>
            </w:pPr>
            <w:r/>
            <w:r>
              <w:rPr>
                <w:b w:val="0"/>
                <w:sz w:val="13"/>
              </w:rPr>
              <w:t>109</w:t>
            </w:r>
          </w:p>
        </w:tc>
        <w:tc>
          <w:tcPr>
            <w:tcW w:type="dxa" w:w="720"/>
          </w:tcPr>
          <w:p>
            <w:pPr>
              <w:keepNext/>
              <w:spacing w:line="149" w:lineRule="exact"/>
            </w:pPr>
            <w:r/>
            <w:r>
              <w:rPr>
                <w:b w:val="0"/>
                <w:sz w:val="13"/>
              </w:rPr>
              <w:t>92.5%</w:t>
            </w:r>
          </w:p>
        </w:tc>
      </w:tr>
      <w:tr>
        <w:tc>
          <w:tcPr>
            <w:tcW w:type="dxa" w:w="504"/>
          </w:tcPr>
          <w:p>
            <w:pPr>
              <w:keepNext/>
              <w:spacing w:line="149" w:lineRule="exact"/>
            </w:pPr>
            <w:r/>
            <w:r>
              <w:rPr>
                <w:b w:val="0"/>
                <w:sz w:val="13"/>
              </w:rPr>
              <w:t>20</w:t>
            </w:r>
          </w:p>
        </w:tc>
        <w:tc>
          <w:tcPr>
            <w:tcW w:type="dxa" w:w="720"/>
          </w:tcPr>
          <w:p>
            <w:pPr>
              <w:keepNext/>
              <w:spacing w:line="149" w:lineRule="exact"/>
            </w:pPr>
            <w:r/>
            <w:r>
              <w:rPr>
                <w:b w:val="0"/>
                <w:sz w:val="13"/>
              </w:rPr>
              <w:t>PJM</w:t>
            </w:r>
          </w:p>
        </w:tc>
        <w:tc>
          <w:tcPr>
            <w:tcW w:type="dxa" w:w="1152"/>
          </w:tcPr>
          <w:p>
            <w:pPr>
              <w:keepNext/>
              <w:spacing w:line="149" w:lineRule="exact"/>
            </w:pPr>
            <w:r/>
            <w:r>
              <w:rPr>
                <w:b w:val="0"/>
                <w:sz w:val="13"/>
              </w:rPr>
              <w:t>ルールベース</w:t>
            </w:r>
          </w:p>
        </w:tc>
        <w:tc>
          <w:tcPr>
            <w:tcW w:type="dxa" w:w="720"/>
          </w:tcPr>
          <w:p>
            <w:pPr>
              <w:keepNext/>
              <w:spacing w:line="149" w:lineRule="exact"/>
            </w:pPr>
            <w:r/>
            <w:r>
              <w:rPr>
                <w:b w:val="0"/>
                <w:sz w:val="13"/>
              </w:rPr>
              <w:t>93.1%</w:t>
            </w:r>
          </w:p>
        </w:tc>
        <w:tc>
          <w:tcPr>
            <w:tcW w:type="dxa" w:w="864"/>
          </w:tcPr>
          <w:p>
            <w:pPr>
              <w:keepNext/>
              <w:spacing w:line="149" w:lineRule="exact"/>
            </w:pPr>
            <w:r/>
            <w:r>
              <w:rPr>
                <w:b w:val="0"/>
                <w:sz w:val="13"/>
              </w:rPr>
              <w:t>66</w:t>
            </w:r>
          </w:p>
        </w:tc>
        <w:tc>
          <w:tcPr>
            <w:tcW w:type="dxa" w:w="720"/>
          </w:tcPr>
          <w:p>
            <w:pPr>
              <w:keepNext/>
              <w:spacing w:line="149" w:lineRule="exact"/>
            </w:pPr>
            <w:r/>
            <w:r>
              <w:rPr>
                <w:b w:val="0"/>
                <w:sz w:val="13"/>
              </w:rPr>
              <w:t>98.3%</w:t>
            </w:r>
          </w:p>
        </w:tc>
      </w:tr>
      <w:tr>
        <w:tc>
          <w:tcPr>
            <w:tcW w:type="dxa" w:w="504"/>
          </w:tcPr>
          <w:p>
            <w:pPr>
              <w:keepNext w:val="0"/>
              <w:spacing w:line="149" w:lineRule="exact"/>
            </w:pPr>
            <w:r/>
            <w:r>
              <w:rPr>
                <w:b w:val="0"/>
                <w:sz w:val="13"/>
              </w:rPr>
              <w:t>20</w:t>
            </w:r>
          </w:p>
        </w:tc>
        <w:tc>
          <w:tcPr>
            <w:tcW w:type="dxa" w:w="720"/>
          </w:tcPr>
          <w:p>
            <w:pPr>
              <w:keepNext w:val="0"/>
              <w:spacing w:line="149" w:lineRule="exact"/>
            </w:pPr>
            <w:r/>
            <w:r>
              <w:rPr>
                <w:b w:val="0"/>
                <w:sz w:val="13"/>
              </w:rPr>
              <w:t>PJM</w:t>
            </w:r>
          </w:p>
        </w:tc>
        <w:tc>
          <w:tcPr>
            <w:tcW w:type="dxa" w:w="1152"/>
          </w:tcPr>
          <w:p>
            <w:pPr>
              <w:keepNext w:val="0"/>
              <w:spacing w:line="149" w:lineRule="exact"/>
            </w:pPr>
            <w:r/>
            <w:r>
              <w:rPr>
                <w:b w:val="0"/>
                <w:sz w:val="13"/>
              </w:rPr>
              <w:t>分散MARL</w:t>
            </w:r>
          </w:p>
        </w:tc>
        <w:tc>
          <w:tcPr>
            <w:tcW w:type="dxa" w:w="720"/>
          </w:tcPr>
          <w:p>
            <w:pPr>
              <w:keepNext w:val="0"/>
              <w:spacing w:line="149" w:lineRule="exact"/>
            </w:pPr>
            <w:r/>
            <w:r>
              <w:rPr>
                <w:b w:val="0"/>
                <w:sz w:val="13"/>
              </w:rPr>
              <w:t>学習中</w:t>
            </w:r>
          </w:p>
        </w:tc>
        <w:tc>
          <w:tcPr>
            <w:tcW w:type="dxa" w:w="864"/>
          </w:tcPr>
          <w:p>
            <w:pPr>
              <w:keepNext w:val="0"/>
              <w:spacing w:line="149" w:lineRule="exact"/>
            </w:pPr>
            <w:r/>
            <w:r>
              <w:rPr>
                <w:b w:val="0"/>
                <w:sz w:val="13"/>
              </w:rPr>
              <w:t>学習中</w:t>
            </w:r>
          </w:p>
        </w:tc>
        <w:tc>
          <w:tcPr>
            <w:tcW w:type="dxa" w:w="720"/>
          </w:tcPr>
          <w:p>
            <w:pPr>
              <w:keepNext w:val="0"/>
              <w:spacing w:line="149" w:lineRule="exact"/>
            </w:pPr>
            <w:r/>
            <w:r>
              <w:rPr>
                <w:b w:val="0"/>
                <w:sz w:val="13"/>
              </w:rPr>
              <w:t>学習中</w:t>
            </w:r>
          </w:p>
        </w:tc>
      </w:tr>
    </w:tbl>
    <w:p>
      <w:pPr>
        <w:spacing w:after="80" w:line="94" w:lineRule="exact"/>
      </w:pPr>
    </w:p>
    <w:p>
      <w:pPr>
        <w:spacing w:after="20" w:before="60"/>
      </w:pPr>
      <w:r>
        <w:rPr>
          <w:b w:val="0"/>
          <w:i/>
          <w:sz w:val="20"/>
        </w:rPr>
        <w:t>E. 足りない分の内訳</w:t>
      </w:r>
    </w:p>
    <w:p>
      <w:pPr>
        <w:spacing w:after="0"/>
        <w:ind w:firstLine="202"/>
      </w:pPr>
      <w:r>
        <w:rPr>
          <w:b w:val="0"/>
          <w:i w:val="0"/>
          <w:sz w:val="20"/>
        </w:rPr>
        <w:t>入札器に、評価する組の当日の指令やEVを前もって渡して入札し直した（図5）。指令を知っても入札量は0〜5ポイントしか増えず、PJMではほとんど増えなかった。EVを知ると、入札量は両方を知る場合の96〜100%まで増えた。入札の側で足りない分の主な原因は、EVが分からないことである。その損は、6 stationで27〜28ポイント、20 stationで12〜13ポイントで、station数が増えると小さくなった。</w:t>
      </w:r>
    </w:p>
    <w:p>
      <w:pPr>
        <w:keepNext/>
        <w:spacing w:before="80" w:line="240" w:lineRule="auto"/>
        <w:jc w:val="center"/>
      </w:pPr>
      <w:r>
        <w:drawing>
          <wp:inline xmlns:a="http://schemas.openxmlformats.org/drawingml/2006/main" xmlns:pic="http://schemas.openxmlformats.org/drawingml/2006/picture">
            <wp:extent cx="3154680" cy="1892808"/>
            <wp:docPr id="5" name="Picture 5"/>
            <wp:cNvGraphicFramePr>
              <a:graphicFrameLocks noChangeAspect="1"/>
            </wp:cNvGraphicFramePr>
            <a:graphic>
              <a:graphicData uri="http://schemas.openxmlformats.org/drawingml/2006/picture">
                <pic:pic>
                  <pic:nvPicPr>
                    <pic:cNvPr id="0" name="fig_information.png"/>
                    <pic:cNvPicPr/>
                  </pic:nvPicPr>
                  <pic:blipFill>
                    <a:blip r:embed="rId13"/>
                    <a:stretch>
                      <a:fillRect/>
                    </a:stretch>
                  </pic:blipFill>
                  <pic:spPr>
                    <a:xfrm>
                      <a:off x="0" y="0"/>
                      <a:ext cx="3154680" cy="1892808"/>
                    </a:xfrm>
                    <a:prstGeom prst="rect"/>
                  </pic:spPr>
                </pic:pic>
              </a:graphicData>
            </a:graphic>
          </wp:inline>
        </w:drawing>
      </w:r>
    </w:p>
    <w:p>
      <w:pPr>
        <w:spacing w:after="120" w:line="189" w:lineRule="exact"/>
        <w:jc w:val="both"/>
      </w:pPr>
      <w:r>
        <w:rPr>
          <w:b w:val="0"/>
          <w:i w:val="0"/>
          <w:sz w:val="16"/>
        </w:rPr>
        <w:t>Fig. 5.  入札時に知る情報と入札量（6・20 station、AEMO・ERCOT・PJM、40組）。指令とEVの両方を知る入札量に対する比。</w:t>
      </w:r>
    </w:p>
    <w:p>
      <w:pPr>
        <w:spacing w:after="0"/>
        <w:ind w:firstLine="202"/>
      </w:pPr>
      <w:r>
        <w:rPr>
          <w:b w:val="0"/>
          <w:i w:val="0"/>
          <w:sz w:val="20"/>
        </w:rPr>
        <w:t>入札を固定し、制御が使える情報を変えて並べた（図6）。その日の指令とEVを全部知るLPでは、40組のうち39〜40組で入札が成り立った。今つながっている全EVを中央で見るルールベースで1日すべて帯に入った組は、6 stationで20〜32組、20 stationで12〜33組だった。各stationが自局のEVだけを見る分散MARLでは0〜11組だった。LPとルールベースの差は、先の指令とEVを知らずに実時間で動かすことの損で、III-Aで述べた2段目の楽観の大きさにあたる。PJMでは、この差が6 stationで20組、20 stationで27組と大きかった。ルールベースと分散MARLの差は、分散で動かすことの損である。</w:t>
      </w:r>
    </w:p>
    <w:p>
      <w:pPr>
        <w:spacing w:after="20" w:line="189" w:lineRule="exact"/>
      </w:pPr>
      <w:r>
        <w:rPr>
          <w:b w:val="0"/>
          <w:i w:val="0"/>
          <w:color w:val="444444"/>
          <w:sz w:val="16"/>
        </w:rPr>
        <w:t>【予定】先のEVまで知るルールベース（実験B2）と、先の指令を知る制御（実験C1）は未測定。</w:t>
      </w:r>
    </w:p>
    <w:p>
      <w:pPr>
        <w:keepNext/>
        <w:spacing w:before="80" w:line="240" w:lineRule="auto"/>
        <w:jc w:val="center"/>
      </w:pPr>
      <w:r>
        <w:drawing>
          <wp:inline xmlns:a="http://schemas.openxmlformats.org/drawingml/2006/main" xmlns:pic="http://schemas.openxmlformats.org/drawingml/2006/picture">
            <wp:extent cx="3154680" cy="1622407"/>
            <wp:docPr id="6" name="Picture 6"/>
            <wp:cNvGraphicFramePr>
              <a:graphicFrameLocks noChangeAspect="1"/>
            </wp:cNvGraphicFramePr>
            <a:graphic>
              <a:graphicData uri="http://schemas.openxmlformats.org/drawingml/2006/picture">
                <pic:pic>
                  <pic:nvPicPr>
                    <pic:cNvPr id="0" name="fig_control.png"/>
                    <pic:cNvPicPr/>
                  </pic:nvPicPr>
                  <pic:blipFill>
                    <a:blip r:embed="rId14"/>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6.  制御の前提と、1日すべて帯の中に入った組の数（6 station、40組）。「未」は未測定。</w:t>
      </w:r>
    </w:p>
    <w:p>
      <w:pPr>
        <w:spacing w:after="0"/>
        <w:ind w:firstLine="202"/>
      </w:pPr>
      <w:r>
        <w:rPr>
          <w:b w:val="0"/>
          <w:i w:val="0"/>
          <w:sz w:val="20"/>
        </w:rPr>
        <w:t>分散で動かすことの損の一部は、局所の目的との取り合いにある。大域の批評家だけで学習した行動器（ABG）と本線を比べた（図7）。ABGは平均誤差が0.8〜0.9 kW小さく、5分ごとの追従率はAEMOで同じ、ERCOTで1.4ポイント高かった。その代わり、出発時のSoC達成率は49〜56%に下がった。本線の行動器に届く局所と大域の勾配の余弦は−0.2〜−0.7で、2つの目的の勾配が逆を向いていた。</w:t>
      </w:r>
    </w:p>
    <w:p>
      <w:pPr>
        <w:keepNext/>
        <w:spacing w:before="80" w:line="240" w:lineRule="auto"/>
        <w:jc w:val="center"/>
      </w:pPr>
      <w:r>
        <w:drawing>
          <wp:inline xmlns:a="http://schemas.openxmlformats.org/drawingml/2006/main" xmlns:pic="http://schemas.openxmlformats.org/drawingml/2006/picture">
            <wp:extent cx="3154680" cy="1442139"/>
            <wp:docPr id="7" name="Picture 7"/>
            <wp:cNvGraphicFramePr>
              <a:graphicFrameLocks noChangeAspect="1"/>
            </wp:cNvGraphicFramePr>
            <a:graphic>
              <a:graphicData uri="http://schemas.openxmlformats.org/drawingml/2006/picture">
                <pic:pic>
                  <pic:nvPicPr>
                    <pic:cNvPr id="0" name="fig_abg.png"/>
                    <pic:cNvPicPr/>
                  </pic:nvPicPr>
                  <pic:blipFill>
                    <a:blip r:embed="rId15"/>
                    <a:stretch>
                      <a:fillRect/>
                    </a:stretch>
                  </pic:blipFill>
                  <pic:spPr>
                    <a:xfrm>
                      <a:off x="0" y="0"/>
                      <a:ext cx="3154680" cy="1442139"/>
                    </a:xfrm>
                    <a:prstGeom prst="rect"/>
                  </pic:spPr>
                </pic:pic>
              </a:graphicData>
            </a:graphic>
          </wp:inline>
        </w:drawing>
      </w:r>
    </w:p>
    <w:p>
      <w:pPr>
        <w:spacing w:after="120" w:line="189" w:lineRule="exact"/>
        <w:jc w:val="both"/>
      </w:pPr>
      <w:r>
        <w:rPr>
          <w:b w:val="0"/>
          <w:i w:val="0"/>
          <w:sz w:val="16"/>
        </w:rPr>
        <w:t>Fig. 7.  大域の批評家だけで学習した行動器（ABG）と本線。濃い色がGLOBAL（5分ごとの追従率）、淡い色がLOCAL（出発時のSoC達成率）。</w:t>
      </w:r>
    </w:p>
    <w:p>
      <w:pPr>
        <w:spacing w:after="20" w:before="60"/>
      </w:pPr>
      <w:r>
        <w:rPr>
          <w:b w:val="0"/>
          <w:i/>
          <w:sz w:val="20"/>
        </w:rPr>
        <w:t>F. 蓄電池と処理時間</w:t>
      </w:r>
    </w:p>
    <w:p>
      <w:pPr>
        <w:spacing w:after="0"/>
        <w:ind w:firstLine="202"/>
      </w:pPr>
      <w:r>
        <w:rPr>
          <w:b w:val="0"/>
          <w:i w:val="0"/>
          <w:sz w:val="20"/>
        </w:rPr>
        <w:t>連系点の蓄電池の出力を振り、月あたりの不適合を数えた（図8）。6 stationでは、行動器と蓄電池で月3回未満にするには300〜800 kWが要り、強制充電を足すと1,000 kWが要った。20 stationでは、行動器と蓄電池でAEMOが1,500 kW、ERCOTが3,500 kWで月3回未満になった。強制充電を足すと、AEMOが2,000 kW、ERCOTが3,500 kWだった。20 stationの中央のルールベースでは、250〜2,000 kWで月3回未満になった。どの組も蓄電池のSoCを50%から始めており、6 stationの40組のうち28〜36組で、蓄電池は始めより少ない電力量で1日を終えた。何日も続けて運用するなら、充電し直す分を含めて大きさを見直す必要がある。</w:t>
      </w:r>
    </w:p>
    <w:p>
      <w:pPr>
        <w:keepNext/>
        <w:spacing w:before="80" w:line="240" w:lineRule="auto"/>
        <w:jc w:val="center"/>
      </w:pPr>
      <w:r>
        <w:drawing>
          <wp:inline xmlns:a="http://schemas.openxmlformats.org/drawingml/2006/main" xmlns:pic="http://schemas.openxmlformats.org/drawingml/2006/picture">
            <wp:extent cx="3154680" cy="1982942"/>
            <wp:docPr id="8" name="Picture 8"/>
            <wp:cNvGraphicFramePr>
              <a:graphicFrameLocks noChangeAspect="1"/>
            </wp:cNvGraphicFramePr>
            <a:graphic>
              <a:graphicData uri="http://schemas.openxmlformats.org/drawingml/2006/picture">
                <pic:pic>
                  <pic:nvPicPr>
                    <pic:cNvPr id="0" name="fig_bess.png"/>
                    <pic:cNvPicPr/>
                  </pic:nvPicPr>
                  <pic:blipFill>
                    <a:blip r:embed="rId16"/>
                    <a:stretch>
                      <a:fillRect/>
                    </a:stretch>
                  </pic:blipFill>
                  <pic:spPr>
                    <a:xfrm>
                      <a:off x="0" y="0"/>
                      <a:ext cx="3154680" cy="1982942"/>
                    </a:xfrm>
                    <a:prstGeom prst="rect"/>
                  </pic:spPr>
                </pic:pic>
              </a:graphicData>
            </a:graphic>
          </wp:inline>
        </w:drawing>
      </w:r>
    </w:p>
    <w:p>
      <w:pPr>
        <w:spacing w:after="120" w:line="189" w:lineRule="exact"/>
        <w:jc w:val="both"/>
      </w:pPr>
      <w:r>
        <w:rPr>
          <w:b w:val="0"/>
          <w:i w:val="0"/>
          <w:sz w:val="16"/>
        </w:rPr>
        <w:t>Fig. 8.  蓄電池の出力と、月20日に換算した不適合の回数。不適合0は0.3の位置に描いた。点線は月3回。</w:t>
      </w:r>
    </w:p>
    <w:p>
      <w:pPr>
        <w:spacing w:after="0"/>
        <w:ind w:firstLine="202"/>
      </w:pPr>
      <w:r>
        <w:rPr>
          <w:b w:val="0"/>
          <w:i w:val="0"/>
          <w:sz w:val="20"/>
        </w:rPr>
        <w:t>行動器、強制充電、蓄電池を含む制御の1ステップは、6 stationで95%点が13〜16 ms、最大80 msだった（表VI）。5分の指令の間隔に対して十分に短い。</w:t>
      </w:r>
    </w:p>
    <w:p>
      <w:pPr>
        <w:spacing w:after="20" w:line="189" w:lineRule="exact"/>
      </w:pPr>
      <w:r>
        <w:rPr>
          <w:b w:val="0"/>
          <w:i w:val="0"/>
          <w:color w:val="444444"/>
          <w:sz w:val="16"/>
        </w:rPr>
        <w:t>【予定】20 stationの処理時間と、入札の作成時間は未測定。</w:t>
      </w:r>
    </w:p>
    <w:p>
      <w:pPr>
        <w:keepNext/>
        <w:spacing w:after="0" w:line="189" w:lineRule="exact" w:before="80"/>
        <w:jc w:val="center"/>
      </w:pPr>
      <w:r>
        <w:rPr>
          <w:b w:val="0"/>
          <w:i w:val="0"/>
          <w:sz w:val="16"/>
        </w:rPr>
        <w:t>TABLE VI</w:t>
      </w:r>
    </w:p>
    <w:p>
      <w:pPr>
        <w:keepNext/>
        <w:spacing w:after="40" w:line="189" w:lineRule="exact"/>
        <w:jc w:val="center"/>
      </w:pPr>
      <w:r>
        <w:rPr>
          <w:b w:val="0"/>
          <w:i w:val="0"/>
          <w:sz w:val="16"/>
        </w:rPr>
        <w:t>処理時間</w:t>
      </w:r>
    </w:p>
    <w:tbl>
      <w:tblPr>
        <w:tblW w:type="dxa" w:w="4824"/>
        <w:jc w:val="center"/>
        <w:tblLayout w:type="fixed"/>
        <w:tblLook w:firstColumn="1" w:firstRow="1" w:lastColumn="0" w:lastRow="0" w:noHBand="0" w:noVBand="1" w:val="04A0"/>
        <w:tblLayout w:type="fixed"/>
        <w:tblBorders>
          <w:top w:val="single" w:sz="8" w:color="000000"/>
          <w:bottom w:val="single" w:sz="8" w:color="000000"/>
        </w:tblBorders>
      </w:tblPr>
      <w:tblGrid>
        <w:gridCol w:w="2304"/>
        <w:gridCol w:w="1080"/>
        <w:gridCol w:w="1440"/>
      </w:tblGrid>
      <w:tr>
        <w:tc>
          <w:tcPr>
            <w:tcW w:type="dxa" w:w="2304"/>
            <w:tcBorders>
              <w:bottom w:val="single" w:sz="4" w:color="000000"/>
            </w:tcBorders>
          </w:tcPr>
          <w:p>
            <w:pPr>
              <w:keepNext/>
              <w:spacing w:line="149" w:lineRule="exact"/>
            </w:pPr>
            <w:r/>
            <w:r>
              <w:rPr>
                <w:b/>
                <w:sz w:val="13"/>
              </w:rPr>
              <w:t>処理</w:t>
            </w:r>
          </w:p>
        </w:tc>
        <w:tc>
          <w:tcPr>
            <w:tcW w:type="dxa" w:w="1080"/>
            <w:tcBorders>
              <w:bottom w:val="single" w:sz="4" w:color="000000"/>
            </w:tcBorders>
          </w:tcPr>
          <w:p>
            <w:pPr>
              <w:keepNext/>
              <w:spacing w:line="149" w:lineRule="exact"/>
            </w:pPr>
            <w:r/>
            <w:r>
              <w:rPr>
                <w:b/>
                <w:sz w:val="13"/>
              </w:rPr>
              <w:t>規模</w:t>
            </w:r>
          </w:p>
        </w:tc>
        <w:tc>
          <w:tcPr>
            <w:tcW w:type="dxa" w:w="1440"/>
            <w:tcBorders>
              <w:bottom w:val="single" w:sz="4" w:color="000000"/>
            </w:tcBorders>
          </w:tcPr>
          <w:p>
            <w:pPr>
              <w:keepNext/>
              <w:spacing w:line="149" w:lineRule="exact"/>
            </w:pPr>
            <w:r/>
            <w:r>
              <w:rPr>
                <w:b/>
                <w:sz w:val="13"/>
              </w:rPr>
              <w:t>値</w:t>
            </w:r>
          </w:p>
        </w:tc>
      </w:tr>
      <w:tr>
        <w:tc>
          <w:tcPr>
            <w:tcW w:type="dxa" w:w="2304"/>
          </w:tcPr>
          <w:p>
            <w:pPr>
              <w:keepNext/>
              <w:spacing w:line="149" w:lineRule="exact"/>
            </w:pPr>
            <w:r/>
            <w:r>
              <w:rPr>
                <w:b w:val="0"/>
                <w:sz w:val="13"/>
              </w:rPr>
              <w:t>制御の1ステップ（行動器・強制充電・蓄電池）</w:t>
            </w:r>
          </w:p>
        </w:tc>
        <w:tc>
          <w:tcPr>
            <w:tcW w:type="dxa" w:w="1080"/>
          </w:tcPr>
          <w:p>
            <w:pPr>
              <w:keepNext/>
              <w:spacing w:line="149" w:lineRule="exact"/>
            </w:pPr>
            <w:r/>
            <w:r>
              <w:rPr>
                <w:b w:val="0"/>
                <w:sz w:val="13"/>
              </w:rPr>
              <w:t>6 station</w:t>
            </w:r>
          </w:p>
        </w:tc>
        <w:tc>
          <w:tcPr>
            <w:tcW w:type="dxa" w:w="1440"/>
          </w:tcPr>
          <w:p>
            <w:pPr>
              <w:keepNext/>
              <w:spacing w:line="149" w:lineRule="exact"/>
            </w:pPr>
            <w:r/>
            <w:r>
              <w:rPr>
                <w:b w:val="0"/>
                <w:sz w:val="13"/>
              </w:rPr>
              <w:t>95%点 13〜16 ms、最大 80 ms</w:t>
            </w:r>
          </w:p>
        </w:tc>
      </w:tr>
      <w:tr>
        <w:tc>
          <w:tcPr>
            <w:tcW w:type="dxa" w:w="2304"/>
          </w:tcPr>
          <w:p>
            <w:pPr>
              <w:keepNext/>
              <w:spacing w:line="149" w:lineRule="exact"/>
            </w:pPr>
            <w:r/>
            <w:r>
              <w:rPr>
                <w:b w:val="0"/>
                <w:sz w:val="13"/>
              </w:rPr>
              <w:t>制御の1ステップ</w:t>
            </w:r>
          </w:p>
        </w:tc>
        <w:tc>
          <w:tcPr>
            <w:tcW w:type="dxa" w:w="1080"/>
          </w:tcPr>
          <w:p>
            <w:pPr>
              <w:keepNext/>
              <w:spacing w:line="149" w:lineRule="exact"/>
            </w:pPr>
            <w:r/>
            <w:r>
              <w:rPr>
                <w:b w:val="0"/>
                <w:sz w:val="13"/>
              </w:rPr>
              <w:t>20 station</w:t>
            </w:r>
          </w:p>
        </w:tc>
        <w:tc>
          <w:tcPr>
            <w:tcW w:type="dxa" w:w="1440"/>
          </w:tcPr>
          <w:p>
            <w:pPr>
              <w:keepNext/>
              <w:spacing w:line="149" w:lineRule="exact"/>
            </w:pPr>
            <w:r/>
            <w:r>
              <w:rPr>
                <w:b w:val="0"/>
                <w:color w:val="999999"/>
                <w:sz w:val="13"/>
              </w:rPr>
              <w:t>未測定</w:t>
            </w:r>
          </w:p>
        </w:tc>
      </w:tr>
      <w:tr>
        <w:tc>
          <w:tcPr>
            <w:tcW w:type="dxa" w:w="2304"/>
          </w:tcPr>
          <w:p>
            <w:pPr>
              <w:keepNext w:val="0"/>
              <w:spacing w:line="149" w:lineRule="exact"/>
            </w:pPr>
            <w:r/>
            <w:r>
              <w:rPr>
                <w:b w:val="0"/>
                <w:sz w:val="13"/>
              </w:rPr>
              <w:t>入札の作成（1日）</w:t>
            </w:r>
          </w:p>
        </w:tc>
        <w:tc>
          <w:tcPr>
            <w:tcW w:type="dxa" w:w="1080"/>
          </w:tcPr>
          <w:p>
            <w:pPr>
              <w:keepNext w:val="0"/>
              <w:spacing w:line="149" w:lineRule="exact"/>
            </w:pPr>
            <w:r/>
            <w:r>
              <w:rPr>
                <w:b w:val="0"/>
                <w:sz w:val="13"/>
              </w:rPr>
              <w:t>6・20 station</w:t>
            </w:r>
          </w:p>
        </w:tc>
        <w:tc>
          <w:tcPr>
            <w:tcW w:type="dxa" w:w="1440"/>
          </w:tcPr>
          <w:p>
            <w:pPr>
              <w:keepNext w:val="0"/>
              <w:spacing w:line="149" w:lineRule="exact"/>
            </w:pPr>
            <w:r/>
            <w:r>
              <w:rPr>
                <w:b w:val="0"/>
                <w:color w:val="999999"/>
                <w:sz w:val="13"/>
              </w:rPr>
              <w:t>未測定</w:t>
            </w:r>
          </w:p>
        </w:tc>
      </w:tr>
    </w:tbl>
    <w:p>
      <w:pPr>
        <w:spacing w:after="80" w:line="94" w:lineRule="exact"/>
      </w:pPr>
    </w:p>
    <w:p>
      <w:pPr>
        <w:spacing w:after="20" w:before="60"/>
      </w:pPr>
      <w:r>
        <w:rPr>
          <w:b w:val="0"/>
          <w:i/>
          <w:sz w:val="20"/>
        </w:rPr>
        <w:t>G. PJMの規則での判定</w:t>
      </w:r>
    </w:p>
    <w:p>
      <w:pPr>
        <w:spacing w:after="0"/>
        <w:ind w:firstLine="202"/>
      </w:pPr>
      <w:r>
        <w:rPr>
          <w:b w:val="0"/>
          <w:i w:val="0"/>
          <w:sz w:val="20"/>
        </w:rPr>
        <w:t>同じ入札と制御の40組を、PJMの5分の点数で採点し直した（表VII）［16］。5分に1点で採点しているので、PJMの10秒ごとの採点より粗い。分散MARLの点数の平均は94.5%で、支払いが0になる25%未満の5分は0.03%だった。直近100時間の平均の最小は92.3%で、参加資格の基準（40%）を保った。日本の判定では74.9%のコマしか合格しない制御が、PJMの規則では支払いの減りもわずかで参加を続けられる。さらに、入札もPJMの規則（上げと下げは同じ量、5分の出力の上下限）で作り、その帯で行動器を学習し直した。この場合の分散MARLの点数は93.6%で、日本の規則の入札と行動器（94.5%）とほぼ同じだった。入札量は13%小さく、出発時のSoC達成率は63.3%で、日本の規則の72.4%より低かった。全情報のLPは40組すべてで成り立った。</w:t>
      </w:r>
    </w:p>
    <w:p>
      <w:pPr>
        <w:spacing w:after="20" w:line="189" w:lineRule="exact"/>
      </w:pPr>
      <w:r>
        <w:rPr>
          <w:b w:val="0"/>
          <w:i w:val="0"/>
          <w:color w:val="444444"/>
          <w:sz w:val="16"/>
        </w:rPr>
        <w:t>【予定】20 stationでPJMの規則で入札から学習まで行った結果（実験D4）は学習中。</w:t>
      </w:r>
    </w:p>
    <w:p>
      <w:pPr>
        <w:keepNext/>
        <w:spacing w:after="0" w:line="189" w:lineRule="exact" w:before="80"/>
        <w:jc w:val="center"/>
      </w:pPr>
      <w:r>
        <w:rPr>
          <w:b w:val="0"/>
          <w:i w:val="0"/>
          <w:sz w:val="16"/>
        </w:rPr>
        <w:t>TABLE VII</w:t>
      </w:r>
    </w:p>
    <w:p>
      <w:pPr>
        <w:keepNext/>
        <w:spacing w:after="40" w:line="189" w:lineRule="exact"/>
        <w:jc w:val="center"/>
      </w:pPr>
      <w:r>
        <w:rPr>
          <w:b w:val="0"/>
          <w:i w:val="0"/>
          <w:sz w:val="16"/>
        </w:rPr>
        <w:t>日本の判定とPJMの判定（6 station PJM、40組）</w:t>
      </w:r>
    </w:p>
    <w:tbl>
      <w:tblPr>
        <w:tblW w:type="dxa" w:w="4896"/>
        <w:jc w:val="center"/>
        <w:tblLayout w:type="fixed"/>
        <w:tblLook w:firstColumn="1" w:firstRow="1" w:lastColumn="0" w:lastRow="0" w:noHBand="0" w:noVBand="1" w:val="04A0"/>
        <w:tblLayout w:type="fixed"/>
        <w:tblBorders>
          <w:top w:val="single" w:sz="8" w:color="000000"/>
          <w:bottom w:val="single" w:sz="8" w:color="000000"/>
        </w:tblBorders>
      </w:tblPr>
      <w:tblGrid>
        <w:gridCol w:w="1512"/>
        <w:gridCol w:w="792"/>
        <w:gridCol w:w="936"/>
        <w:gridCol w:w="792"/>
        <w:gridCol w:w="864"/>
      </w:tblGrid>
      <w:tr>
        <w:tc>
          <w:tcPr>
            <w:tcW w:type="dxa" w:w="1512"/>
            <w:tcBorders>
              <w:bottom w:val="single" w:sz="4" w:color="000000"/>
            </w:tcBorders>
          </w:tcPr>
          <w:p>
            <w:pPr>
              <w:keepNext/>
              <w:spacing w:line="149" w:lineRule="exact"/>
            </w:pPr>
            <w:r/>
            <w:r>
              <w:rPr>
                <w:b/>
                <w:sz w:val="13"/>
              </w:rPr>
              <w:t>方法</w:t>
            </w:r>
          </w:p>
        </w:tc>
        <w:tc>
          <w:tcPr>
            <w:tcW w:type="dxa" w:w="792"/>
            <w:tcBorders>
              <w:bottom w:val="single" w:sz="4" w:color="000000"/>
            </w:tcBorders>
          </w:tcPr>
          <w:p>
            <w:pPr>
              <w:keepNext/>
              <w:spacing w:line="149" w:lineRule="exact"/>
            </w:pPr>
            <w:r/>
            <w:r>
              <w:rPr>
                <w:b/>
                <w:sz w:val="13"/>
              </w:rPr>
              <w:t>日本の30分コマ</w:t>
            </w:r>
          </w:p>
        </w:tc>
        <w:tc>
          <w:tcPr>
            <w:tcW w:type="dxa" w:w="936"/>
            <w:tcBorders>
              <w:bottom w:val="single" w:sz="4" w:color="000000"/>
            </w:tcBorders>
          </w:tcPr>
          <w:p>
            <w:pPr>
              <w:keepNext/>
              <w:spacing w:line="149" w:lineRule="exact"/>
            </w:pPr>
            <w:r/>
            <w:r>
              <w:rPr>
                <w:b/>
                <w:sz w:val="13"/>
              </w:rPr>
              <w:t>PJM 5分の点数</w:t>
            </w:r>
          </w:p>
        </w:tc>
        <w:tc>
          <w:tcPr>
            <w:tcW w:type="dxa" w:w="792"/>
            <w:tcBorders>
              <w:bottom w:val="single" w:sz="4" w:color="000000"/>
            </w:tcBorders>
          </w:tcPr>
          <w:p>
            <w:pPr>
              <w:keepNext/>
              <w:spacing w:line="149" w:lineRule="exact"/>
            </w:pPr>
            <w:r/>
            <w:r>
              <w:rPr>
                <w:b/>
                <w:sz w:val="13"/>
              </w:rPr>
              <w:t>支払い0の5分</w:t>
            </w:r>
          </w:p>
        </w:tc>
        <w:tc>
          <w:tcPr>
            <w:tcW w:type="dxa" w:w="864"/>
            <w:tcBorders>
              <w:bottom w:val="single" w:sz="4" w:color="000000"/>
            </w:tcBorders>
          </w:tcPr>
          <w:p>
            <w:pPr>
              <w:keepNext/>
              <w:spacing w:line="149" w:lineRule="exact"/>
            </w:pPr>
            <w:r/>
            <w:r>
              <w:rPr>
                <w:b/>
                <w:sz w:val="13"/>
              </w:rPr>
              <w:t>100時間平均の最小</w:t>
            </w:r>
          </w:p>
        </w:tc>
      </w:tr>
      <w:tr>
        <w:tc>
          <w:tcPr>
            <w:tcW w:type="dxa" w:w="1512"/>
          </w:tcPr>
          <w:p>
            <w:pPr>
              <w:keepNext/>
              <w:spacing w:line="149" w:lineRule="exact"/>
            </w:pPr>
            <w:r/>
            <w:r>
              <w:rPr>
                <w:b w:val="0"/>
                <w:sz w:val="13"/>
              </w:rPr>
              <w:t>分散MARL</w:t>
            </w:r>
          </w:p>
        </w:tc>
        <w:tc>
          <w:tcPr>
            <w:tcW w:type="dxa" w:w="792"/>
          </w:tcPr>
          <w:p>
            <w:pPr>
              <w:keepNext/>
              <w:spacing w:line="149" w:lineRule="exact"/>
            </w:pPr>
            <w:r/>
            <w:r>
              <w:rPr>
                <w:b w:val="0"/>
                <w:sz w:val="13"/>
              </w:rPr>
              <w:t>74.9%</w:t>
            </w:r>
          </w:p>
        </w:tc>
        <w:tc>
          <w:tcPr>
            <w:tcW w:type="dxa" w:w="936"/>
          </w:tcPr>
          <w:p>
            <w:pPr>
              <w:keepNext/>
              <w:spacing w:line="149" w:lineRule="exact"/>
            </w:pPr>
            <w:r/>
            <w:r>
              <w:rPr>
                <w:b w:val="0"/>
                <w:sz w:val="13"/>
              </w:rPr>
              <w:t>94.5%</w:t>
            </w:r>
          </w:p>
        </w:tc>
        <w:tc>
          <w:tcPr>
            <w:tcW w:type="dxa" w:w="792"/>
          </w:tcPr>
          <w:p>
            <w:pPr>
              <w:keepNext/>
              <w:spacing w:line="149" w:lineRule="exact"/>
            </w:pPr>
            <w:r/>
            <w:r>
              <w:rPr>
                <w:b w:val="0"/>
                <w:sz w:val="13"/>
              </w:rPr>
              <w:t>0.03%</w:t>
            </w:r>
          </w:p>
        </w:tc>
        <w:tc>
          <w:tcPr>
            <w:tcW w:type="dxa" w:w="864"/>
          </w:tcPr>
          <w:p>
            <w:pPr>
              <w:keepNext/>
              <w:spacing w:line="149" w:lineRule="exact"/>
            </w:pPr>
            <w:r/>
            <w:r>
              <w:rPr>
                <w:b w:val="0"/>
                <w:sz w:val="13"/>
              </w:rPr>
              <w:t>92.3%</w:t>
            </w:r>
          </w:p>
        </w:tc>
      </w:tr>
      <w:tr>
        <w:tc>
          <w:tcPr>
            <w:tcW w:type="dxa" w:w="1512"/>
          </w:tcPr>
          <w:p>
            <w:pPr>
              <w:keepNext/>
              <w:spacing w:line="149" w:lineRule="exact"/>
            </w:pPr>
            <w:r/>
            <w:r>
              <w:rPr>
                <w:b w:val="0"/>
                <w:sz w:val="13"/>
              </w:rPr>
              <w:t>行動器＋強制充電</w:t>
            </w:r>
          </w:p>
        </w:tc>
        <w:tc>
          <w:tcPr>
            <w:tcW w:type="dxa" w:w="792"/>
          </w:tcPr>
          <w:p>
            <w:pPr>
              <w:keepNext/>
              <w:spacing w:line="149" w:lineRule="exact"/>
            </w:pPr>
            <w:r/>
            <w:r>
              <w:rPr>
                <w:b w:val="0"/>
                <w:sz w:val="13"/>
              </w:rPr>
              <w:t>57.9%</w:t>
            </w:r>
          </w:p>
        </w:tc>
        <w:tc>
          <w:tcPr>
            <w:tcW w:type="dxa" w:w="936"/>
          </w:tcPr>
          <w:p>
            <w:pPr>
              <w:keepNext/>
              <w:spacing w:line="149" w:lineRule="exact"/>
            </w:pPr>
            <w:r/>
            <w:r>
              <w:rPr>
                <w:b w:val="0"/>
                <w:sz w:val="13"/>
              </w:rPr>
              <w:t>88.1%</w:t>
            </w:r>
          </w:p>
        </w:tc>
        <w:tc>
          <w:tcPr>
            <w:tcW w:type="dxa" w:w="792"/>
          </w:tcPr>
          <w:p>
            <w:pPr>
              <w:keepNext/>
              <w:spacing w:line="149" w:lineRule="exact"/>
            </w:pPr>
            <w:r/>
            <w:r>
              <w:rPr>
                <w:b w:val="0"/>
                <w:sz w:val="13"/>
              </w:rPr>
              <w:t>1.5%</w:t>
            </w:r>
          </w:p>
        </w:tc>
        <w:tc>
          <w:tcPr>
            <w:tcW w:type="dxa" w:w="864"/>
          </w:tcPr>
          <w:p>
            <w:pPr>
              <w:keepNext/>
              <w:spacing w:line="149" w:lineRule="exact"/>
            </w:pPr>
            <w:r/>
            <w:r>
              <w:rPr>
                <w:b w:val="0"/>
                <w:sz w:val="13"/>
              </w:rPr>
              <w:t>83.9%</w:t>
            </w:r>
          </w:p>
        </w:tc>
      </w:tr>
      <w:tr>
        <w:tc>
          <w:tcPr>
            <w:tcW w:type="dxa" w:w="1512"/>
          </w:tcPr>
          <w:p>
            <w:pPr>
              <w:keepNext/>
              <w:spacing w:line="149" w:lineRule="exact"/>
            </w:pPr>
            <w:r/>
            <w:r>
              <w:rPr>
                <w:b w:val="0"/>
                <w:sz w:val="13"/>
              </w:rPr>
              <w:t>中央のルールベース</w:t>
            </w:r>
          </w:p>
        </w:tc>
        <w:tc>
          <w:tcPr>
            <w:tcW w:type="dxa" w:w="792"/>
          </w:tcPr>
          <w:p>
            <w:pPr>
              <w:keepNext/>
              <w:spacing w:line="149" w:lineRule="exact"/>
            </w:pPr>
            <w:r/>
            <w:r>
              <w:rPr>
                <w:b w:val="0"/>
                <w:sz w:val="13"/>
              </w:rPr>
              <w:t>95.1%</w:t>
            </w:r>
          </w:p>
        </w:tc>
        <w:tc>
          <w:tcPr>
            <w:tcW w:type="dxa" w:w="936"/>
          </w:tcPr>
          <w:p>
            <w:pPr>
              <w:keepNext/>
              <w:spacing w:line="149" w:lineRule="exact"/>
            </w:pPr>
            <w:r/>
            <w:r>
              <w:rPr>
                <w:b w:val="0"/>
                <w:sz w:val="13"/>
              </w:rPr>
              <w:t>99.4%</w:t>
            </w:r>
          </w:p>
        </w:tc>
        <w:tc>
          <w:tcPr>
            <w:tcW w:type="dxa" w:w="792"/>
          </w:tcPr>
          <w:p>
            <w:pPr>
              <w:keepNext/>
              <w:spacing w:line="149" w:lineRule="exact"/>
            </w:pPr>
            <w:r/>
            <w:r>
              <w:rPr>
                <w:b w:val="0"/>
                <w:sz w:val="13"/>
              </w:rPr>
              <w:t>0.18%</w:t>
            </w:r>
          </w:p>
        </w:tc>
        <w:tc>
          <w:tcPr>
            <w:tcW w:type="dxa" w:w="864"/>
          </w:tcPr>
          <w:p>
            <w:pPr>
              <w:keepNext/>
              <w:spacing w:line="149" w:lineRule="exact"/>
            </w:pPr>
            <w:r/>
            <w:r>
              <w:rPr>
                <w:b w:val="0"/>
                <w:sz w:val="13"/>
              </w:rPr>
              <w:t>98.1%</w:t>
            </w:r>
          </w:p>
        </w:tc>
      </w:tr>
      <w:tr>
        <w:tc>
          <w:tcPr>
            <w:tcW w:type="dxa" w:w="1512"/>
          </w:tcPr>
          <w:p>
            <w:pPr>
              <w:keepNext/>
              <w:spacing w:line="149" w:lineRule="exact"/>
            </w:pPr>
            <w:r/>
            <w:r>
              <w:rPr>
                <w:b w:val="0"/>
                <w:sz w:val="13"/>
              </w:rPr>
              <w:t>PJMの規則で入札・学習（分散MARL）</w:t>
            </w:r>
          </w:p>
        </w:tc>
        <w:tc>
          <w:tcPr>
            <w:tcW w:type="dxa" w:w="792"/>
          </w:tcPr>
          <w:p>
            <w:pPr>
              <w:keepNext/>
              <w:spacing w:line="149" w:lineRule="exact"/>
            </w:pPr>
            <w:r/>
            <w:r>
              <w:rPr>
                <w:b w:val="0"/>
                <w:sz w:val="13"/>
              </w:rPr>
              <w:t>—</w:t>
            </w:r>
          </w:p>
        </w:tc>
        <w:tc>
          <w:tcPr>
            <w:tcW w:type="dxa" w:w="936"/>
          </w:tcPr>
          <w:p>
            <w:pPr>
              <w:keepNext/>
              <w:spacing w:line="149" w:lineRule="exact"/>
            </w:pPr>
            <w:r/>
            <w:r>
              <w:rPr>
                <w:b w:val="0"/>
                <w:sz w:val="13"/>
              </w:rPr>
              <w:t>93.6%</w:t>
            </w:r>
          </w:p>
        </w:tc>
        <w:tc>
          <w:tcPr>
            <w:tcW w:type="dxa" w:w="792"/>
          </w:tcPr>
          <w:p>
            <w:pPr>
              <w:keepNext/>
              <w:spacing w:line="149" w:lineRule="exact"/>
            </w:pPr>
            <w:r/>
            <w:r>
              <w:rPr>
                <w:b w:val="0"/>
                <w:sz w:val="13"/>
              </w:rPr>
              <w:t>0.10%</w:t>
            </w:r>
          </w:p>
        </w:tc>
        <w:tc>
          <w:tcPr>
            <w:tcW w:type="dxa" w:w="864"/>
          </w:tcPr>
          <w:p>
            <w:pPr>
              <w:keepNext/>
              <w:spacing w:line="149" w:lineRule="exact"/>
            </w:pPr>
            <w:r/>
            <w:r>
              <w:rPr>
                <w:b w:val="0"/>
                <w:sz w:val="13"/>
              </w:rPr>
              <w:t>91.3%</w:t>
            </w:r>
          </w:p>
        </w:tc>
      </w:tr>
      <w:tr>
        <w:tc>
          <w:tcPr>
            <w:tcW w:type="dxa" w:w="1512"/>
          </w:tcPr>
          <w:p>
            <w:pPr>
              <w:keepNext w:val="0"/>
              <w:spacing w:line="149" w:lineRule="exact"/>
            </w:pPr>
            <w:r/>
            <w:r>
              <w:rPr>
                <w:b w:val="0"/>
                <w:sz w:val="13"/>
              </w:rPr>
              <w:t>PJMの規則の入札（中央のルールベース）</w:t>
            </w:r>
          </w:p>
        </w:tc>
        <w:tc>
          <w:tcPr>
            <w:tcW w:type="dxa" w:w="792"/>
          </w:tcPr>
          <w:p>
            <w:pPr>
              <w:keepNext w:val="0"/>
              <w:spacing w:line="149" w:lineRule="exact"/>
            </w:pPr>
            <w:r/>
            <w:r>
              <w:rPr>
                <w:b w:val="0"/>
                <w:sz w:val="13"/>
              </w:rPr>
              <w:t>—</w:t>
            </w:r>
          </w:p>
        </w:tc>
        <w:tc>
          <w:tcPr>
            <w:tcW w:type="dxa" w:w="936"/>
          </w:tcPr>
          <w:p>
            <w:pPr>
              <w:keepNext w:val="0"/>
              <w:spacing w:line="149" w:lineRule="exact"/>
            </w:pPr>
            <w:r/>
            <w:r>
              <w:rPr>
                <w:b w:val="0"/>
                <w:sz w:val="13"/>
              </w:rPr>
              <w:t>96.4%</w:t>
            </w:r>
          </w:p>
        </w:tc>
        <w:tc>
          <w:tcPr>
            <w:tcW w:type="dxa" w:w="792"/>
          </w:tcPr>
          <w:p>
            <w:pPr>
              <w:keepNext w:val="0"/>
              <w:spacing w:line="149" w:lineRule="exact"/>
            </w:pPr>
            <w:r/>
            <w:r>
              <w:rPr>
                <w:b w:val="0"/>
                <w:sz w:val="13"/>
              </w:rPr>
              <w:t>1.95%</w:t>
            </w:r>
          </w:p>
        </w:tc>
        <w:tc>
          <w:tcPr>
            <w:tcW w:type="dxa" w:w="864"/>
          </w:tcPr>
          <w:p>
            <w:pPr>
              <w:keepNext w:val="0"/>
              <w:spacing w:line="149" w:lineRule="exact"/>
            </w:pPr>
            <w:r/>
            <w:r>
              <w:rPr>
                <w:b w:val="0"/>
                <w:sz w:val="13"/>
              </w:rPr>
              <w:t>93.0%</w:t>
            </w:r>
          </w:p>
        </w:tc>
      </w:tr>
    </w:tbl>
    <w:p>
      <w:pPr>
        <w:spacing w:after="80" w:line="94" w:lineRule="exact"/>
      </w:pPr>
    </w:p>
    <w:p>
      <w:pPr>
        <w:spacing w:after="40" w:before="120"/>
        <w:jc w:val="center"/>
      </w:pPr>
      <w:r>
        <w:rPr>
          <w:b w:val="0"/>
          <w:i w:val="0"/>
          <w:smallCaps/>
          <w:sz w:val="20"/>
        </w:rPr>
        <w:t>VI. おわりに</w:t>
      </w:r>
    </w:p>
    <w:p>
      <w:pPr>
        <w:spacing w:after="0"/>
        <w:ind w:firstLine="202"/>
      </w:pPr>
      <w:r>
        <w:rPr>
          <w:b w:val="0"/>
          <w:i w:val="0"/>
          <w:sz w:val="20"/>
        </w:rPr>
        <w:t>本研究は、分散MARLで動かすEV群が市場の判定に合格し続けられるかを、前日の入札から当日の制御までを一つのシステムとして測った。先行研究の方式は、平均の誤差が小さいにもかかわらずコマの判定で外した。</w:t>
      </w:r>
    </w:p>
    <w:p>
      <w:pPr>
        <w:spacing w:after="0"/>
        <w:ind w:firstLine="202"/>
      </w:pPr>
      <w:r>
        <w:rPr>
          <w:b w:val="0"/>
          <w:i w:val="0"/>
          <w:sz w:val="20"/>
        </w:rPr>
        <w:t>入札には、過去の指令とEVの実現を標本とするシナリオに基づく頑健な入札を用い、分散MARLにつなぐために最低入札量、出力の余裕、基準電力の段差の罰を加えた。標本の取り方では、指令の本数よりも、EVの実現の数と選び方と予測精度が未見通過率を動かした。日本の二次②の要求から、未見通過率を落とさずに入札量が最も大きい選び方を選んだ。</w:t>
      </w:r>
    </w:p>
    <w:p>
      <w:pPr>
        <w:spacing w:after="0"/>
        <w:ind w:firstLine="202"/>
      </w:pPr>
      <w:r>
        <w:rPr>
          <w:b w:val="0"/>
          <w:i w:val="0"/>
          <w:sz w:val="20"/>
        </w:rPr>
        <w:t>それでも分散MARLは、日本の二次②の月3回の不適合の基準に届かなかった。足りない分を分けると、入札の側ではEVが分からないこと、制御の側では先を知らずに実時間で動かすことと、分散で動かすことが残った。蓄電池で埋めるには、6 stationで300〜800 kW、20 stationで1,500〜3,500 kWが要った。中央で全EVを見るルールベースは高い合格率を出したので、プライバシーの制約がなく、全stationが中央の目標に従える状況なら、ルールベースを使うのがよい。</w:t>
      </w:r>
    </w:p>
    <w:p>
      <w:pPr>
        <w:spacing w:after="0"/>
        <w:ind w:firstLine="202"/>
      </w:pPr>
      <w:r>
        <w:rPr>
          <w:b w:val="0"/>
          <w:i w:val="0"/>
          <w:sz w:val="20"/>
        </w:rPr>
        <w:t>日本の二次②は、コマごとの合否と月3回の停止によって、PJMのような点数型の市場より厳しい。同じ制御がPJMの点数では参加を続けられたことから、分散MARLを使えるかどうかは、市場の判定の形で大きく変わる。</w:t>
      </w:r>
    </w:p>
    <w:p>
      <w:pPr>
        <w:spacing w:after="0"/>
        <w:ind w:firstLine="202"/>
      </w:pPr>
      <w:r>
        <w:rPr>
          <w:b w:val="0"/>
          <w:i w:val="0"/>
          <w:sz w:val="20"/>
        </w:rPr>
        <w:t>本研究には限界がある。シミュレーションは5分刻みで、評価は検証用の5日に限る。未見通過率の1,920組は指令を共有するので独立ではない。蓄電池の大きさは1日ごとの評価で決めており、何日も続けた運用での充電し直しは含めていない。</w:t>
      </w:r>
    </w:p>
    <w:p>
      <w:pPr>
        <w:spacing w:after="40"/>
        <w:jc w:val="center"/>
      </w:pPr>
      <w:r>
        <w:rPr>
          <w:b w:val="0"/>
          <w:i w:val="0"/>
          <w:sz w:val="20"/>
        </w:rPr>
        <w:t>参考文献</w:t>
      </w:r>
    </w:p>
    <w:p>
      <w:pPr>
        <w:spacing w:after="0" w:line="189" w:lineRule="exact"/>
        <w:ind w:left="360" w:hanging="360"/>
      </w:pPr>
      <w:r>
        <w:rPr>
          <w:b w:val="0"/>
          <w:i w:val="0"/>
          <w:sz w:val="16"/>
        </w:rPr>
        <w:t>[1] K. Hayashi, S. Xue, and D. Kodaira, "Hierarchical multi-agent reinforcement learning control for electric-vehicle virtual power plants in balancing markets," IEEE Access（巻・年は要確認）.</w:t>
      </w:r>
    </w:p>
    <w:p>
      <w:pPr>
        <w:spacing w:after="0" w:line="189" w:lineRule="exact"/>
        <w:ind w:left="360" w:hanging="360"/>
      </w:pPr>
      <w:r>
        <w:rPr>
          <w:b w:val="0"/>
          <w:i w:val="0"/>
          <w:sz w:val="16"/>
        </w:rPr>
        <w:t>[2] Wang ほか, EV1台ずつのMARLによる周波数調整, Electric Power Systems Research, 2024（書誌は要確認）.</w:t>
      </w:r>
    </w:p>
    <w:p>
      <w:pPr>
        <w:spacing w:after="0" w:line="189" w:lineRule="exact"/>
        <w:ind w:left="360" w:hanging="360"/>
      </w:pPr>
      <w:r>
        <w:rPr>
          <w:b w:val="0"/>
          <w:i w:val="0"/>
          <w:sz w:val="16"/>
        </w:rPr>
        <w:t>[3] Niazi ほか, 確率入札と平均場ゲームによる配分, Energy, 2026（書誌は要確認）.</w:t>
      </w:r>
    </w:p>
    <w:p>
      <w:pPr>
        <w:spacing w:after="0" w:line="189" w:lineRule="exact"/>
        <w:ind w:left="360" w:hanging="360"/>
      </w:pPr>
      <w:r>
        <w:rPr>
          <w:b w:val="0"/>
          <w:i w:val="0"/>
          <w:sz w:val="16"/>
        </w:rPr>
        <w:t>[4] Peng ほか, 入札と15分の計画とstationの双対分解による追従, Energies, 2026（書誌は要確認）.</w:t>
      </w:r>
    </w:p>
    <w:p>
      <w:pPr>
        <w:spacing w:after="0" w:line="189" w:lineRule="exact"/>
        <w:ind w:left="360" w:hanging="360"/>
      </w:pPr>
      <w:r>
        <w:rPr>
          <w:b w:val="0"/>
          <w:i w:val="0"/>
          <w:sz w:val="16"/>
        </w:rPr>
        <w:t>[5] Xu ほか, 充電の不安と柔軟性を考えたDRLによる入札と配分（書誌は要確認）.</w:t>
      </w:r>
    </w:p>
    <w:p>
      <w:pPr>
        <w:spacing w:after="0" w:line="189" w:lineRule="exact"/>
        <w:ind w:left="360" w:hanging="360"/>
      </w:pPr>
      <w:r>
        <w:rPr>
          <w:b w:val="0"/>
          <w:i w:val="0"/>
          <w:sz w:val="16"/>
        </w:rPr>
        <w:t>[6] Zhang ほか, 平均場ゲームによるVPPの周波数調整, IEEE Trans. Smart Grid, 2025（書誌は要確認）.</w:t>
      </w:r>
    </w:p>
    <w:p>
      <w:pPr>
        <w:spacing w:after="0" w:line="189" w:lineRule="exact"/>
        <w:ind w:left="360" w:hanging="360"/>
      </w:pPr>
      <w:r>
        <w:rPr>
          <w:b w:val="0"/>
          <w:i w:val="0"/>
          <w:sz w:val="16"/>
        </w:rPr>
        <w:t>[7] Yi ほか, 2段の深層強化学習によるVPPの配分, IEEE Trans. Smart Grid, 2022（書誌は要確認）.</w:t>
      </w:r>
    </w:p>
    <w:p>
      <w:pPr>
        <w:spacing w:after="0" w:line="189" w:lineRule="exact"/>
        <w:ind w:left="360" w:hanging="360"/>
      </w:pPr>
      <w:r>
        <w:rPr>
          <w:b w:val="0"/>
          <w:i w:val="0"/>
          <w:sz w:val="16"/>
        </w:rPr>
        <w:t>[8] Liu, Lyu ほか, "Integrating fast-response capability into virtual power plant operation for ancillary services," IEEE PowerTech, 2025（書誌は要確認）.</w:t>
      </w:r>
    </w:p>
    <w:p>
      <w:pPr>
        <w:spacing w:after="0" w:line="189" w:lineRule="exact"/>
        <w:ind w:left="360" w:hanging="360"/>
      </w:pPr>
      <w:r>
        <w:rPr>
          <w:b w:val="0"/>
          <w:i w:val="0"/>
          <w:sz w:val="16"/>
        </w:rPr>
        <w:t>[9] Lyu ほか, 入札とEVごとの配分の確率計画, IEEE Trans. Smart Grid, 2023（書誌は要確認）.</w:t>
      </w:r>
    </w:p>
    <w:p>
      <w:pPr>
        <w:spacing w:after="0" w:line="189" w:lineRule="exact"/>
        <w:ind w:left="360" w:hanging="360"/>
      </w:pPr>
      <w:r>
        <w:rPr>
          <w:b w:val="0"/>
          <w:i w:val="0"/>
          <w:sz w:val="16"/>
        </w:rPr>
        <w:t>[10] Wang ほか, 不履行のリスクを入れた入札, Applied Energy, 2025（書誌は要確認）.</w:t>
      </w:r>
    </w:p>
    <w:p>
      <w:pPr>
        <w:spacing w:after="0" w:line="189" w:lineRule="exact"/>
        <w:ind w:left="360" w:hanging="360"/>
      </w:pPr>
      <w:r>
        <w:rPr>
          <w:b w:val="0"/>
          <w:i w:val="0"/>
          <w:sz w:val="16"/>
        </w:rPr>
        <w:t>[11] G. A. Lunde, E. V. Damm, P. A. V. Gade, and J. Kazempour, "Aggregator of electric vehicles bidding in Nordic FCR-D markets: A chance-constrained program," IEEE Trans. Power Syst., vol. 40, no. 6, pp. 4648–4659, 2025.</w:t>
      </w:r>
    </w:p>
    <w:p>
      <w:pPr>
        <w:spacing w:after="0" w:line="189" w:lineRule="exact"/>
        <w:ind w:left="360" w:hanging="360"/>
      </w:pPr>
      <w:r>
        <w:rPr>
          <w:b w:val="0"/>
          <w:i w:val="0"/>
          <w:sz w:val="16"/>
        </w:rPr>
        <w:t>[12] Wang ほか, MARL-AFM, SSRN 6229136（プレプリント、書誌は要確認）.</w:t>
      </w:r>
    </w:p>
    <w:p>
      <w:pPr>
        <w:spacing w:after="0" w:line="189" w:lineRule="exact"/>
        <w:ind w:left="360" w:hanging="360"/>
      </w:pPr>
      <w:r>
        <w:rPr>
          <w:b w:val="0"/>
          <w:i w:val="0"/>
          <w:sz w:val="16"/>
        </w:rPr>
        <w:t>[13] ACN-Data（Caltech、JPL）の充電セッションデータ（書誌は要確認）.</w:t>
      </w:r>
    </w:p>
    <w:p>
      <w:pPr>
        <w:spacing w:after="0" w:line="189" w:lineRule="exact"/>
        <w:ind w:left="360" w:hanging="360"/>
      </w:pPr>
      <w:r>
        <w:rPr>
          <w:b w:val="0"/>
          <w:i w:val="0"/>
          <w:sz w:val="16"/>
        </w:rPr>
        <w:t>[14] ノルウェーの住宅の充電セッションデータ（書誌は要確認）.</w:t>
      </w:r>
    </w:p>
    <w:p>
      <w:pPr>
        <w:spacing w:after="0" w:line="189" w:lineRule="exact"/>
        <w:ind w:left="360" w:hanging="360"/>
      </w:pPr>
      <w:r>
        <w:rPr>
          <w:b w:val="0"/>
          <w:i w:val="0"/>
          <w:sz w:val="16"/>
        </w:rPr>
        <w:t>[15] 電力需給調整力取引所, 取引規程（本則 Ver.18、別冊）.</w:t>
      </w:r>
    </w:p>
    <w:p>
      <w:pPr>
        <w:spacing w:after="0" w:line="189" w:lineRule="exact"/>
        <w:ind w:left="360" w:hanging="360"/>
      </w:pPr>
      <w:r>
        <w:rPr>
          <w:b w:val="0"/>
          <w:i w:val="0"/>
          <w:sz w:val="16"/>
        </w:rPr>
        <w:t>[16] PJM, Manual 12 Rev.57, Manual 11 Rev.137, Manual 28 Rev.104, Operating Agreement Schedule 1 §3.2.</w:t>
      </w:r>
    </w:p>
    <w:p>
      <w:pPr>
        <w:spacing w:after="0" w:line="189" w:lineRule="exact"/>
        <w:ind w:left="360" w:hanging="360"/>
      </w:pPr>
      <w:r>
        <w:rPr>
          <w:b w:val="0"/>
          <w:i w:val="0"/>
          <w:sz w:val="16"/>
        </w:rPr>
        <w:t>[17] Muramatsu ほか, 集中のQPによる追従, CEP, 2025（書誌は要確認）.</w:t>
      </w:r>
    </w:p>
    <w:p>
      <w:pPr>
        <w:spacing w:after="0" w:line="189" w:lineRule="exact"/>
        <w:ind w:left="360" w:hanging="360"/>
      </w:pPr>
      <w:r>
        <w:rPr>
          <w:b w:val="0"/>
          <w:i w:val="0"/>
          <w:sz w:val="16"/>
        </w:rPr>
        <w:t>[18] Escudero-Garzás ほか, 水張りによるEVへの調整指令の配分, 2012（書誌は要確認）.</w:t>
      </w:r>
    </w:p>
    <w:p>
      <w:pPr>
        <w:spacing w:after="0" w:line="189" w:lineRule="exact"/>
        <w:ind w:left="360" w:hanging="360"/>
      </w:pPr>
      <w:r>
        <w:rPr>
          <w:b w:val="0"/>
          <w:i w:val="0"/>
          <w:sz w:val="16"/>
        </w:rPr>
        <w:t>[19] Lu and Wang, 充電器群ごとの上下限と比例配分, 2024（書誌は要確認）.</w:t>
      </w:r>
    </w:p>
    <w:p>
      <w:pPr>
        <w:spacing w:after="0" w:line="189" w:lineRule="exact"/>
        <w:ind w:left="360" w:hanging="360"/>
      </w:pPr>
      <w:r>
        <w:rPr>
          <w:b w:val="0"/>
          <w:i w:val="0"/>
          <w:sz w:val="16"/>
        </w:rPr>
        <w:t>[20] Hagstrom and Herre, EV集約の仮想蓄電池, arXiv:2511.19715.</w:t>
      </w:r>
    </w:p>
    <w:p>
      <w:pPr>
        <w:spacing w:after="0" w:line="189" w:lineRule="exact"/>
        <w:ind w:left="360" w:hanging="360"/>
      </w:pPr>
      <w:r>
        <w:rPr>
          <w:b w:val="0"/>
          <w:i w:val="0"/>
          <w:sz w:val="16"/>
        </w:rPr>
        <w:t>[21] R. Lowe ほか, "Multi-agent actor-critic for mixed cooperative-competitive environments," NeurIPS, 2017.</w:t>
      </w:r>
    </w:p>
    <w:p>
      <w:pPr>
        <w:spacing w:after="0" w:line="189" w:lineRule="exact"/>
        <w:ind w:left="360" w:hanging="360"/>
      </w:pPr>
      <w:r>
        <w:rPr>
          <w:b w:val="0"/>
          <w:i w:val="0"/>
          <w:sz w:val="16"/>
        </w:rPr>
        <w:t>[22] Energinet, Prequalification of ancillary services v2.1.3.</w:t>
      </w:r>
    </w:p>
    <w:p>
      <w:pPr>
        <w:spacing w:after="0" w:line="189" w:lineRule="exact"/>
        <w:ind w:left="360" w:hanging="360"/>
      </w:pPr>
      <w:r>
        <w:rPr>
          <w:b w:val="0"/>
          <w:i w:val="0"/>
          <w:sz w:val="16"/>
        </w:rPr>
        <w:t>[23] CAISO Tariff §8.2.3.1.1; ERCOT Nodal Protocols §8.1.1.4.1.</w:t>
      </w:r>
    </w:p>
    <w:p>
      <w:pPr>
        <w:spacing w:after="0" w:line="189" w:lineRule="exact"/>
        <w:ind w:left="360" w:hanging="360"/>
      </w:pPr>
      <w:r>
        <w:rPr>
          <w:b w:val="0"/>
          <w:i w:val="0"/>
          <w:sz w:val="16"/>
        </w:rPr>
        <w:t>[24] AEMO・ERCOTの計画と実績の公開データ、PJM RTO Regulation Signal Data（書誌は要確認）.</w:t>
      </w:r>
    </w:p>
    <w:p>
      <w:pPr>
        <w:spacing w:after="0" w:line="189" w:lineRule="exact"/>
        <w:ind w:left="360" w:hanging="360"/>
      </w:pPr>
      <w:r>
        <w:rPr>
          <w:b w:val="0"/>
          <w:i w:val="0"/>
          <w:sz w:val="16"/>
        </w:rPr>
        <w:t>[25] A. Ben-Tal, A. Goryashko, E. Guslitzer, and A. Nemirovski, "Adjustable robust solutions of uncertain linear programs," Math. Program., vol. 99, no. 2, pp. 351–376, 2004.</w:t>
      </w:r>
    </w:p>
    <w:p>
      <w:pPr>
        <w:spacing w:after="0" w:line="189" w:lineRule="exact"/>
        <w:ind w:left="360" w:hanging="360"/>
      </w:pPr>
      <w:r>
        <w:rPr>
          <w:b w:val="0"/>
          <w:i w:val="0"/>
          <w:sz w:val="16"/>
        </w:rPr>
        <w:t>[26] G. C. Calafiore and M. C. Campi, "The scenario approach to robust control design," IEEE Trans. Autom. Control, vol. 51, no. 5, pp. 742–753, 2006.</w:t>
      </w:r>
    </w:p>
    <w:p>
      <w:pPr>
        <w:spacing w:after="0" w:line="189" w:lineRule="exact"/>
        <w:ind w:left="360" w:hanging="360"/>
      </w:pPr>
      <w:r>
        <w:rPr>
          <w:b w:val="0"/>
          <w:i w:val="0"/>
          <w:sz w:val="16"/>
        </w:rPr>
        <w:t>[27] M. C. Campi and S. Garatti, "The exact feasibility of randomized solutions of uncertain convex programs," SIAM J. Optim., vol. 19, no. 3, pp. 1211–1230, 2008.</w:t>
      </w:r>
    </w:p>
    <w:p>
      <w:pPr>
        <w:spacing w:after="0" w:line="189" w:lineRule="exact"/>
        <w:ind w:left="360" w:hanging="360"/>
      </w:pPr>
      <w:r>
        <w:rPr>
          <w:b w:val="0"/>
          <w:i w:val="0"/>
          <w:sz w:val="16"/>
        </w:rPr>
        <w:t>[28] E. Vrettos, F. Oldewurtel, and G. Andersson, "Robust energy-constrained frequency reserves from aggregations of commercial buildings," IEEE Trans. Power Syst., vol. 31, no. 6, pp. 4272–4285, 2016.</w:t>
      </w:r>
    </w:p>
    <w:p>
      <w:pPr>
        <w:spacing w:after="0" w:line="189" w:lineRule="exact"/>
        <w:ind w:left="360" w:hanging="360"/>
      </w:pPr>
      <w:r>
        <w:rPr>
          <w:b w:val="0"/>
          <w:i w:val="0"/>
          <w:sz w:val="16"/>
        </w:rPr>
        <w:t>[29] E. Yao, V. W. S. Wong, and R. Schober, "Robust frequency regulation capacity scheduling algorithm for electric vehicles," IEEE Trans. Smart Grid, vol. 8, no. 2, pp. 984–997（年は要確認）.</w:t>
      </w:r>
    </w:p>
    <w:p>
      <w:pPr>
        <w:spacing w:after="0" w:line="189" w:lineRule="exact"/>
        <w:ind w:left="360" w:hanging="360"/>
      </w:pPr>
      <w:r>
        <w:rPr>
          <w:b w:val="0"/>
          <w:i w:val="0"/>
          <w:sz w:val="16"/>
        </w:rPr>
        <w:t>[30] I. Pavić, H. Pandžić, and T. Capuder, "Electric vehicle aggregator as an automatic reserves provider under uncertain balancing energy procurement," IEEE Trans. Power Syst., vol. 38, no. 1, pp. 396–410, 2023.</w:t>
      </w:r>
    </w:p>
    <w:p>
      <w:pPr>
        <w:spacing w:after="0" w:line="189" w:lineRule="exact"/>
        <w:ind w:left="360" w:hanging="360"/>
      </w:pPr>
      <w:r>
        <w:rPr>
          <w:b w:val="0"/>
          <w:i w:val="0"/>
          <w:sz w:val="16"/>
        </w:rPr>
        <w:t>[31] D. Lauinger, F. Vuille, and D. Kuhn, "Reliable frequency regulation through vehicle-to-grid: Encoding legislation with robust constraints," Manuf. Serv. Oper. Manag., vol. 26, no. 2, pp. 722–738, 2024.</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240"/>
    </w:pPr>
    <w:rPr>
      <w:rFonts w:ascii="Times New Roman" w:hAnsi="Times New Roman" w:eastAsia="Yu Minch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