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PHIL 1404-01 Ethics and Social Responsibility</w:t>
      </w: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John Parker</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Unit 6</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Genetically modified foods have become a necessary element for the development of agriculture, such as improving productivity and dealing with pests. However, many people have a bad impression of them due to their impact on health and the environment. In this issue, I will discuss how the labeling of GM foods affects related parties.</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What impact will labeling of GM food products have on producers and developers of GMO foods?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Considered four aspects of the impact of GM food labeling on producers and developers</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costs and resources: mandatory labeling of GM foods may bring additional costs to producers and developers, such as developing new package designs for labeling, implementing product traceability systems, and third-party certification processes. Product developers will also incur the cost of verifying that all products they use are GM foods.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Impact: GM food labeling can affect consumer perceptions and purchasing behavior. Positive impacts include the possibility that consumers will focus on the benefits of GM foods, such as improved nutritional value and long-term shelf life, and purchase GM foods. On the other hand, consumers who have a negative perception of GM foods may avoid purchasing them.</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Transparency and building trust: Proper labeling can increase transparency between consumers and producers/developers, which may create opportunities to gain consumer trust and build long-term relationships with customers.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Regulatory Compliance: Different countries and regions need to adapt to different GM food labeling regulations. This can have a huge impact on companies that do business globally.</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there are advantages and disadvantages to labeling GM foods, and it is necessary to discuss how to proceed in this direction for society as a whole. </w:t>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What impact will labeling of GM food products have on research of GMOs?</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considered the impact of GM food labeling on GM food research from three aspects.</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in Direction: If GM food labeling becomes mandatory, researchers may adjust the direction of their research to address consumer acceptance and societal concerns. There may be an increased focus on areas of consumer concern, such as safety, nutritional value, and environmental impact, rather than on the ability to grow without the use of pesticides or to increase yield per unit of production.</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Promote public understanding and acceptance: Accurate and transparent labeling may reduce consumer misperceptions of GM foods and provide an opportunity to increase understanding of scientific findings. This may lead to greater consumer acceptance of GM foods.</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Regulatory and compliance requirements: additional testing and data provision may be required to comply with regulations regarding the labeling of GM foods. This could complicate the research process and increase costs.</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GM food labeling may affect the direction of research in relation to consumers and the public. Companies conducting research and development may need to consider these implications in the future.</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What impact will labeling of GM food have on consumers?</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labeling of GM foods will have several impacts on consumers. Four aspects of these impacts are discussed below.</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access to information: allows consumers to make more informed food choices. This will enable consumers to make decisions that take into account their health, environmental, and ethical considerations.</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Expanding choice: Enable consumers to make clear choices between GM and non-GM foods. This will expand the ways in which consumers can choose foods according to their values and preferences.</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awareness and education: provides an opportunity to increase consumer awareness and understanding of GM technology. More people will learn about GM foods and consider the scientific, ethical, and environmental issues involved.</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Awareness: Enables consumers to make more conscious choices about the potential impact on their own health. This information can be especially important for people with allergies or specific health problems.</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 labeling of GM foods may influence changes in consumer behavior. Consumers will be able to make more informed choices and act more consciously as they have more options for GM foods.</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discussed the impact of GM food labeling from the perspective of producers, researchers, and consumers. From the consumer's standpoint, the disadvantages of labeling are considered to be very small in terms of allowing conscious choices, but for companies conducting development and research, the possibility of increased costs increases. Discussions on labeling regulations should be promoted after considering the impact on society as a whole.</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Word-Count: 674</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