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3C5E"/>
          <w:sz w:val="72"/>
          <w:szCs w:val="72"/>
        </w:rPr>
        <w:t xml:space="preserve">AAPL</w:t>
      </w:r>
    </w:p>
    <w:p>
      <w:pPr>
        <w:spacing w:before="0" w:after="60"/>
      </w:pPr>
      <w:r>
        <w:rPr>
          <w:rFonts w:ascii="Arial" w:cs="Arial" w:eastAsia="Arial" w:hAnsi="Arial"/>
          <w:b w:val="false"/>
          <w:bCs w:val="false"/>
          <w:color w:val="2E6DA4"/>
          <w:sz w:val="36"/>
          <w:szCs w:val="36"/>
        </w:rPr>
        <w:t xml:space="preserve">Apple Inc. — Equity Performance Report</w:t>
      </w:r>
    </w:p>
    <w:p>
      <w:pPr>
        <w:spacing w:before="0" w:after="40"/>
      </w:pPr>
      <w:r>
        <w:rPr>
          <w:rFonts w:ascii="Arial" w:cs="Arial" w:eastAsia="Arial" w:hAnsi="Arial"/>
          <w:color w:val="666666"/>
          <w:sz w:val="22"/>
          <w:szCs w:val="22"/>
        </w:rPr>
        <w:t xml:space="preserve">AlphaPulse Dashboard Analysis  |  1981–2024  |  Historical Deep Dive</w:t>
      </w:r>
    </w:p>
    <w:p>
      <w:pPr>
        <w:pBdr>
          <w:bottom w:val="single" w:color="1A3C5E" w:sz="8" w:space="8"/>
        </w:pBdr>
        <w:spacing w:before="0" w:after="480"/>
      </w:pPr>
      <w:r>
        <w:t xml:space="preserve"/>
      </w:r>
    </w:p>
    <w:p>
      <w:pPr>
        <w:pStyle w:val="Heading1"/>
        <w:pBdr>
          <w:bottom w:val="single" w:color="1A3C5E" w:sz="4" w:space="4"/>
        </w:pBdr>
        <w:spacing w:before="360" w:after="180"/>
      </w:pPr>
      <w:r>
        <w:rPr>
          <w:rFonts w:ascii="Arial" w:cs="Arial" w:eastAsia="Arial" w:hAnsi="Arial"/>
          <w:b/>
          <w:bCs/>
          <w:color w:val="1A3C5E"/>
          <w:sz w:val="32"/>
          <w:szCs w:val="32"/>
        </w:rPr>
        <w:t xml:space="preserve">Executive Summary</w:t>
      </w:r>
    </w:p>
    <w:p>
      <w:pPr>
        <w:spacing w:before="120" w:after="120"/>
        <w:jc w:val="left"/>
      </w:pPr>
      <w:r>
        <w:rPr>
          <w:rFonts w:ascii="Arial" w:cs="Arial" w:eastAsia="Arial" w:hAnsi="Arial"/>
          <w:b w:val="false"/>
          <w:bCs w:val="false"/>
          <w:i w:val="false"/>
          <w:iCs w:val="false"/>
          <w:color w:val="000000"/>
          <w:sz w:val="22"/>
          <w:szCs w:val="22"/>
        </w:rPr>
        <w:t xml:space="preserve">This report presents a comprehensive quantitative analysis of Apple Inc. (AAPL) common stock from January 1981 through November 2024, spanning over four decades of price history. The data was sourced from the AlphaPulse Dashboard and covers 11,054 daily trading sessions. Over this period, AAPL has delivered one of the most exceptional long-term return profiles of any publicly traded company, driven by successive product cycles, ecosystem expansion, and disciplined capital allocation.</w:t>
      </w:r>
    </w:p>
    <w:p>
      <w:pPr>
        <w:spacing w:before="120" w:after="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pPr>
              <w:spacing w:before="0" w:after="40"/>
              <w:jc w:val="center"/>
            </w:pPr>
            <w:r>
              <w:rPr>
                <w:rFonts w:ascii="Arial" w:cs="Arial" w:eastAsia="Arial" w:hAnsi="Arial"/>
                <w:b/>
                <w:bCs/>
                <w:color w:val="1A3C5E"/>
                <w:sz w:val="32"/>
                <w:szCs w:val="32"/>
              </w:rPr>
              <w:t xml:space="preserve">+215,641%</w:t>
            </w:r>
          </w:p>
          <w:p>
            <w:pPr>
              <w:spacing w:before="0" w:after="20"/>
              <w:jc w:val="center"/>
            </w:pPr>
            <w:r>
              <w:rPr>
                <w:rFonts w:ascii="Arial" w:cs="Arial" w:eastAsia="Arial" w:hAnsi="Arial"/>
                <w:b/>
                <w:bCs/>
                <w:color w:val="444444"/>
                <w:sz w:val="18"/>
                <w:szCs w:val="18"/>
              </w:rPr>
              <w:t xml:space="preserve">Total Return</w:t>
            </w:r>
          </w:p>
          <w:p>
            <w:pPr>
              <w:spacing w:before="0" w:after="0"/>
              <w:jc w:val="center"/>
            </w:pPr>
            <w:r>
              <w:rPr>
                <w:rFonts w:ascii="Arial" w:cs="Arial" w:eastAsia="Arial" w:hAnsi="Arial"/>
                <w:i/>
                <w:iCs/>
                <w:color w:val="888888"/>
                <w:sz w:val="16"/>
                <w:szCs w:val="16"/>
              </w:rPr>
              <w:t xml:space="preserve">Jan 1981 → Nov 2024</w:t>
            </w:r>
          </w:p>
        </w:tc>
        <w:tc>
          <w:tcPr>
            <w:tcW w:type="dxa" w:w="312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pPr>
              <w:spacing w:before="0" w:after="40"/>
              <w:jc w:val="center"/>
            </w:pPr>
            <w:r>
              <w:rPr>
                <w:rFonts w:ascii="Arial" w:cs="Arial" w:eastAsia="Arial" w:hAnsi="Arial"/>
                <w:b/>
                <w:bCs/>
                <w:color w:val="1A3C5E"/>
                <w:sz w:val="32"/>
                <w:szCs w:val="32"/>
              </w:rPr>
              <w:t xml:space="preserve">$237.33</w:t>
            </w:r>
          </w:p>
          <w:p>
            <w:pPr>
              <w:spacing w:before="0" w:after="20"/>
              <w:jc w:val="center"/>
            </w:pPr>
            <w:r>
              <w:rPr>
                <w:rFonts w:ascii="Arial" w:cs="Arial" w:eastAsia="Arial" w:hAnsi="Arial"/>
                <w:b/>
                <w:bCs/>
                <w:color w:val="444444"/>
                <w:sz w:val="18"/>
                <w:szCs w:val="18"/>
              </w:rPr>
              <w:t xml:space="preserve">Current Price</w:t>
            </w:r>
          </w:p>
          <w:p>
            <w:pPr>
              <w:spacing w:before="0" w:after="0"/>
              <w:jc w:val="center"/>
            </w:pPr>
            <w:r>
              <w:rPr>
                <w:rFonts w:ascii="Arial" w:cs="Arial" w:eastAsia="Arial" w:hAnsi="Arial"/>
                <w:i/>
                <w:iCs/>
                <w:color w:val="888888"/>
                <w:sz w:val="16"/>
                <w:szCs w:val="16"/>
              </w:rPr>
              <w:t xml:space="preserve">Nov 29, 2024 (all-time high)</w:t>
            </w:r>
          </w:p>
        </w:tc>
        <w:tc>
          <w:tcPr>
            <w:tcW w:type="dxa" w:w="312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pPr>
              <w:spacing w:before="0" w:after="40"/>
              <w:jc w:val="center"/>
            </w:pPr>
            <w:r>
              <w:rPr>
                <w:rFonts w:ascii="Arial" w:cs="Arial" w:eastAsia="Arial" w:hAnsi="Arial"/>
                <w:b/>
                <w:bCs/>
                <w:color w:val="1A3C5E"/>
                <w:sz w:val="32"/>
                <w:szCs w:val="32"/>
              </w:rPr>
              <w:t xml:space="preserve">+25.56%</w:t>
            </w:r>
          </w:p>
          <w:p>
            <w:pPr>
              <w:spacing w:before="0" w:after="20"/>
              <w:jc w:val="center"/>
            </w:pPr>
            <w:r>
              <w:rPr>
                <w:rFonts w:ascii="Arial" w:cs="Arial" w:eastAsia="Arial" w:hAnsi="Arial"/>
                <w:b/>
                <w:bCs/>
                <w:color w:val="444444"/>
                <w:sz w:val="18"/>
                <w:szCs w:val="18"/>
              </w:rPr>
              <w:t xml:space="preserve">1-Year Return</w:t>
            </w:r>
          </w:p>
          <w:p>
            <w:pPr>
              <w:spacing w:before="0" w:after="0"/>
              <w:jc w:val="center"/>
            </w:pPr>
            <w:r>
              <w:rPr>
                <w:rFonts w:ascii="Arial" w:cs="Arial" w:eastAsia="Arial" w:hAnsi="Arial"/>
                <w:i/>
                <w:iCs/>
                <w:color w:val="888888"/>
                <w:sz w:val="16"/>
                <w:szCs w:val="16"/>
              </w:rPr>
              <w:t xml:space="preserve">Trailing 12 months</w:t>
            </w:r>
          </w:p>
        </w:tc>
      </w:tr>
      <w:tr>
        <w:tc>
          <w:tcPr>
            <w:tcW w:type="dxa" w:w="312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pPr>
              <w:spacing w:before="0" w:after="40"/>
              <w:jc w:val="center"/>
            </w:pPr>
            <w:r>
              <w:rPr>
                <w:rFonts w:ascii="Arial" w:cs="Arial" w:eastAsia="Arial" w:hAnsi="Arial"/>
                <w:b/>
                <w:bCs/>
                <w:color w:val="1A3C5E"/>
                <w:sz w:val="32"/>
                <w:szCs w:val="32"/>
              </w:rPr>
              <w:t xml:space="preserve">0.621</w:t>
            </w:r>
          </w:p>
          <w:p>
            <w:pPr>
              <w:spacing w:before="0" w:after="20"/>
              <w:jc w:val="center"/>
            </w:pPr>
            <w:r>
              <w:rPr>
                <w:rFonts w:ascii="Arial" w:cs="Arial" w:eastAsia="Arial" w:hAnsi="Arial"/>
                <w:b/>
                <w:bCs/>
                <w:color w:val="444444"/>
                <w:sz w:val="18"/>
                <w:szCs w:val="18"/>
              </w:rPr>
              <w:t xml:space="preserve">Sharpe Ratio</w:t>
            </w:r>
          </w:p>
          <w:p>
            <w:pPr>
              <w:spacing w:before="0" w:after="0"/>
              <w:jc w:val="center"/>
            </w:pPr>
            <w:r>
              <w:rPr>
                <w:rFonts w:ascii="Arial" w:cs="Arial" w:eastAsia="Arial" w:hAnsi="Arial"/>
                <w:i/>
                <w:iCs/>
                <w:color w:val="888888"/>
                <w:sz w:val="16"/>
                <w:szCs w:val="16"/>
              </w:rPr>
              <w:t xml:space="preserve">Full period, annualized</w:t>
            </w:r>
          </w:p>
        </w:tc>
        <w:tc>
          <w:tcPr>
            <w:tcW w:type="dxa" w:w="312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pPr>
              <w:spacing w:before="0" w:after="40"/>
              <w:jc w:val="center"/>
            </w:pPr>
            <w:r>
              <w:rPr>
                <w:rFonts w:ascii="Arial" w:cs="Arial" w:eastAsia="Arial" w:hAnsi="Arial"/>
                <w:b/>
                <w:bCs/>
                <w:color w:val="1A3C5E"/>
                <w:sz w:val="32"/>
                <w:szCs w:val="32"/>
              </w:rPr>
              <w:t xml:space="preserve">-81.80%</w:t>
            </w:r>
          </w:p>
          <w:p>
            <w:pPr>
              <w:spacing w:before="0" w:after="20"/>
              <w:jc w:val="center"/>
            </w:pPr>
            <w:r>
              <w:rPr>
                <w:rFonts w:ascii="Arial" w:cs="Arial" w:eastAsia="Arial" w:hAnsi="Arial"/>
                <w:b/>
                <w:bCs/>
                <w:color w:val="444444"/>
                <w:sz w:val="18"/>
                <w:szCs w:val="18"/>
              </w:rPr>
              <w:t xml:space="preserve">Max Drawdown</w:t>
            </w:r>
          </w:p>
          <w:p>
            <w:pPr>
              <w:spacing w:before="0" w:after="0"/>
              <w:jc w:val="center"/>
            </w:pPr>
            <w:r>
              <w:rPr>
                <w:rFonts w:ascii="Arial" w:cs="Arial" w:eastAsia="Arial" w:hAnsi="Arial"/>
                <w:i/>
                <w:iCs/>
                <w:color w:val="888888"/>
                <w:sz w:val="16"/>
                <w:szCs w:val="16"/>
              </w:rPr>
              <w:t xml:space="preserve">Worst peak-to-trough</w:t>
            </w:r>
          </w:p>
        </w:tc>
        <w:tc>
          <w:tcPr>
            <w:tcW w:type="dxa" w:w="312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pPr>
              <w:spacing w:before="0" w:after="40"/>
              <w:jc w:val="center"/>
            </w:pPr>
            <w:r>
              <w:rPr>
                <w:rFonts w:ascii="Arial" w:cs="Arial" w:eastAsia="Arial" w:hAnsi="Arial"/>
                <w:b/>
                <w:bCs/>
                <w:color w:val="1A3C5E"/>
                <w:sz w:val="32"/>
                <w:szCs w:val="32"/>
              </w:rPr>
              <w:t xml:space="preserve">16.53%</w:t>
            </w:r>
          </w:p>
          <w:p>
            <w:pPr>
              <w:spacing w:before="0" w:after="20"/>
              <w:jc w:val="center"/>
            </w:pPr>
            <w:r>
              <w:rPr>
                <w:rFonts w:ascii="Arial" w:cs="Arial" w:eastAsia="Arial" w:hAnsi="Arial"/>
                <w:b/>
                <w:bCs/>
                <w:color w:val="444444"/>
                <w:sz w:val="18"/>
                <w:szCs w:val="18"/>
              </w:rPr>
              <w:t xml:space="preserve">Current Volatility</w:t>
            </w:r>
          </w:p>
          <w:p>
            <w:pPr>
              <w:spacing w:before="0" w:after="0"/>
              <w:jc w:val="center"/>
            </w:pPr>
            <w:r>
              <w:rPr>
                <w:rFonts w:ascii="Arial" w:cs="Arial" w:eastAsia="Arial" w:hAnsi="Arial"/>
                <w:i/>
                <w:iCs/>
                <w:color w:val="888888"/>
                <w:sz w:val="16"/>
                <w:szCs w:val="16"/>
              </w:rPr>
              <w:t xml:space="preserve">30-day rolling (annualized)</w:t>
            </w:r>
          </w:p>
        </w:tc>
      </w:tr>
    </w:tbl>
    <w:p>
      <w:pPr>
        <w:spacing w:before="120" w:after="120"/>
        <w:jc w:val="left"/>
      </w:pPr>
      <w:r>
        <w:rPr>
          <w:rFonts w:ascii="Arial" w:cs="Arial" w:eastAsia="Arial" w:hAnsi="Arial"/>
          <w:b w:val="false"/>
          <w:bCs w:val="false"/>
          <w:i w:val="false"/>
          <w:iCs w:val="false"/>
          <w:color w:val="000000"/>
          <w:sz w:val="22"/>
          <w:szCs w:val="22"/>
        </w:rPr>
        <w:t xml:space="preserve"/>
      </w:r>
    </w:p>
    <w:p>
      <w:pPr>
        <w:pStyle w:val="Heading1"/>
        <w:pBdr>
          <w:bottom w:val="single" w:color="1A3C5E" w:sz="4" w:space="4"/>
        </w:pBdr>
        <w:spacing w:before="360" w:after="180"/>
      </w:pPr>
      <w:r>
        <w:rPr>
          <w:rFonts w:ascii="Arial" w:cs="Arial" w:eastAsia="Arial" w:hAnsi="Arial"/>
          <w:b/>
          <w:bCs/>
          <w:color w:val="1A3C5E"/>
          <w:sz w:val="32"/>
          <w:szCs w:val="32"/>
        </w:rPr>
        <w:t xml:space="preserve">Performance Analysis</w:t>
      </w:r>
    </w:p>
    <w:p>
      <w:pPr>
        <w:pStyle w:val="Heading2"/>
        <w:spacing w:before="240" w:after="120"/>
      </w:pPr>
      <w:r>
        <w:rPr>
          <w:rFonts w:ascii="Arial" w:cs="Arial" w:eastAsia="Arial" w:hAnsi="Arial"/>
          <w:b/>
          <w:bCs/>
          <w:color w:val="2E6DA4"/>
          <w:sz w:val="26"/>
          <w:szCs w:val="26"/>
        </w:rPr>
        <w:t xml:space="preserve">Long-Term Price Appreciation</w:t>
      </w:r>
    </w:p>
    <w:p>
      <w:pPr>
        <w:spacing w:before="120" w:after="120"/>
        <w:jc w:val="left"/>
      </w:pPr>
      <w:r>
        <w:rPr>
          <w:rFonts w:ascii="Arial" w:cs="Arial" w:eastAsia="Arial" w:hAnsi="Arial"/>
          <w:b w:val="false"/>
          <w:bCs w:val="false"/>
          <w:i w:val="false"/>
          <w:iCs w:val="false"/>
          <w:color w:val="000000"/>
          <w:sz w:val="22"/>
          <w:szCs w:val="22"/>
        </w:rPr>
        <w:t xml:space="preserve">AAPL stock opened the analysis period at approximately $0.11 per share (split-adjusted) in January 1981 and closed at $237.33 at the end of November 2024 — representing an appreciation of over 215,000%. This extraordinary trajectory has made Apple the most valuable publicly traded company in history and a defining constituent of major equity indices.</w:t>
      </w:r>
    </w:p>
    <w:p>
      <w:pPr>
        <w:spacing w:before="120" w:after="120"/>
        <w:jc w:val="left"/>
      </w:pPr>
      <w:r>
        <w:rPr>
          <w:rFonts w:ascii="Arial" w:cs="Arial" w:eastAsia="Arial" w:hAnsi="Arial"/>
          <w:b w:val="false"/>
          <w:bCs w:val="false"/>
          <w:i w:val="false"/>
          <w:iCs w:val="false"/>
          <w:color w:val="000000"/>
          <w:sz w:val="22"/>
          <w:szCs w:val="22"/>
        </w:rPr>
        <w:t xml:space="preserve">The compound annual growth rate (CAGR) over the full 44-year period is approximately 17%, comfortably outpacing the S&amp;P 500's historical average of roughly 10% per year. This persistent alpha generation reflects Apple's ability to continually reinvent its product lineup and monetize a deeply loyal global customer base.</w:t>
      </w:r>
    </w:p>
    <w:p>
      <w:pPr>
        <w:pStyle w:val="Heading2"/>
        <w:spacing w:before="240" w:after="120"/>
      </w:pPr>
      <w:r>
        <w:rPr>
          <w:rFonts w:ascii="Arial" w:cs="Arial" w:eastAsia="Arial" w:hAnsi="Arial"/>
          <w:b/>
          <w:bCs/>
          <w:color w:val="2E6DA4"/>
          <w:sz w:val="26"/>
          <w:szCs w:val="26"/>
        </w:rPr>
        <w:t xml:space="preserve">Decade-by-Decade Breakdown</w:t>
      </w:r>
    </w:p>
    <w:p>
      <w:pPr>
        <w:spacing w:before="120" w:after="120"/>
        <w:jc w:val="left"/>
      </w:pPr>
      <w:r>
        <w:rPr>
          <w:rFonts w:ascii="Arial" w:cs="Arial" w:eastAsia="Arial" w:hAnsi="Arial"/>
          <w:b w:val="false"/>
          <w:bCs w:val="false"/>
          <w:i w:val="false"/>
          <w:iCs w:val="false"/>
          <w:color w:val="000000"/>
          <w:sz w:val="22"/>
          <w:szCs w:val="22"/>
        </w:rPr>
        <w:t xml:space="preserve">The following table summarizes annualized return and volatility by decade:</w:t>
      </w:r>
    </w:p>
    <w:p>
      <w:pPr>
        <w:spacing w:before="120" w:after="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Decade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 Return</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 Volatility</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Characterization</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1980s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Early growth, high risk</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1990s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Turnaround &amp; Jobs return</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2000s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iPod, iPhone era</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2010s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25.7%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Maturation, buybacks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2020s*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Pandemic surge, services</w:t>
            </w:r>
          </w:p>
        </w:tc>
      </w:tr>
    </w:tbl>
    <w:p>
      <w:pPr>
        <w:spacing w:before="120" w:after="120"/>
        <w:jc w:val="left"/>
      </w:pPr>
      <w:r>
        <w:rPr>
          <w:rFonts w:ascii="Arial" w:cs="Arial" w:eastAsia="Arial" w:hAnsi="Arial"/>
          <w:b w:val="false"/>
          <w:bCs w:val="false"/>
          <w:i/>
          <w:iCs/>
          <w:color w:val="888888"/>
          <w:sz w:val="18"/>
          <w:szCs w:val="18"/>
        </w:rPr>
        <w:t xml:space="preserve">*2020s data through November 2024 only.</w:t>
      </w:r>
    </w:p>
    <w:p>
      <w:pPr>
        <w:spacing w:before="120" w:after="120"/>
        <w:jc w:val="left"/>
      </w:pPr>
      <w:r>
        <w:rPr>
          <w:rFonts w:ascii="Arial" w:cs="Arial" w:eastAsia="Arial" w:hAnsi="Arial"/>
          <w:b w:val="false"/>
          <w:bCs w:val="false"/>
          <w:i w:val="false"/>
          <w:iCs w:val="false"/>
          <w:color w:val="000000"/>
          <w:sz w:val="22"/>
          <w:szCs w:val="22"/>
        </w:rPr>
        <w:t xml:space="preserve"/>
      </w:r>
    </w:p>
    <w:p>
      <w:pPr>
        <w:spacing w:before="120" w:after="120"/>
        <w:jc w:val="left"/>
      </w:pPr>
      <w:r>
        <w:rPr>
          <w:rFonts w:ascii="Arial" w:cs="Arial" w:eastAsia="Arial" w:hAnsi="Arial"/>
          <w:b w:val="false"/>
          <w:bCs w:val="false"/>
          <w:i w:val="false"/>
          <w:iCs w:val="false"/>
          <w:color w:val="000000"/>
          <w:sz w:val="22"/>
          <w:szCs w:val="22"/>
        </w:rPr>
        <w:t xml:space="preserve">Notably, the 2000s produced the highest annualized returns (34.8%) but also the highest realized volatility (50.9%), coinciding with the transformative iPhone launch in 2007 and subsequent meteoric rise. The 2010s saw volatility compress dramatically to 25.7%, reflecting Apple's transition from a growth-at-any-cost story to a profitable, cash-generative business with systematic share buybacks.</w:t>
      </w:r>
    </w:p>
    <w:p>
      <w:pPr>
        <w:pStyle w:val="Heading2"/>
        <w:spacing w:before="240" w:after="120"/>
      </w:pPr>
      <w:r>
        <w:rPr>
          <w:rFonts w:ascii="Arial" w:cs="Arial" w:eastAsia="Arial" w:hAnsi="Arial"/>
          <w:b/>
          <w:bCs/>
          <w:color w:val="2E6DA4"/>
          <w:sz w:val="26"/>
          <w:szCs w:val="26"/>
        </w:rPr>
        <w:t xml:space="preserve">Recent Performance</w:t>
      </w:r>
    </w:p>
    <w:p>
      <w:pPr>
        <w:spacing w:before="120" w:after="120"/>
        <w:jc w:val="left"/>
      </w:pPr>
      <w:r>
        <w:rPr>
          <w:rFonts w:ascii="Arial" w:cs="Arial" w:eastAsia="Arial" w:hAnsi="Arial"/>
          <w:b w:val="false"/>
          <w:bCs w:val="false"/>
          <w:i w:val="false"/>
          <w:iCs w:val="false"/>
          <w:color w:val="000000"/>
          <w:sz w:val="22"/>
          <w:szCs w:val="22"/>
        </w:rPr>
        <w:t xml:space="preserve">Over the trailing twelve months ending November 2024, AAPL returned +25.56%, reaching an all-time high of $237.33. This recent strength was driven by continued Services segment growth, robust iPhone 15 demand, and investor enthusiasm surrounding Apple's generative AI integration roadmap (Apple Intelligence). Current 30-day rolling volatility stands at 16.53% — well below the full-period average of 39.86% — indicating a relatively calm near-term trading environment.</w:t>
      </w:r>
    </w:p>
    <w:p>
      <w:pPr>
        <w:pStyle w:val="Heading1"/>
        <w:pBdr>
          <w:bottom w:val="single" w:color="1A3C5E" w:sz="4" w:space="4"/>
        </w:pBdr>
        <w:spacing w:before="360" w:after="180"/>
      </w:pPr>
      <w:r>
        <w:rPr>
          <w:rFonts w:ascii="Arial" w:cs="Arial" w:eastAsia="Arial" w:hAnsi="Arial"/>
          <w:b/>
          <w:bCs/>
          <w:color w:val="1A3C5E"/>
          <w:sz w:val="32"/>
          <w:szCs w:val="32"/>
        </w:rPr>
        <w:t xml:space="preserve">Risk &amp; Volatility Profile</w:t>
      </w:r>
    </w:p>
    <w:p>
      <w:pPr>
        <w:pStyle w:val="Heading2"/>
        <w:spacing w:before="240" w:after="120"/>
      </w:pPr>
      <w:r>
        <w:rPr>
          <w:rFonts w:ascii="Arial" w:cs="Arial" w:eastAsia="Arial" w:hAnsi="Arial"/>
          <w:b/>
          <w:bCs/>
          <w:color w:val="2E6DA4"/>
          <w:sz w:val="26"/>
          <w:szCs w:val="26"/>
        </w:rPr>
        <w:t xml:space="preserve">Volatility Characteristics</w:t>
      </w:r>
    </w:p>
    <w:p>
      <w:pPr>
        <w:spacing w:before="120" w:after="120"/>
        <w:jc w:val="left"/>
      </w:pPr>
      <w:r>
        <w:rPr>
          <w:rFonts w:ascii="Arial" w:cs="Arial" w:eastAsia="Arial" w:hAnsi="Arial"/>
          <w:b w:val="false"/>
          <w:bCs w:val="false"/>
          <w:i w:val="false"/>
          <w:iCs w:val="false"/>
          <w:color w:val="000000"/>
          <w:sz w:val="22"/>
          <w:szCs w:val="22"/>
        </w:rPr>
        <w:t xml:space="preserve">Across the full dataset, AAPL exhibited an average 30-day rolling annualized volatility of 39.86%. Volatility peaked in the early years (above 60% in 1981) and during periods of corporate distress in the mid-1990s before Steve Jobs returned. The 2010s marked a structural volatility reduction as Apple became a cash-rich, dividend-paying large-cap — a very different risk profile from its earlier years.</w:t>
      </w:r>
    </w:p>
    <w:p>
      <w:pPr>
        <w:pStyle w:val="Heading2"/>
        <w:spacing w:before="240" w:after="120"/>
      </w:pPr>
      <w:r>
        <w:rPr>
          <w:rFonts w:ascii="Arial" w:cs="Arial" w:eastAsia="Arial" w:hAnsi="Arial"/>
          <w:b/>
          <w:bCs/>
          <w:color w:val="2E6DA4"/>
          <w:sz w:val="26"/>
          <w:szCs w:val="26"/>
        </w:rPr>
        <w:t xml:space="preserve">Drawdown Analysis</w:t>
      </w:r>
    </w:p>
    <w:p>
      <w:pPr>
        <w:spacing w:before="120" w:after="120"/>
        <w:jc w:val="left"/>
      </w:pPr>
      <w:r>
        <w:rPr>
          <w:rFonts w:ascii="Arial" w:cs="Arial" w:eastAsia="Arial" w:hAnsi="Arial"/>
          <w:b w:val="false"/>
          <w:bCs w:val="false"/>
          <w:i w:val="false"/>
          <w:iCs w:val="false"/>
          <w:color w:val="000000"/>
          <w:sz w:val="22"/>
          <w:szCs w:val="22"/>
        </w:rPr>
        <w:t xml:space="preserve">The maximum peak-to-trough drawdown over the full period reached -81.80%, likely occurring during the company's near-bankruptcy in the mid-1990s and again following the dot-com bust. This underscores the importance of long holding periods for capturing AAPL's compounding returns: investors who exited at drawdown lows would have missed the subsequent recoveries that drove the majority of total wealth creation.</w:t>
      </w:r>
    </w:p>
    <w:p>
      <w:pPr>
        <w:pStyle w:val="Heading2"/>
        <w:spacing w:before="240" w:after="120"/>
      </w:pPr>
      <w:r>
        <w:rPr>
          <w:rFonts w:ascii="Arial" w:cs="Arial" w:eastAsia="Arial" w:hAnsi="Arial"/>
          <w:b/>
          <w:bCs/>
          <w:color w:val="2E6DA4"/>
          <w:sz w:val="26"/>
          <w:szCs w:val="26"/>
        </w:rPr>
        <w:t xml:space="preserve">Distribution of Daily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Average Daily Return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+0.109%</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Maximum Single-Day Gain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+33.23%</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Maximum Single-Day Loss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-51.87%</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Positive Trading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5,513 of 11,054 (49.9%)</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Negative Trading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5,170 of 11,054 (46.8%)</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Annualized Sharpe Ratio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0.621</w:t>
            </w:r>
          </w:p>
        </w:tc>
      </w:tr>
    </w:tbl>
    <w:p>
      <w:pPr>
        <w:spacing w:before="120" w:after="120"/>
        <w:jc w:val="left"/>
      </w:pPr>
      <w:r>
        <w:rPr>
          <w:rFonts w:ascii="Arial" w:cs="Arial" w:eastAsia="Arial" w:hAnsi="Arial"/>
          <w:b w:val="false"/>
          <w:bCs w:val="false"/>
          <w:i w:val="false"/>
          <w:iCs w:val="false"/>
          <w:color w:val="000000"/>
          <w:sz w:val="22"/>
          <w:szCs w:val="22"/>
        </w:rPr>
        <w:t xml:space="preserve"/>
      </w:r>
    </w:p>
    <w:p>
      <w:pPr>
        <w:spacing w:before="120" w:after="120"/>
        <w:jc w:val="left"/>
      </w:pPr>
      <w:r>
        <w:rPr>
          <w:rFonts w:ascii="Arial" w:cs="Arial" w:eastAsia="Arial" w:hAnsi="Arial"/>
          <w:b w:val="false"/>
          <w:bCs w:val="false"/>
          <w:i w:val="false"/>
          <w:iCs w:val="false"/>
          <w:color w:val="000000"/>
          <w:sz w:val="22"/>
          <w:szCs w:val="22"/>
        </w:rPr>
        <w:t xml:space="preserve">Despite roughly equal positive and negative trading days, the asymmetry in return magnitudes (larger up-days vs. down-days over the long run) and sustained positive drift have driven exceptional total returns. The Sharpe ratio of 0.621 — while modest for a single-stock position — reflects the considerable volatility inherent in owning a concentrated equity stake over such a long horizon.</w:t>
      </w:r>
    </w:p>
    <w:p>
      <w:pPr>
        <w:pStyle w:val="Heading1"/>
        <w:pBdr>
          <w:bottom w:val="single" w:color="1A3C5E" w:sz="4" w:space="4"/>
        </w:pBdr>
        <w:spacing w:before="360" w:after="180"/>
      </w:pPr>
      <w:r>
        <w:rPr>
          <w:rFonts w:ascii="Arial" w:cs="Arial" w:eastAsia="Arial" w:hAnsi="Arial"/>
          <w:b/>
          <w:bCs/>
          <w:color w:val="1A3C5E"/>
          <w:sz w:val="32"/>
          <w:szCs w:val="32"/>
        </w:rPr>
        <w:t xml:space="preserve">Key Corporate Milestones &amp; Market Catalysts</w:t>
      </w:r>
    </w:p>
    <w:p>
      <w:pPr>
        <w:spacing w:before="120" w:after="120"/>
        <w:jc w:val="left"/>
      </w:pPr>
      <w:r>
        <w:rPr>
          <w:rFonts w:ascii="Arial" w:cs="Arial" w:eastAsia="Arial" w:hAnsi="Arial"/>
          <w:b w:val="false"/>
          <w:bCs w:val="false"/>
          <w:i w:val="false"/>
          <w:iCs w:val="false"/>
          <w:color w:val="000000"/>
          <w:sz w:val="22"/>
          <w:szCs w:val="22"/>
        </w:rPr>
        <w:t xml:space="preserve">The following milestones have had material impact on AAPL's price trajectory across the analysis window:</w:t>
      </w:r>
    </w:p>
    <w:p>
      <w:pPr>
        <w:spacing w:before="120" w:after="120"/>
        <w:jc w:val="left"/>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60" w:after="60"/>
      </w:pPr>
      <w:r>
        <w:rPr>
          <w:rFonts w:ascii="Arial" w:cs="Arial" w:eastAsia="Arial" w:hAnsi="Arial"/>
          <w:sz w:val="21"/>
          <w:szCs w:val="21"/>
        </w:rPr>
        <w:t xml:space="preserve">1984 — Launch of the original Macintosh, establishing Apple's identity in personal computing</w:t>
      </w:r>
    </w:p>
    <w:p>
      <w:pPr>
        <w:pStyle w:val="ListParagraph"/>
        <w:numPr>
          <w:ilvl w:val="0"/>
          <w:numId w:val="2"/>
        </w:numPr>
        <w:spacing w:before="60" w:after="60"/>
      </w:pPr>
      <w:r>
        <w:rPr>
          <w:rFonts w:ascii="Arial" w:cs="Arial" w:eastAsia="Arial" w:hAnsi="Arial"/>
          <w:sz w:val="21"/>
          <w:szCs w:val="21"/>
        </w:rPr>
        <w:t xml:space="preserve">1997 — Steve Jobs returns; company averts bankruptcy with Microsoft investment</w:t>
      </w:r>
    </w:p>
    <w:p>
      <w:pPr>
        <w:pStyle w:val="ListParagraph"/>
        <w:numPr>
          <w:ilvl w:val="0"/>
          <w:numId w:val="2"/>
        </w:numPr>
        <w:spacing w:before="60" w:after="60"/>
      </w:pPr>
      <w:r>
        <w:rPr>
          <w:rFonts w:ascii="Arial" w:cs="Arial" w:eastAsia="Arial" w:hAnsi="Arial"/>
          <w:sz w:val="21"/>
          <w:szCs w:val="21"/>
        </w:rPr>
        <w:t xml:space="preserve">2001 — iPod launch initiates consumer electronics transformation</w:t>
      </w:r>
    </w:p>
    <w:p>
      <w:pPr>
        <w:pStyle w:val="ListParagraph"/>
        <w:numPr>
          <w:ilvl w:val="0"/>
          <w:numId w:val="2"/>
        </w:numPr>
        <w:spacing w:before="60" w:after="60"/>
      </w:pPr>
      <w:r>
        <w:rPr>
          <w:rFonts w:ascii="Arial" w:cs="Arial" w:eastAsia="Arial" w:hAnsi="Arial"/>
          <w:sz w:val="21"/>
          <w:szCs w:val="21"/>
        </w:rPr>
        <w:t xml:space="preserve">2007 — iPhone introduction; arguably the most consequential product launch in corporate history</w:t>
      </w:r>
    </w:p>
    <w:p>
      <w:pPr>
        <w:pStyle w:val="ListParagraph"/>
        <w:numPr>
          <w:ilvl w:val="0"/>
          <w:numId w:val="2"/>
        </w:numPr>
        <w:spacing w:before="60" w:after="60"/>
      </w:pPr>
      <w:r>
        <w:rPr>
          <w:rFonts w:ascii="Arial" w:cs="Arial" w:eastAsia="Arial" w:hAnsi="Arial"/>
          <w:sz w:val="21"/>
          <w:szCs w:val="21"/>
        </w:rPr>
        <w:t xml:space="preserve">2008 — Global Financial Crisis; AAPL drawdown aligned with broad market</w:t>
      </w:r>
    </w:p>
    <w:p>
      <w:pPr>
        <w:pStyle w:val="ListParagraph"/>
        <w:numPr>
          <w:ilvl w:val="0"/>
          <w:numId w:val="2"/>
        </w:numPr>
        <w:spacing w:before="60" w:after="60"/>
      </w:pPr>
      <w:r>
        <w:rPr>
          <w:rFonts w:ascii="Arial" w:cs="Arial" w:eastAsia="Arial" w:hAnsi="Arial"/>
          <w:sz w:val="21"/>
          <w:szCs w:val="21"/>
        </w:rPr>
        <w:t xml:space="preserve">2010 — iPad launch; App Store ecosystem monetization accelerates</w:t>
      </w:r>
    </w:p>
    <w:p>
      <w:pPr>
        <w:pStyle w:val="ListParagraph"/>
        <w:numPr>
          <w:ilvl w:val="0"/>
          <w:numId w:val="2"/>
        </w:numPr>
        <w:spacing w:before="60" w:after="60"/>
      </w:pPr>
      <w:r>
        <w:rPr>
          <w:rFonts w:ascii="Arial" w:cs="Arial" w:eastAsia="Arial" w:hAnsi="Arial"/>
          <w:sz w:val="21"/>
          <w:szCs w:val="21"/>
        </w:rPr>
        <w:t xml:space="preserve">2012 — Initiation of dividend and share buyback program</w:t>
      </w:r>
    </w:p>
    <w:p>
      <w:pPr>
        <w:pStyle w:val="ListParagraph"/>
        <w:numPr>
          <w:ilvl w:val="0"/>
          <w:numId w:val="2"/>
        </w:numPr>
        <w:spacing w:before="60" w:after="60"/>
      </w:pPr>
      <w:r>
        <w:rPr>
          <w:rFonts w:ascii="Arial" w:cs="Arial" w:eastAsia="Arial" w:hAnsi="Arial"/>
          <w:sz w:val="21"/>
          <w:szCs w:val="21"/>
        </w:rPr>
        <w:t xml:space="preserve">2014–2018 — Series of iPhone super-cycles and services revenue expansion</w:t>
      </w:r>
    </w:p>
    <w:p>
      <w:pPr>
        <w:pStyle w:val="ListParagraph"/>
        <w:numPr>
          <w:ilvl w:val="0"/>
          <w:numId w:val="2"/>
        </w:numPr>
        <w:spacing w:before="60" w:after="60"/>
      </w:pPr>
      <w:r>
        <w:rPr>
          <w:rFonts w:ascii="Arial" w:cs="Arial" w:eastAsia="Arial" w:hAnsi="Arial"/>
          <w:sz w:val="21"/>
          <w:szCs w:val="21"/>
        </w:rPr>
        <w:t xml:space="preserve">2020 — COVID-19 pandemic accelerates remote work hardware and services demand</w:t>
      </w:r>
    </w:p>
    <w:p>
      <w:pPr>
        <w:pStyle w:val="ListParagraph"/>
        <w:numPr>
          <w:ilvl w:val="0"/>
          <w:numId w:val="2"/>
        </w:numPr>
        <w:spacing w:before="60" w:after="60"/>
      </w:pPr>
      <w:r>
        <w:rPr>
          <w:rFonts w:ascii="Arial" w:cs="Arial" w:eastAsia="Arial" w:hAnsi="Arial"/>
          <w:sz w:val="21"/>
          <w:szCs w:val="21"/>
        </w:rPr>
        <w:t xml:space="preserve">2024 — Apple Intelligence AI integration; stock reaches all-time high of $237.33</w:t>
      </w:r>
    </w:p>
    <w:p>
      <w:pPr>
        <w:spacing w:before="120" w:after="120"/>
        <w:jc w:val="left"/>
      </w:pPr>
      <w:r>
        <w:rPr>
          <w:rFonts w:ascii="Arial" w:cs="Arial" w:eastAsia="Arial" w:hAnsi="Arial"/>
          <w:b w:val="false"/>
          <w:bCs w:val="false"/>
          <w:i w:val="false"/>
          <w:iCs w:val="false"/>
          <w:color w:val="000000"/>
          <w:sz w:val="22"/>
          <w:szCs w:val="22"/>
        </w:rPr>
        <w:t xml:space="preserve"/>
      </w:r>
    </w:p>
    <w:p>
      <w:pPr>
        <w:pStyle w:val="Heading1"/>
        <w:pBdr>
          <w:bottom w:val="single" w:color="1A3C5E" w:sz="4" w:space="4"/>
        </w:pBdr>
        <w:spacing w:before="360" w:after="180"/>
      </w:pPr>
      <w:r>
        <w:rPr>
          <w:rFonts w:ascii="Arial" w:cs="Arial" w:eastAsia="Arial" w:hAnsi="Arial"/>
          <w:b/>
          <w:bCs/>
          <w:color w:val="1A3C5E"/>
          <w:sz w:val="32"/>
          <w:szCs w:val="32"/>
        </w:rPr>
        <w:t xml:space="preserve">Methodology &amp; Data Notes</w:t>
      </w:r>
    </w:p>
    <w:p>
      <w:pPr>
        <w:pStyle w:val="Heading2"/>
        <w:spacing w:before="240" w:after="120"/>
      </w:pPr>
      <w:r>
        <w:rPr>
          <w:rFonts w:ascii="Arial" w:cs="Arial" w:eastAsia="Arial" w:hAnsi="Arial"/>
          <w:b/>
          <w:bCs/>
          <w:color w:val="2E6DA4"/>
          <w:sz w:val="26"/>
          <w:szCs w:val="26"/>
        </w:rPr>
        <w:t xml:space="preserve">Data Source</w:t>
      </w:r>
    </w:p>
    <w:p>
      <w:pPr>
        <w:spacing w:before="120" w:after="120"/>
        <w:jc w:val="left"/>
      </w:pPr>
      <w:r>
        <w:rPr>
          <w:rFonts w:ascii="Arial" w:cs="Arial" w:eastAsia="Arial" w:hAnsi="Arial"/>
          <w:b w:val="false"/>
          <w:bCs w:val="false"/>
          <w:i w:val="false"/>
          <w:iCs w:val="false"/>
          <w:color w:val="000000"/>
          <w:sz w:val="22"/>
          <w:szCs w:val="22"/>
        </w:rPr>
        <w:t xml:space="preserve">All data was extracted from the AlphaPulse Dashboard CSV export (AAPL_AlphaPulse_Dashboard.csv) containing 11,054 daily records spanning January 27, 1981 to November 29, 2024. Fields include Date, Price (split- and dividend-adjusted closing price), Daily Return, and Rolling Volatility (30-Day).</w:t>
      </w:r>
    </w:p>
    <w:p>
      <w:pPr>
        <w:pStyle w:val="Heading2"/>
        <w:spacing w:before="240" w:after="120"/>
      </w:pPr>
      <w:r>
        <w:rPr>
          <w:rFonts w:ascii="Arial" w:cs="Arial" w:eastAsia="Arial" w:hAnsi="Arial"/>
          <w:b/>
          <w:bCs/>
          <w:color w:val="2E6DA4"/>
          <w:sz w:val="26"/>
          <w:szCs w:val="26"/>
        </w:rPr>
        <w:t xml:space="preserve">Calculations</w:t>
      </w:r>
    </w:p>
    <w:p>
      <w:pPr>
        <w:pStyle w:val="ListParagraph"/>
        <w:numPr>
          <w:ilvl w:val="0"/>
          <w:numId w:val="2"/>
        </w:numPr>
        <w:spacing w:before="60" w:after="60"/>
      </w:pPr>
      <w:r>
        <w:rPr>
          <w:rFonts w:ascii="Arial" w:cs="Arial" w:eastAsia="Arial" w:hAnsi="Arial"/>
          <w:sz w:val="21"/>
          <w:szCs w:val="21"/>
        </w:rPr>
        <w:t xml:space="preserve">All prices are fully adjusted for stock splits and dividend reinvestment.</w:t>
      </w:r>
    </w:p>
    <w:p>
      <w:pPr>
        <w:pStyle w:val="ListParagraph"/>
        <w:numPr>
          <w:ilvl w:val="0"/>
          <w:numId w:val="2"/>
        </w:numPr>
        <w:spacing w:before="60" w:after="60"/>
      </w:pPr>
      <w:r>
        <w:rPr>
          <w:rFonts w:ascii="Arial" w:cs="Arial" w:eastAsia="Arial" w:hAnsi="Arial"/>
          <w:sz w:val="21"/>
          <w:szCs w:val="21"/>
        </w:rPr>
        <w:t xml:space="preserve">Daily returns computed as percentage change from prior close.</w:t>
      </w:r>
    </w:p>
    <w:p>
      <w:pPr>
        <w:pStyle w:val="ListParagraph"/>
        <w:numPr>
          <w:ilvl w:val="0"/>
          <w:numId w:val="2"/>
        </w:numPr>
        <w:spacing w:before="60" w:after="60"/>
      </w:pPr>
      <w:r>
        <w:rPr>
          <w:rFonts w:ascii="Arial" w:cs="Arial" w:eastAsia="Arial" w:hAnsi="Arial"/>
          <w:sz w:val="21"/>
          <w:szCs w:val="21"/>
        </w:rPr>
        <w:t xml:space="preserve">Rolling volatility is the 30-trading-day standard deviation of daily returns, annualized by multiplying by √252.</w:t>
      </w:r>
    </w:p>
    <w:p>
      <w:pPr>
        <w:pStyle w:val="ListParagraph"/>
        <w:numPr>
          <w:ilvl w:val="0"/>
          <w:numId w:val="2"/>
        </w:numPr>
        <w:spacing w:before="60" w:after="60"/>
      </w:pPr>
      <w:r>
        <w:rPr>
          <w:rFonts w:ascii="Arial" w:cs="Arial" w:eastAsia="Arial" w:hAnsi="Arial"/>
          <w:sz w:val="21"/>
          <w:szCs w:val="21"/>
        </w:rPr>
        <w:t xml:space="preserve">Sharpe ratio computed as (mean daily return / std dev of daily returns) × √252, with a risk-free rate of 0% for simplicity.</w:t>
      </w:r>
    </w:p>
    <w:p>
      <w:pPr>
        <w:pStyle w:val="ListParagraph"/>
        <w:numPr>
          <w:ilvl w:val="0"/>
          <w:numId w:val="2"/>
        </w:numPr>
        <w:spacing w:before="60" w:after="60"/>
      </w:pPr>
      <w:r>
        <w:rPr>
          <w:rFonts w:ascii="Arial" w:cs="Arial" w:eastAsia="Arial" w:hAnsi="Arial"/>
          <w:sz w:val="21"/>
          <w:szCs w:val="21"/>
        </w:rPr>
        <w:t xml:space="preserve">Maximum drawdown calculated as the maximum percentage decline from any peak to subsequent trough over the full period.</w:t>
      </w:r>
    </w:p>
    <w:p>
      <w:pPr>
        <w:pStyle w:val="ListParagraph"/>
        <w:numPr>
          <w:ilvl w:val="0"/>
          <w:numId w:val="2"/>
        </w:numPr>
        <w:spacing w:before="60" w:after="60"/>
      </w:pPr>
      <w:r>
        <w:rPr>
          <w:rFonts w:ascii="Arial" w:cs="Arial" w:eastAsia="Arial" w:hAnsi="Arial"/>
          <w:sz w:val="21"/>
          <w:szCs w:val="21"/>
        </w:rPr>
        <w:t xml:space="preserve">Decade returns are arithmetic annualizations of mean daily returns × 252.</w:t>
      </w:r>
    </w:p>
    <w:p>
      <w:pPr>
        <w:pStyle w:val="Heading2"/>
        <w:spacing w:before="240" w:after="120"/>
      </w:pPr>
      <w:r>
        <w:rPr>
          <w:rFonts w:ascii="Arial" w:cs="Arial" w:eastAsia="Arial" w:hAnsi="Arial"/>
          <w:b/>
          <w:bCs/>
          <w:color w:val="2E6DA4"/>
          <w:sz w:val="26"/>
          <w:szCs w:val="26"/>
        </w:rPr>
        <w:t xml:space="preserve">Limitations</w:t>
      </w:r>
    </w:p>
    <w:p>
      <w:pPr>
        <w:spacing w:before="120" w:after="120"/>
        <w:jc w:val="left"/>
      </w:pPr>
      <w:r>
        <w:rPr>
          <w:rFonts w:ascii="Arial" w:cs="Arial" w:eastAsia="Arial" w:hAnsi="Arial"/>
          <w:b w:val="false"/>
          <w:bCs w:val="false"/>
          <w:i w:val="false"/>
          <w:iCs w:val="false"/>
          <w:color w:val="000000"/>
          <w:sz w:val="22"/>
          <w:szCs w:val="22"/>
        </w:rPr>
        <w:t xml:space="preserve">This analysis covers a single equity over an exceptional historical period. Past performance is not indicative of future results. The Sharpe ratio calculation uses a zero risk-free rate, which may overstate risk-adjusted returns in higher interest-rate environments. Decade-level annualizations are approximations based on daily return averages.</w:t>
      </w:r>
    </w:p>
    <w:p>
      <w:pPr>
        <w:spacing w:before="120" w:after="120"/>
        <w:jc w:val="left"/>
      </w:pPr>
      <w:r>
        <w:rPr>
          <w:rFonts w:ascii="Arial" w:cs="Arial" w:eastAsia="Arial" w:hAnsi="Arial"/>
          <w:b w:val="false"/>
          <w:bCs w:val="false"/>
          <w:i w:val="false"/>
          <w:iCs w:val="false"/>
          <w:color w:val="000000"/>
          <w:sz w:val="22"/>
          <w:szCs w:val="22"/>
        </w:rPr>
        <w:t xml:space="preserve"/>
      </w:r>
    </w:p>
    <w:p>
      <w:pPr>
        <w:pStyle w:val="Heading1"/>
        <w:pBdr>
          <w:bottom w:val="single" w:color="1A3C5E" w:sz="4" w:space="4"/>
        </w:pBdr>
        <w:spacing w:before="360" w:after="180"/>
      </w:pPr>
      <w:r>
        <w:rPr>
          <w:rFonts w:ascii="Arial" w:cs="Arial" w:eastAsia="Arial" w:hAnsi="Arial"/>
          <w:b/>
          <w:bCs/>
          <w:color w:val="1A3C5E"/>
          <w:sz w:val="32"/>
          <w:szCs w:val="32"/>
        </w:rPr>
        <w:t xml:space="preserve">Conclusion</w:t>
      </w:r>
    </w:p>
    <w:p>
      <w:pPr>
        <w:spacing w:before="120" w:after="120"/>
        <w:jc w:val="left"/>
      </w:pPr>
      <w:r>
        <w:rPr>
          <w:rFonts w:ascii="Arial" w:cs="Arial" w:eastAsia="Arial" w:hAnsi="Arial"/>
          <w:b w:val="false"/>
          <w:bCs w:val="false"/>
          <w:i w:val="false"/>
          <w:iCs w:val="false"/>
          <w:color w:val="000000"/>
          <w:sz w:val="22"/>
          <w:szCs w:val="22"/>
        </w:rPr>
        <w:t xml:space="preserve">Apple Inc. stands as one of the defining equity investment stories of the modern era. From a sub-$0.15 split-adjusted price in 1981 to an all-time high of $237.33 in late 2024, AAPL has delivered compounding returns that dwarf virtually every comparable large-cap benchmark. The data reveals three distinct phases: a volatile, high-risk growth phase through the 1990s; a transformative, product-driven hypergrowth phase in the 2000s; and a maturing, capital-return-oriented phase from 2010 onward characterized by lower volatility and resilient earnings.</w:t>
      </w:r>
    </w:p>
    <w:p>
      <w:pPr>
        <w:spacing w:before="120" w:after="120"/>
        <w:jc w:val="left"/>
      </w:pPr>
      <w:r>
        <w:rPr>
          <w:rFonts w:ascii="Arial" w:cs="Arial" w:eastAsia="Arial" w:hAnsi="Arial"/>
          <w:b w:val="false"/>
          <w:bCs w:val="false"/>
          <w:i w:val="false"/>
          <w:iCs w:val="false"/>
          <w:color w:val="000000"/>
          <w:sz w:val="22"/>
          <w:szCs w:val="22"/>
        </w:rPr>
        <w:t xml:space="preserve">Current metrics — including a near-historic-low rolling volatility of 16.53%, a trailing-year gain of 25.56%, and a stock at all-time highs — paint a picture of a business firing on all cylinders. The integration of generative AI capabilities and sustained Services segment growth represent the next potential catalysts for continued outperformance.</w:t>
      </w:r>
    </w:p>
    <w:p>
      <w:pPr>
        <w:spacing w:before="120" w:after="120"/>
        <w:jc w:val="left"/>
      </w:pPr>
      <w:r>
        <w:rPr>
          <w:rFonts w:ascii="Arial" w:cs="Arial" w:eastAsia="Arial" w:hAnsi="Arial"/>
          <w:b w:val="false"/>
          <w:bCs w:val="false"/>
          <w:i w:val="false"/>
          <w:iCs w:val="false"/>
          <w:color w:val="000000"/>
          <w:sz w:val="22"/>
          <w:szCs w:val="22"/>
        </w:rPr>
        <w:t xml:space="preserve"/>
      </w:r>
    </w:p>
    <w:p>
      <w:pPr>
        <w:pBdr>
          <w:top w:val="single" w:color="CCCCCC" w:sz="4" w:space="8"/>
        </w:pBdr>
        <w:spacing w:before="240" w:after="120"/>
      </w:pPr>
      <w:r>
        <w:rPr>
          <w:rFonts w:ascii="Arial" w:cs="Arial" w:eastAsia="Arial" w:hAnsi="Arial"/>
          <w:i/>
          <w:iCs/>
          <w:color w:val="888888"/>
          <w:sz w:val="18"/>
          <w:szCs w:val="18"/>
        </w:rPr>
        <w:t xml:space="preserve">This report was prepared using the AlphaPulse Dashboard dataset. All figures are based on historical adjusted prices. This document is for internal analytical purposes only and does not constitute investment advice.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after="0"/>
    </w:pPr>
    <w:r>
      <w:rPr>
        <w:rFonts w:ascii="Arial" w:cs="Arial" w:eastAsia="Arial" w:hAnsi="Arial"/>
        <w:color w:val="888888"/>
        <w:sz w:val="16"/>
        <w:szCs w:val="16"/>
      </w:rPr>
      <w:t xml:space="preserve">CONFIDENTIAL — For Internal Use Only</w:t>
    </w:r>
    <w:r>
      <w:rPr>
        <w:rFonts w:ascii="Arial" w:cs="Arial" w:eastAsia="Arial" w:hAnsi="Arial"/>
        <w:sz w:val="16"/>
        <w:szCs w:val="16"/>
      </w:rPr>
      <w:t xml:space="preserve">	</w:t>
    </w:r>
    <w:r>
      <w:rPr>
        <w:rFonts w:ascii="Arial" w:cs="Arial" w:eastAsia="Arial" w:hAnsi="Arial"/>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4"/>
      </w:pBdr>
      <w:tabs>
        <w:tab w:val="right" w:pos="9026"/>
      </w:tabs>
      <w:spacing w:before="0" w:after="80"/>
    </w:pPr>
    <w:r>
      <w:rPr>
        <w:rFonts w:ascii="Arial" w:cs="Arial" w:eastAsia="Arial" w:hAnsi="Arial"/>
        <w:color w:val="666666"/>
        <w:sz w:val="18"/>
        <w:szCs w:val="18"/>
      </w:rPr>
      <w:t xml:space="preserve">AlphaPulse Analytics  |  AAPL Equity Report</w:t>
    </w:r>
    <w:r>
      <w:rPr>
        <w:rFonts w:ascii="Arial" w:cs="Arial" w:eastAsia="Arial" w:hAnsi="Arial"/>
        <w:sz w:val="18"/>
        <w:szCs w:val="18"/>
      </w:rPr>
      <w:t xml:space="preserve">	</w:t>
    </w:r>
    <w:r>
      <w:rPr>
        <w:rFonts w:ascii="Arial" w:cs="Arial" w:eastAsia="Arial" w:hAnsi="Arial"/>
        <w:color w:val="666666"/>
        <w:sz w:val="18"/>
        <w:szCs w:val="18"/>
      </w:rPr>
      <w:t xml:space="preserve">Prepared: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C5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2026-02-26T15:50:45.838Z</dcterms:created>
  <dcterms:modified xsi:type="dcterms:W3CDTF">2026-02-26T15:50:45.839Z</dcterms:modified>
</cp:coreProperties>
</file>

<file path=docProps/custom.xml><?xml version="1.0" encoding="utf-8"?>
<Properties xmlns="http://schemas.openxmlformats.org/officeDocument/2006/custom-properties" xmlns:vt="http://schemas.openxmlformats.org/officeDocument/2006/docPropsVTypes"/>
</file>