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480"/>
        <w:jc w:val="center"/>
      </w:pPr>
      <w:r>
        <w:rPr>
          <w:rFonts w:ascii="Arial" w:cs="Arial" w:eastAsia="Arial" w:hAnsi="Arial"/>
          <w:b/>
          <w:bCs/>
          <w:color w:val="1E3A5F"/>
          <w:sz w:val="72"/>
          <w:szCs w:val="72"/>
        </w:rPr>
        <w:t xml:space="preserve">Online Retail</w:t>
      </w:r>
    </w:p>
    <w:p>
      <w:pPr>
        <w:spacing w:before="0" w:after="240"/>
        <w:jc w:val="center"/>
      </w:pPr>
      <w:r>
        <w:rPr>
          <w:rFonts w:ascii="Arial" w:cs="Arial" w:eastAsia="Arial" w:hAnsi="Arial"/>
          <w:color w:val="2563EB"/>
          <w:sz w:val="48"/>
          <w:szCs w:val="48"/>
        </w:rPr>
        <w:t xml:space="preserve">Customer Analytics Report</w:t>
      </w:r>
    </w:p>
    <w:p>
      <w:pPr>
        <w:spacing w:before="0" w:after="1200"/>
        <w:jc w:val="center"/>
      </w:pPr>
      <w:r>
        <w:rPr>
          <w:rFonts w:ascii="Arial" w:cs="Arial" w:eastAsia="Arial" w:hAnsi="Arial"/>
          <w:i/>
          <w:iCs/>
          <w:color w:val="6B7280"/>
          <w:sz w:val="24"/>
          <w:szCs w:val="24"/>
        </w:rPr>
        <w:t xml:space="preserve">RFM Segmentation  •  Cohort Analysis  •  Market Basket  •  CLV</w:t>
      </w:r>
    </w:p>
    <w:p>
      <w:pPr>
        <w:spacing w:before="0" w:after="120"/>
        <w:jc w:val="center"/>
      </w:pPr>
      <w:r>
        <w:rPr>
          <w:rFonts w:ascii="Arial" w:cs="Arial" w:eastAsia="Arial" w:hAnsi="Arial"/>
          <w:color w:val="9CA3AF"/>
          <w:sz w:val="22"/>
          <w:szCs w:val="22"/>
        </w:rPr>
        <w:t xml:space="preserve">Prepared: February 2026</w:t>
      </w:r>
    </w:p>
    <w:p>
      <w:pPr>
        <w:spacing w:before="0" w:after="2880"/>
        <w:jc w:val="center"/>
      </w:pPr>
      <w:r>
        <w:rPr>
          <w:rFonts w:ascii="Arial" w:cs="Arial" w:eastAsia="Arial" w:hAnsi="Arial"/>
          <w:color w:val="9CA3AF"/>
          <w:sz w:val="22"/>
          <w:szCs w:val="22"/>
        </w:rPr>
        <w:t xml:space="preserve">Dataset: UK-based online retailer  |  Period: Dec 2010 – Dec 2011</w:t>
      </w:r>
    </w:p>
    <w:p>
      <w:r>
        <w:br w:type="page"/>
      </w:r>
    </w:p>
    <w:p>
      <w:pPr>
        <w:pStyle w:val="Heading1"/>
        <w:pBdr>
          <w:bottom w:val="single" w:color="2563EB" w:sz="6" w:space="4"/>
        </w:pBdr>
        <w:spacing w:before="400" w:after="200"/>
      </w:pPr>
      <w:r>
        <w:rPr>
          <w:rFonts w:ascii="Arial" w:cs="Arial" w:eastAsia="Arial" w:hAnsi="Arial"/>
          <w:b/>
          <w:bCs/>
          <w:color w:val="1E3A5F"/>
          <w:sz w:val="32"/>
          <w:szCs w:val="32"/>
        </w:rPr>
        <w:t xml:space="preserve">1. Executive Summary</w:t>
      </w:r>
    </w:p>
    <w:p>
      <w:pPr>
        <w:spacing w:before="80" w:after="80"/>
      </w:pPr>
      <w:r>
        <w:rPr>
          <w:rFonts w:ascii="Arial" w:cs="Arial" w:eastAsia="Arial" w:hAnsi="Arial"/>
          <w:sz w:val="22"/>
          <w:szCs w:val="22"/>
        </w:rPr>
        <w:t xml:space="preserve">This report presents a comprehensive analysis of an online retail dataset spanning December 2010 to December 2011. The analysis covers data quality preprocessing, RFM customer segmentation, cohort-based retention analysis, market basket (association rule mining), and probabilistic Customer Lifetime Value (CLV) modelling.</w:t>
      </w:r>
    </w:p>
    <w:p>
      <w:pPr>
        <w:spacing w:before="80" w:after="80"/>
      </w:pPr>
      <w:r>
        <w:t xml:space="preserve"/>
      </w:r>
    </w:p>
    <w:p>
      <w:pPr>
        <w:spacing w:before="80" w:after="80"/>
      </w:pPr>
      <w:r>
        <w:rPr>
          <w:rFonts w:ascii="Arial" w:cs="Arial" w:eastAsia="Arial" w:hAnsi="Arial"/>
          <w:b/>
          <w:bCs/>
          <w:sz w:val="22"/>
          <w:szCs w:val="22"/>
        </w:rPr>
        <w:t xml:space="preserve">Key findings at a glance:</w:t>
      </w:r>
    </w:p>
    <w:p>
      <w:pPr>
        <w:pStyle w:val="ListParagraph"/>
        <w:numPr>
          <w:ilvl w:val="0"/>
          <w:numId w:val="2"/>
        </w:numPr>
        <w:spacing w:before="60" w:after="60"/>
      </w:pPr>
      <w:r>
        <w:rPr>
          <w:rFonts w:ascii="Arial" w:cs="Arial" w:eastAsia="Arial" w:hAnsi="Arial"/>
          <w:sz w:val="22"/>
          <w:szCs w:val="22"/>
        </w:rPr>
        <w:t xml:space="preserve">541,909 raw transactions; after removing nulls and returns, 406,829 records with valid customer IDs were retained (3,480 unique customers analysed).</w:t>
      </w:r>
    </w:p>
    <w:p>
      <w:pPr>
        <w:pStyle w:val="ListParagraph"/>
        <w:numPr>
          <w:ilvl w:val="0"/>
          <w:numId w:val="2"/>
        </w:numPr>
        <w:spacing w:before="60" w:after="60"/>
      </w:pPr>
      <w:r>
        <w:rPr>
          <w:rFonts w:ascii="Arial" w:cs="Arial" w:eastAsia="Arial" w:hAnsi="Arial"/>
          <w:sz w:val="22"/>
          <w:szCs w:val="22"/>
        </w:rPr>
        <w:t xml:space="preserve">Champion and Loyal customers together represent ~43% of the customer base and are the primary revenue drivers.</w:t>
      </w:r>
    </w:p>
    <w:p>
      <w:pPr>
        <w:pStyle w:val="ListParagraph"/>
        <w:numPr>
          <w:ilvl w:val="0"/>
          <w:numId w:val="2"/>
        </w:numPr>
        <w:spacing w:before="60" w:after="60"/>
      </w:pPr>
      <w:r>
        <w:rPr>
          <w:rFonts w:ascii="Arial" w:cs="Arial" w:eastAsia="Arial" w:hAnsi="Arial"/>
          <w:sz w:val="22"/>
          <w:szCs w:val="22"/>
        </w:rPr>
        <w:t xml:space="preserve">Churn Risk is the largest single segment (31%), presenting the most significant retention opportunity.</w:t>
      </w:r>
    </w:p>
    <w:p>
      <w:pPr>
        <w:pStyle w:val="ListParagraph"/>
        <w:numPr>
          <w:ilvl w:val="0"/>
          <w:numId w:val="2"/>
        </w:numPr>
        <w:spacing w:before="60" w:after="60"/>
      </w:pPr>
      <w:r>
        <w:rPr>
          <w:rFonts w:ascii="Arial" w:cs="Arial" w:eastAsia="Arial" w:hAnsi="Arial"/>
          <w:sz w:val="22"/>
          <w:szCs w:val="22"/>
        </w:rPr>
        <w:t xml:space="preserve">Cohort retention drops sharply after the first month (~20–35%), then stabilises around 10–25% for repeat cohorts.</w:t>
      </w:r>
    </w:p>
    <w:p>
      <w:pPr>
        <w:pStyle w:val="ListParagraph"/>
        <w:numPr>
          <w:ilvl w:val="0"/>
          <w:numId w:val="2"/>
        </w:numPr>
        <w:spacing w:before="60" w:after="60"/>
      </w:pPr>
      <w:r>
        <w:rPr>
          <w:rFonts w:ascii="Arial" w:cs="Arial" w:eastAsia="Arial" w:hAnsi="Arial"/>
          <w:sz w:val="22"/>
          <w:szCs w:val="22"/>
        </w:rPr>
        <w:t xml:space="preserve">Regency Teacup products show the strongest cross-sell lift (&gt;4x), ideal for bundle promotions.</w:t>
      </w:r>
    </w:p>
    <w:p>
      <w:pPr>
        <w:pStyle w:val="ListParagraph"/>
        <w:numPr>
          <w:ilvl w:val="0"/>
          <w:numId w:val="2"/>
        </w:numPr>
        <w:spacing w:before="60" w:after="60"/>
      </w:pPr>
      <w:r>
        <w:rPr>
          <w:rFonts w:ascii="Arial" w:cs="Arial" w:eastAsia="Arial" w:hAnsi="Arial"/>
          <w:sz w:val="22"/>
          <w:szCs w:val="22"/>
        </w:rPr>
        <w:t xml:space="preserve">Top-5 customers by predicted 6-month CLV are worth between £32,659 and £74,961 — high-value targets for VIP programmes.</w:t>
      </w:r>
    </w:p>
    <w:p>
      <w:pPr>
        <w:spacing w:before="80" w:after="80"/>
      </w:pPr>
      <w:r>
        <w:t xml:space="preserve"/>
      </w:r>
    </w:p>
    <w:p>
      <w:pPr>
        <w:pStyle w:val="Heading1"/>
        <w:pBdr>
          <w:bottom w:val="single" w:color="2563EB" w:sz="6" w:space="4"/>
        </w:pBdr>
        <w:spacing w:before="400" w:after="200"/>
      </w:pPr>
      <w:r>
        <w:rPr>
          <w:rFonts w:ascii="Arial" w:cs="Arial" w:eastAsia="Arial" w:hAnsi="Arial"/>
          <w:b/>
          <w:bCs/>
          <w:color w:val="1E3A5F"/>
          <w:sz w:val="32"/>
          <w:szCs w:val="32"/>
        </w:rPr>
        <w:t xml:space="preserve">2. Dataset Overview &amp; Data Preparation</w:t>
      </w:r>
    </w:p>
    <w:p>
      <w:pPr>
        <w:pStyle w:val="Heading2"/>
        <w:spacing w:before="300" w:after="160"/>
      </w:pPr>
      <w:r>
        <w:rPr>
          <w:rFonts w:ascii="Arial" w:cs="Arial" w:eastAsia="Arial" w:hAnsi="Arial"/>
          <w:b/>
          <w:bCs/>
          <w:color w:val="2563EB"/>
          <w:sz w:val="26"/>
          <w:szCs w:val="26"/>
        </w:rPr>
        <w:t xml:space="preserve">2.1 Raw Dataset</w:t>
      </w:r>
    </w:p>
    <w:p>
      <w:pPr>
        <w:spacing w:before="80" w:after="80"/>
      </w:pPr>
      <w:r>
        <w:rPr>
          <w:rFonts w:ascii="Arial" w:cs="Arial" w:eastAsia="Arial" w:hAnsi="Arial"/>
          <w:sz w:val="22"/>
          <w:szCs w:val="22"/>
        </w:rPr>
        <w:t xml:space="preserve">The dataset is a transactional record from a UK-based online retailer. The original CSV contained 541,909 rows and 8 columns.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5860"/>
      </w:tblGrid>
      <w:tr>
        <w:trPr>
          <w:tblHeader/>
        </w:trPr>
        <w:tc>
          <w:tcPr>
            <w:tcW w:type="dxa" w:w="2000"/>
            <w:tcBorders>
              <w:top w:val="single" w:color="D1D5DB" w:sz="1"/>
              <w:left w:val="single" w:color="D1D5DB" w:sz="1"/>
              <w:bottom w:val="single" w:color="D1D5DB" w:sz="1"/>
              <w:right w:val="single" w:color="D1D5DB" w:sz="1"/>
            </w:tcBorders>
            <w:shd w:fill="1E3A5F"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Column</w:t>
            </w:r>
          </w:p>
        </w:tc>
        <w:tc>
          <w:tcPr>
            <w:tcW w:type="dxa" w:w="1500"/>
            <w:tcBorders>
              <w:top w:val="single" w:color="D1D5DB" w:sz="1"/>
              <w:left w:val="single" w:color="D1D5DB" w:sz="1"/>
              <w:bottom w:val="single" w:color="D1D5DB" w:sz="1"/>
              <w:right w:val="single" w:color="D1D5DB" w:sz="1"/>
            </w:tcBorders>
            <w:shd w:fill="1E3A5F"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Type</w:t>
            </w:r>
          </w:p>
        </w:tc>
        <w:tc>
          <w:tcPr>
            <w:tcW w:type="dxa" w:w="5860"/>
            <w:tcBorders>
              <w:top w:val="single" w:color="D1D5DB" w:sz="1"/>
              <w:left w:val="single" w:color="D1D5DB" w:sz="1"/>
              <w:bottom w:val="single" w:color="D1D5DB" w:sz="1"/>
              <w:right w:val="single" w:color="D1D5DB" w:sz="1"/>
            </w:tcBorders>
            <w:shd w:fill="1E3A5F"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Description</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InvoiceNo</w:t>
            </w:r>
          </w:p>
        </w:tc>
        <w:tc>
          <w:tcPr>
            <w:tcW w:type="dxa" w:w="15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pPr>
              <w:jc w:val="center"/>
            </w:pPr>
            <w:r>
              <w:rPr>
                <w:rFonts w:ascii="Arial" w:cs="Arial" w:eastAsia="Arial" w:hAnsi="Arial"/>
                <w:sz w:val="20"/>
                <w:szCs w:val="20"/>
              </w:rPr>
              <w:t xml:space="preserve">String</w:t>
            </w:r>
          </w:p>
        </w:tc>
        <w:tc>
          <w:tcPr>
            <w:tcW w:type="dxa" w:w="586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pPr>
              <w:jc w:val="center"/>
            </w:pPr>
            <w:r>
              <w:rPr>
                <w:rFonts w:ascii="Arial" w:cs="Arial" w:eastAsia="Arial" w:hAnsi="Arial"/>
                <w:sz w:val="20"/>
                <w:szCs w:val="20"/>
              </w:rPr>
              <w:t xml:space="preserve">Unique invoice number; prefix 'C' indicates cancellation</w:t>
            </w:r>
          </w:p>
        </w:tc>
      </w:tr>
      <w:tr>
        <w:tc>
          <w:tcPr>
            <w:tcW w:type="dxa" w:w="2000"/>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pPr>
              <w:jc w:val="left"/>
            </w:pPr>
            <w:r>
              <w:rPr>
                <w:rFonts w:ascii="Arial" w:cs="Arial" w:eastAsia="Arial" w:hAnsi="Arial"/>
                <w:sz w:val="20"/>
                <w:szCs w:val="20"/>
              </w:rPr>
              <w:t xml:space="preserve">StockCode</w:t>
            </w:r>
          </w:p>
        </w:tc>
        <w:tc>
          <w:tcPr>
            <w:tcW w:type="dxa" w:w="1500"/>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pPr>
              <w:jc w:val="center"/>
            </w:pPr>
            <w:r>
              <w:rPr>
                <w:rFonts w:ascii="Arial" w:cs="Arial" w:eastAsia="Arial" w:hAnsi="Arial"/>
                <w:sz w:val="20"/>
                <w:szCs w:val="20"/>
              </w:rPr>
              <w:t xml:space="preserve">String</w:t>
            </w:r>
          </w:p>
        </w:tc>
        <w:tc>
          <w:tcPr>
            <w:tcW w:type="dxa" w:w="5860"/>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pPr>
              <w:jc w:val="center"/>
            </w:pPr>
            <w:r>
              <w:rPr>
                <w:rFonts w:ascii="Arial" w:cs="Arial" w:eastAsia="Arial" w:hAnsi="Arial"/>
                <w:sz w:val="20"/>
                <w:szCs w:val="20"/>
              </w:rPr>
              <w:t xml:space="preserve">Unique product code</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Description</w:t>
            </w:r>
          </w:p>
        </w:tc>
        <w:tc>
          <w:tcPr>
            <w:tcW w:type="dxa" w:w="15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pPr>
              <w:jc w:val="center"/>
            </w:pPr>
            <w:r>
              <w:rPr>
                <w:rFonts w:ascii="Arial" w:cs="Arial" w:eastAsia="Arial" w:hAnsi="Arial"/>
                <w:sz w:val="20"/>
                <w:szCs w:val="20"/>
              </w:rPr>
              <w:t xml:space="preserve">String</w:t>
            </w:r>
          </w:p>
        </w:tc>
        <w:tc>
          <w:tcPr>
            <w:tcW w:type="dxa" w:w="586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pPr>
              <w:jc w:val="center"/>
            </w:pPr>
            <w:r>
              <w:rPr>
                <w:rFonts w:ascii="Arial" w:cs="Arial" w:eastAsia="Arial" w:hAnsi="Arial"/>
                <w:sz w:val="20"/>
                <w:szCs w:val="20"/>
              </w:rPr>
              <w:t xml:space="preserve">Product name</w:t>
            </w:r>
          </w:p>
        </w:tc>
      </w:tr>
      <w:tr>
        <w:tc>
          <w:tcPr>
            <w:tcW w:type="dxa" w:w="2000"/>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pPr>
              <w:jc w:val="left"/>
            </w:pPr>
            <w:r>
              <w:rPr>
                <w:rFonts w:ascii="Arial" w:cs="Arial" w:eastAsia="Arial" w:hAnsi="Arial"/>
                <w:sz w:val="20"/>
                <w:szCs w:val="20"/>
              </w:rPr>
              <w:t xml:space="preserve">Quantity</w:t>
            </w:r>
          </w:p>
        </w:tc>
        <w:tc>
          <w:tcPr>
            <w:tcW w:type="dxa" w:w="1500"/>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pPr>
              <w:jc w:val="center"/>
            </w:pPr>
            <w:r>
              <w:rPr>
                <w:rFonts w:ascii="Arial" w:cs="Arial" w:eastAsia="Arial" w:hAnsi="Arial"/>
                <w:sz w:val="20"/>
                <w:szCs w:val="20"/>
              </w:rPr>
              <w:t xml:space="preserve">Int16</w:t>
            </w:r>
          </w:p>
        </w:tc>
        <w:tc>
          <w:tcPr>
            <w:tcW w:type="dxa" w:w="5860"/>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pPr>
              <w:jc w:val="center"/>
            </w:pPr>
            <w:r>
              <w:rPr>
                <w:rFonts w:ascii="Arial" w:cs="Arial" w:eastAsia="Arial" w:hAnsi="Arial"/>
                <w:sz w:val="20"/>
                <w:szCs w:val="20"/>
              </w:rPr>
              <w:t xml:space="preserve">Number of units per transaction</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InvoiceDate</w:t>
            </w:r>
          </w:p>
        </w:tc>
        <w:tc>
          <w:tcPr>
            <w:tcW w:type="dxa" w:w="15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pPr>
              <w:jc w:val="center"/>
            </w:pPr>
            <w:r>
              <w:rPr>
                <w:rFonts w:ascii="Arial" w:cs="Arial" w:eastAsia="Arial" w:hAnsi="Arial"/>
                <w:sz w:val="20"/>
                <w:szCs w:val="20"/>
              </w:rPr>
              <w:t xml:space="preserve">DateTime</w:t>
            </w:r>
          </w:p>
        </w:tc>
        <w:tc>
          <w:tcPr>
            <w:tcW w:type="dxa" w:w="586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pPr>
              <w:jc w:val="center"/>
            </w:pPr>
            <w:r>
              <w:rPr>
                <w:rFonts w:ascii="Arial" w:cs="Arial" w:eastAsia="Arial" w:hAnsi="Arial"/>
                <w:sz w:val="20"/>
                <w:szCs w:val="20"/>
              </w:rPr>
              <w:t xml:space="preserve">Date and time of invoice</w:t>
            </w:r>
          </w:p>
        </w:tc>
      </w:tr>
      <w:tr>
        <w:tc>
          <w:tcPr>
            <w:tcW w:type="dxa" w:w="2000"/>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pPr>
              <w:jc w:val="left"/>
            </w:pPr>
            <w:r>
              <w:rPr>
                <w:rFonts w:ascii="Arial" w:cs="Arial" w:eastAsia="Arial" w:hAnsi="Arial"/>
                <w:sz w:val="20"/>
                <w:szCs w:val="20"/>
              </w:rPr>
              <w:t xml:space="preserve">UnitPrice</w:t>
            </w:r>
          </w:p>
        </w:tc>
        <w:tc>
          <w:tcPr>
            <w:tcW w:type="dxa" w:w="1500"/>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pPr>
              <w:jc w:val="center"/>
            </w:pPr>
            <w:r>
              <w:rPr>
                <w:rFonts w:ascii="Arial" w:cs="Arial" w:eastAsia="Arial" w:hAnsi="Arial"/>
                <w:sz w:val="20"/>
                <w:szCs w:val="20"/>
              </w:rPr>
              <w:t xml:space="preserve">Float32</w:t>
            </w:r>
          </w:p>
        </w:tc>
        <w:tc>
          <w:tcPr>
            <w:tcW w:type="dxa" w:w="5860"/>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pPr>
              <w:jc w:val="center"/>
            </w:pPr>
            <w:r>
              <w:rPr>
                <w:rFonts w:ascii="Arial" w:cs="Arial" w:eastAsia="Arial" w:hAnsi="Arial"/>
                <w:sz w:val="20"/>
                <w:szCs w:val="20"/>
              </w:rPr>
              <w:t xml:space="preserve">Price per unit (GBP)</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CustomerID</w:t>
            </w:r>
          </w:p>
        </w:tc>
        <w:tc>
          <w:tcPr>
            <w:tcW w:type="dxa" w:w="15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pPr>
              <w:jc w:val="center"/>
            </w:pPr>
            <w:r>
              <w:rPr>
                <w:rFonts w:ascii="Arial" w:cs="Arial" w:eastAsia="Arial" w:hAnsi="Arial"/>
                <w:sz w:val="20"/>
                <w:szCs w:val="20"/>
              </w:rPr>
              <w:t xml:space="preserve">Int32</w:t>
            </w:r>
          </w:p>
        </w:tc>
        <w:tc>
          <w:tcPr>
            <w:tcW w:type="dxa" w:w="586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pPr>
              <w:jc w:val="center"/>
            </w:pPr>
            <w:r>
              <w:rPr>
                <w:rFonts w:ascii="Arial" w:cs="Arial" w:eastAsia="Arial" w:hAnsi="Arial"/>
                <w:sz w:val="20"/>
                <w:szCs w:val="20"/>
              </w:rPr>
              <w:t xml:space="preserve">Unique customer identifier</w:t>
            </w:r>
          </w:p>
        </w:tc>
      </w:tr>
      <w:tr>
        <w:tc>
          <w:tcPr>
            <w:tcW w:type="dxa" w:w="2000"/>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pPr>
              <w:jc w:val="left"/>
            </w:pPr>
            <w:r>
              <w:rPr>
                <w:rFonts w:ascii="Arial" w:cs="Arial" w:eastAsia="Arial" w:hAnsi="Arial"/>
                <w:sz w:val="20"/>
                <w:szCs w:val="20"/>
              </w:rPr>
              <w:t xml:space="preserve">Country</w:t>
            </w:r>
          </w:p>
        </w:tc>
        <w:tc>
          <w:tcPr>
            <w:tcW w:type="dxa" w:w="1500"/>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pPr>
              <w:jc w:val="center"/>
            </w:pPr>
            <w:r>
              <w:rPr>
                <w:rFonts w:ascii="Arial" w:cs="Arial" w:eastAsia="Arial" w:hAnsi="Arial"/>
                <w:sz w:val="20"/>
                <w:szCs w:val="20"/>
              </w:rPr>
              <w:t xml:space="preserve">String</w:t>
            </w:r>
          </w:p>
        </w:tc>
        <w:tc>
          <w:tcPr>
            <w:tcW w:type="dxa" w:w="5860"/>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pPr>
              <w:jc w:val="center"/>
            </w:pPr>
            <w:r>
              <w:rPr>
                <w:rFonts w:ascii="Arial" w:cs="Arial" w:eastAsia="Arial" w:hAnsi="Arial"/>
                <w:sz w:val="20"/>
                <w:szCs w:val="20"/>
              </w:rPr>
              <w:t xml:space="preserve">Customer country of residence</w:t>
            </w:r>
          </w:p>
        </w:tc>
      </w:tr>
    </w:tbl>
    <w:p>
      <w:pPr>
        <w:spacing w:before="80" w:after="80"/>
      </w:pPr>
      <w:r>
        <w:t xml:space="preserve"/>
      </w:r>
    </w:p>
    <w:p>
      <w:pPr>
        <w:pStyle w:val="Heading2"/>
        <w:spacing w:before="300" w:after="160"/>
      </w:pPr>
      <w:r>
        <w:rPr>
          <w:rFonts w:ascii="Arial" w:cs="Arial" w:eastAsia="Arial" w:hAnsi="Arial"/>
          <w:b/>
          <w:bCs/>
          <w:color w:val="2563EB"/>
          <w:sz w:val="26"/>
          <w:szCs w:val="26"/>
        </w:rPr>
        <w:t xml:space="preserve">2.2 Data Quality Issues &amp; Fixes</w:t>
      </w:r>
    </w:p>
    <w:p>
      <w:pPr>
        <w:spacing w:before="80" w:after="80"/>
      </w:pPr>
      <w:r>
        <w:rPr>
          <w:rFonts w:ascii="Arial" w:cs="Arial" w:eastAsia="Arial" w:hAnsi="Arial"/>
          <w:sz w:val="22"/>
          <w:szCs w:val="22"/>
        </w:rPr>
        <w:t xml:space="preserve">Several data quality issues were identified and addressed systematically:</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1800"/>
        <w:gridCol w:w="3560"/>
      </w:tblGrid>
      <w:tr>
        <w:trPr>
          <w:tblHeader/>
        </w:trPr>
        <w:tc>
          <w:tcPr>
            <w:tcW w:type="dxa" w:w="4000"/>
            <w:tcBorders>
              <w:top w:val="single" w:color="D1D5DB" w:sz="1"/>
              <w:left w:val="single" w:color="D1D5DB" w:sz="1"/>
              <w:bottom w:val="single" w:color="D1D5DB" w:sz="1"/>
              <w:right w:val="single" w:color="D1D5DB" w:sz="1"/>
            </w:tcBorders>
            <w:shd w:fill="1E3A5F"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Issue</w:t>
            </w:r>
          </w:p>
        </w:tc>
        <w:tc>
          <w:tcPr>
            <w:tcW w:type="dxa" w:w="1800"/>
            <w:tcBorders>
              <w:top w:val="single" w:color="D1D5DB" w:sz="1"/>
              <w:left w:val="single" w:color="D1D5DB" w:sz="1"/>
              <w:bottom w:val="single" w:color="D1D5DB" w:sz="1"/>
              <w:right w:val="single" w:color="D1D5DB" w:sz="1"/>
            </w:tcBorders>
            <w:shd w:fill="1E3A5F"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Count</w:t>
            </w:r>
          </w:p>
        </w:tc>
        <w:tc>
          <w:tcPr>
            <w:tcW w:type="dxa" w:w="3560"/>
            <w:tcBorders>
              <w:top w:val="single" w:color="D1D5DB" w:sz="1"/>
              <w:left w:val="single" w:color="D1D5DB" w:sz="1"/>
              <w:bottom w:val="single" w:color="D1D5DB" w:sz="1"/>
              <w:right w:val="single" w:color="D1D5DB" w:sz="1"/>
            </w:tcBorders>
            <w:shd w:fill="1E3A5F"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Action Taken</w:t>
            </w:r>
          </w:p>
        </w:tc>
      </w:tr>
      <w:tr>
        <w:tc>
          <w:tcPr>
            <w:tcW w:type="dxa" w:w="40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Missing CustomerID</w:t>
            </w:r>
          </w:p>
        </w:tc>
        <w:tc>
          <w:tcPr>
            <w:tcW w:type="dxa" w:w="18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pPr>
              <w:jc w:val="center"/>
            </w:pPr>
            <w:r>
              <w:rPr>
                <w:rFonts w:ascii="Arial" w:cs="Arial" w:eastAsia="Arial" w:hAnsi="Arial"/>
                <w:sz w:val="20"/>
                <w:szCs w:val="20"/>
              </w:rPr>
              <w:t xml:space="preserve">135,080</w:t>
            </w:r>
          </w:p>
        </w:tc>
        <w:tc>
          <w:tcPr>
            <w:tcW w:type="dxa" w:w="356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pPr>
              <w:jc w:val="center"/>
            </w:pPr>
            <w:r>
              <w:rPr>
                <w:rFonts w:ascii="Arial" w:cs="Arial" w:eastAsia="Arial" w:hAnsi="Arial"/>
                <w:sz w:val="20"/>
                <w:szCs w:val="20"/>
              </w:rPr>
              <w:t xml:space="preserve">Dropped — cannot attribute to a customer</w:t>
            </w:r>
          </w:p>
        </w:tc>
      </w:tr>
      <w:tr>
        <w:tc>
          <w:tcPr>
            <w:tcW w:type="dxa" w:w="4000"/>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pPr>
              <w:jc w:val="left"/>
            </w:pPr>
            <w:r>
              <w:rPr>
                <w:rFonts w:ascii="Arial" w:cs="Arial" w:eastAsia="Arial" w:hAnsi="Arial"/>
                <w:sz w:val="20"/>
                <w:szCs w:val="20"/>
              </w:rPr>
              <w:t xml:space="preserve">Missing Description</w:t>
            </w:r>
          </w:p>
        </w:tc>
        <w:tc>
          <w:tcPr>
            <w:tcW w:type="dxa" w:w="1800"/>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pPr>
              <w:jc w:val="center"/>
            </w:pPr>
            <w:r>
              <w:rPr>
                <w:rFonts w:ascii="Arial" w:cs="Arial" w:eastAsia="Arial" w:hAnsi="Arial"/>
                <w:sz w:val="20"/>
                <w:szCs w:val="20"/>
              </w:rPr>
              <w:t xml:space="preserve">1,454</w:t>
            </w:r>
          </w:p>
        </w:tc>
        <w:tc>
          <w:tcPr>
            <w:tcW w:type="dxa" w:w="3560"/>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pPr>
              <w:jc w:val="center"/>
            </w:pPr>
            <w:r>
              <w:rPr>
                <w:rFonts w:ascii="Arial" w:cs="Arial" w:eastAsia="Arial" w:hAnsi="Arial"/>
                <w:sz w:val="20"/>
                <w:szCs w:val="20"/>
              </w:rPr>
              <w:t xml:space="preserve">Resolved after CustomerID drop</w:t>
            </w:r>
          </w:p>
        </w:tc>
      </w:tr>
      <w:tr>
        <w:tc>
          <w:tcPr>
            <w:tcW w:type="dxa" w:w="40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Negative Quantity (returns)</w:t>
            </w:r>
          </w:p>
        </w:tc>
        <w:tc>
          <w:tcPr>
            <w:tcW w:type="dxa" w:w="18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pPr>
              <w:jc w:val="center"/>
            </w:pPr>
            <w:r>
              <w:rPr>
                <w:rFonts w:ascii="Arial" w:cs="Arial" w:eastAsia="Arial" w:hAnsi="Arial"/>
                <w:sz w:val="20"/>
                <w:szCs w:val="20"/>
              </w:rPr>
              <w:t xml:space="preserve">Present</w:t>
            </w:r>
          </w:p>
        </w:tc>
        <w:tc>
          <w:tcPr>
            <w:tcW w:type="dxa" w:w="356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pPr>
              <w:jc w:val="center"/>
            </w:pPr>
            <w:r>
              <w:rPr>
                <w:rFonts w:ascii="Arial" w:cs="Arial" w:eastAsia="Arial" w:hAnsi="Arial"/>
                <w:sz w:val="20"/>
                <w:szCs w:val="20"/>
              </w:rPr>
              <w:t xml:space="preserve">Filtered (kept Quantity &gt; 0)</w:t>
            </w:r>
          </w:p>
        </w:tc>
      </w:tr>
      <w:tr>
        <w:tc>
          <w:tcPr>
            <w:tcW w:type="dxa" w:w="4000"/>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pPr>
              <w:jc w:val="left"/>
            </w:pPr>
            <w:r>
              <w:rPr>
                <w:rFonts w:ascii="Arial" w:cs="Arial" w:eastAsia="Arial" w:hAnsi="Arial"/>
                <w:sz w:val="20"/>
                <w:szCs w:val="20"/>
              </w:rPr>
              <w:t xml:space="preserve">Zero or negative UnitPrice</w:t>
            </w:r>
          </w:p>
        </w:tc>
        <w:tc>
          <w:tcPr>
            <w:tcW w:type="dxa" w:w="1800"/>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pPr>
              <w:jc w:val="center"/>
            </w:pPr>
            <w:r>
              <w:rPr>
                <w:rFonts w:ascii="Arial" w:cs="Arial" w:eastAsia="Arial" w:hAnsi="Arial"/>
                <w:sz w:val="20"/>
                <w:szCs w:val="20"/>
              </w:rPr>
              <w:t xml:space="preserve">Present</w:t>
            </w:r>
          </w:p>
        </w:tc>
        <w:tc>
          <w:tcPr>
            <w:tcW w:type="dxa" w:w="3560"/>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pPr>
              <w:jc w:val="center"/>
            </w:pPr>
            <w:r>
              <w:rPr>
                <w:rFonts w:ascii="Arial" w:cs="Arial" w:eastAsia="Arial" w:hAnsi="Arial"/>
                <w:sz w:val="20"/>
                <w:szCs w:val="20"/>
              </w:rPr>
              <w:t xml:space="preserve">Filtered (kept UnitPrice &gt; 0)</w:t>
            </w:r>
          </w:p>
        </w:tc>
      </w:tr>
      <w:tr>
        <w:tc>
          <w:tcPr>
            <w:tcW w:type="dxa" w:w="40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Date parsing errors</w:t>
            </w:r>
          </w:p>
        </w:tc>
        <w:tc>
          <w:tcPr>
            <w:tcW w:type="dxa" w:w="18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pPr>
              <w:jc w:val="center"/>
            </w:pPr>
            <w:r>
              <w:rPr>
                <w:rFonts w:ascii="Arial" w:cs="Arial" w:eastAsia="Arial" w:hAnsi="Arial"/>
                <w:sz w:val="20"/>
                <w:szCs w:val="20"/>
              </w:rPr>
              <w:t xml:space="preserve">Some</w:t>
            </w:r>
          </w:p>
        </w:tc>
        <w:tc>
          <w:tcPr>
            <w:tcW w:type="dxa" w:w="356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pPr>
              <w:jc w:val="center"/>
            </w:pPr>
            <w:r>
              <w:rPr>
                <w:rFonts w:ascii="Arial" w:cs="Arial" w:eastAsia="Arial" w:hAnsi="Arial"/>
                <w:sz w:val="20"/>
                <w:szCs w:val="20"/>
              </w:rPr>
              <w:t xml:space="preserve">Coerced with errors='coerce'; NaT rows dropped</w:t>
            </w:r>
          </w:p>
        </w:tc>
      </w:tr>
    </w:tbl>
    <w:p>
      <w:pPr>
        <w:spacing w:before="80" w:after="80"/>
      </w:pPr>
      <w:r>
        <w:t xml:space="preserve"/>
      </w:r>
    </w:p>
    <w:p>
      <w:pPr>
        <w:spacing w:before="80" w:after="80"/>
      </w:pPr>
      <w:r>
        <w:rPr>
          <w:rFonts w:ascii="Arial" w:cs="Arial" w:eastAsia="Arial" w:hAnsi="Arial"/>
          <w:sz w:val="22"/>
          <w:szCs w:val="22"/>
        </w:rPr>
        <w:t xml:space="preserve">After cleaning, the working dataset contained approximately 397,884 valid purchase rows. A derived column Amount = Quantity × UnitPrice was added to represent transaction revenue.</w:t>
      </w:r>
    </w:p>
    <w:p>
      <w:pPr>
        <w:spacing w:before="80" w:after="80"/>
      </w:pPr>
      <w:r>
        <w:t xml:space="preserve"/>
      </w:r>
    </w:p>
    <w:p>
      <w:pPr>
        <w:pStyle w:val="Heading1"/>
        <w:pBdr>
          <w:bottom w:val="single" w:color="2563EB" w:sz="6" w:space="4"/>
        </w:pBdr>
        <w:spacing w:before="400" w:after="200"/>
      </w:pPr>
      <w:r>
        <w:rPr>
          <w:rFonts w:ascii="Arial" w:cs="Arial" w:eastAsia="Arial" w:hAnsi="Arial"/>
          <w:b/>
          <w:bCs/>
          <w:color w:val="1E3A5F"/>
          <w:sz w:val="32"/>
          <w:szCs w:val="32"/>
        </w:rPr>
        <w:t xml:space="preserve">3. RFM Customer Segmentation</w:t>
      </w:r>
    </w:p>
    <w:p>
      <w:pPr>
        <w:pStyle w:val="Heading2"/>
        <w:spacing w:before="300" w:after="160"/>
      </w:pPr>
      <w:r>
        <w:rPr>
          <w:rFonts w:ascii="Arial" w:cs="Arial" w:eastAsia="Arial" w:hAnsi="Arial"/>
          <w:b/>
          <w:bCs/>
          <w:color w:val="2563EB"/>
          <w:sz w:val="26"/>
          <w:szCs w:val="26"/>
        </w:rPr>
        <w:t xml:space="preserve">3.1 Methodology</w:t>
      </w:r>
    </w:p>
    <w:p>
      <w:pPr>
        <w:spacing w:before="80" w:after="80"/>
      </w:pPr>
      <w:r>
        <w:rPr>
          <w:rFonts w:ascii="Arial" w:cs="Arial" w:eastAsia="Arial" w:hAnsi="Arial"/>
          <w:sz w:val="22"/>
          <w:szCs w:val="22"/>
        </w:rPr>
        <w:t xml:space="preserve">RFM analysis scores each customer on three dimensions, computed as of a snapshot date (2011-12-02, one day after the last transaction):</w:t>
      </w:r>
    </w:p>
    <w:p>
      <w:pPr>
        <w:pStyle w:val="ListParagraph"/>
        <w:numPr>
          <w:ilvl w:val="0"/>
          <w:numId w:val="2"/>
        </w:numPr>
        <w:spacing w:before="60" w:after="60"/>
      </w:pPr>
      <w:r>
        <w:rPr>
          <w:rFonts w:ascii="Arial" w:cs="Arial" w:eastAsia="Arial" w:hAnsi="Arial"/>
          <w:sz w:val="22"/>
          <w:szCs w:val="22"/>
        </w:rPr>
        <w:t xml:space="preserve">Recency (R): days since the customer's last purchase (lower = better).</w:t>
      </w:r>
    </w:p>
    <w:p>
      <w:pPr>
        <w:pStyle w:val="ListParagraph"/>
        <w:numPr>
          <w:ilvl w:val="0"/>
          <w:numId w:val="2"/>
        </w:numPr>
        <w:spacing w:before="60" w:after="60"/>
      </w:pPr>
      <w:r>
        <w:rPr>
          <w:rFonts w:ascii="Arial" w:cs="Arial" w:eastAsia="Arial" w:hAnsi="Arial"/>
          <w:sz w:val="22"/>
          <w:szCs w:val="22"/>
        </w:rPr>
        <w:t xml:space="preserve">Frequency (F): number of distinct invoices placed.</w:t>
      </w:r>
    </w:p>
    <w:p>
      <w:pPr>
        <w:pStyle w:val="ListParagraph"/>
        <w:numPr>
          <w:ilvl w:val="0"/>
          <w:numId w:val="2"/>
        </w:numPr>
        <w:spacing w:before="60" w:after="60"/>
      </w:pPr>
      <w:r>
        <w:rPr>
          <w:rFonts w:ascii="Arial" w:cs="Arial" w:eastAsia="Arial" w:hAnsi="Arial"/>
          <w:sz w:val="22"/>
          <w:szCs w:val="22"/>
        </w:rPr>
        <w:t xml:space="preserve">Monetary (M): total spend across all transactions.</w:t>
      </w:r>
    </w:p>
    <w:p>
      <w:pPr>
        <w:spacing w:before="80" w:after="80"/>
      </w:pPr>
      <w:r>
        <w:t xml:space="preserve"/>
      </w:r>
    </w:p>
    <w:p>
      <w:pPr>
        <w:spacing w:before="80" w:after="80"/>
      </w:pPr>
      <w:r>
        <w:rPr>
          <w:rFonts w:ascii="Arial" w:cs="Arial" w:eastAsia="Arial" w:hAnsi="Arial"/>
          <w:sz w:val="22"/>
          <w:szCs w:val="22"/>
        </w:rPr>
        <w:t xml:space="preserve">Each dimension was binned into quintiles (1–5) using pd.qcut, with rank(method='first') applied to Frequency and Monetary to handle ties. Higher scores on all three dimensions indicate a more valuable customer.</w:t>
      </w:r>
    </w:p>
    <w:p>
      <w:pPr>
        <w:spacing w:before="80" w:after="80"/>
      </w:pPr>
      <w:r>
        <w:t xml:space="preserve"/>
      </w:r>
    </w:p>
    <w:p>
      <w:pPr>
        <w:pStyle w:val="Heading2"/>
        <w:spacing w:before="300" w:after="160"/>
      </w:pPr>
      <w:r>
        <w:rPr>
          <w:rFonts w:ascii="Arial" w:cs="Arial" w:eastAsia="Arial" w:hAnsi="Arial"/>
          <w:b/>
          <w:bCs/>
          <w:color w:val="2563EB"/>
          <w:sz w:val="26"/>
          <w:szCs w:val="26"/>
        </w:rPr>
        <w:t xml:space="preserve">3.2 RFM Summary Statistics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700"/>
        <w:gridCol w:w="1700"/>
        <w:gridCol w:w="1700"/>
        <w:gridCol w:w="1760"/>
      </w:tblGrid>
      <w:tr>
        <w:trPr>
          <w:tblHeader/>
        </w:trPr>
        <w:tc>
          <w:tcPr>
            <w:tcW w:type="dxa" w:w="2500"/>
            <w:tcBorders>
              <w:top w:val="single" w:color="D1D5DB" w:sz="1"/>
              <w:left w:val="single" w:color="D1D5DB" w:sz="1"/>
              <w:bottom w:val="single" w:color="D1D5DB" w:sz="1"/>
              <w:right w:val="single" w:color="D1D5DB" w:sz="1"/>
            </w:tcBorders>
            <w:shd w:fill="1E3A5F"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Metric</w:t>
            </w:r>
          </w:p>
        </w:tc>
        <w:tc>
          <w:tcPr>
            <w:tcW w:type="dxa" w:w="1700"/>
            <w:tcBorders>
              <w:top w:val="single" w:color="D1D5DB" w:sz="1"/>
              <w:left w:val="single" w:color="D1D5DB" w:sz="1"/>
              <w:bottom w:val="single" w:color="D1D5DB" w:sz="1"/>
              <w:right w:val="single" w:color="D1D5DB" w:sz="1"/>
            </w:tcBorders>
            <w:shd w:fill="1E3A5F"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Mean</w:t>
            </w:r>
          </w:p>
        </w:tc>
        <w:tc>
          <w:tcPr>
            <w:tcW w:type="dxa" w:w="1700"/>
            <w:tcBorders>
              <w:top w:val="single" w:color="D1D5DB" w:sz="1"/>
              <w:left w:val="single" w:color="D1D5DB" w:sz="1"/>
              <w:bottom w:val="single" w:color="D1D5DB" w:sz="1"/>
              <w:right w:val="single" w:color="D1D5DB" w:sz="1"/>
            </w:tcBorders>
            <w:shd w:fill="1E3A5F"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Median</w:t>
            </w:r>
          </w:p>
        </w:tc>
        <w:tc>
          <w:tcPr>
            <w:tcW w:type="dxa" w:w="1700"/>
            <w:tcBorders>
              <w:top w:val="single" w:color="D1D5DB" w:sz="1"/>
              <w:left w:val="single" w:color="D1D5DB" w:sz="1"/>
              <w:bottom w:val="single" w:color="D1D5DB" w:sz="1"/>
              <w:right w:val="single" w:color="D1D5DB" w:sz="1"/>
            </w:tcBorders>
            <w:shd w:fill="1E3A5F"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75th Pct</w:t>
            </w:r>
          </w:p>
        </w:tc>
        <w:tc>
          <w:tcPr>
            <w:tcW w:type="dxa" w:w="1760"/>
            <w:tcBorders>
              <w:top w:val="single" w:color="D1D5DB" w:sz="1"/>
              <w:left w:val="single" w:color="D1D5DB" w:sz="1"/>
              <w:bottom w:val="single" w:color="D1D5DB" w:sz="1"/>
              <w:right w:val="single" w:color="D1D5DB" w:sz="1"/>
            </w:tcBorders>
            <w:shd w:fill="1E3A5F"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Max</w:t>
            </w:r>
          </w:p>
        </w:tc>
      </w:tr>
      <w:tr>
        <w:tc>
          <w:tcPr>
            <w:tcW w:type="dxa" w:w="25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Recency (days)</w:t>
            </w:r>
          </w:p>
        </w:tc>
        <w:tc>
          <w:tcPr>
            <w:tcW w:type="dxa" w:w="17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pPr>
              <w:jc w:val="center"/>
            </w:pPr>
            <w:r>
              <w:rPr>
                <w:rFonts w:ascii="Arial" w:cs="Arial" w:eastAsia="Arial" w:hAnsi="Arial"/>
                <w:sz w:val="20"/>
                <w:szCs w:val="20"/>
              </w:rPr>
              <w:t xml:space="preserve">92.3</w:t>
            </w:r>
          </w:p>
        </w:tc>
        <w:tc>
          <w:tcPr>
            <w:tcW w:type="dxa" w:w="17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pPr>
              <w:jc w:val="center"/>
            </w:pPr>
            <w:r>
              <w:rPr>
                <w:rFonts w:ascii="Arial" w:cs="Arial" w:eastAsia="Arial" w:hAnsi="Arial"/>
                <w:sz w:val="20"/>
                <w:szCs w:val="20"/>
              </w:rPr>
              <w:t xml:space="preserve">49</w:t>
            </w:r>
          </w:p>
        </w:tc>
        <w:tc>
          <w:tcPr>
            <w:tcW w:type="dxa" w:w="17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pPr>
              <w:jc w:val="center"/>
            </w:pPr>
            <w:r>
              <w:rPr>
                <w:rFonts w:ascii="Arial" w:cs="Arial" w:eastAsia="Arial" w:hAnsi="Arial"/>
                <w:sz w:val="20"/>
                <w:szCs w:val="20"/>
              </w:rPr>
              <w:t xml:space="preserve">155</w:t>
            </w:r>
          </w:p>
        </w:tc>
        <w:tc>
          <w:tcPr>
            <w:tcW w:type="dxa" w:w="176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pPr>
              <w:jc w:val="center"/>
            </w:pPr>
            <w:r>
              <w:rPr>
                <w:rFonts w:ascii="Arial" w:cs="Arial" w:eastAsia="Arial" w:hAnsi="Arial"/>
                <w:sz w:val="20"/>
                <w:szCs w:val="20"/>
              </w:rPr>
              <w:t xml:space="preserve">353</w:t>
            </w:r>
          </w:p>
        </w:tc>
      </w:tr>
      <w:tr>
        <w:tc>
          <w:tcPr>
            <w:tcW w:type="dxa" w:w="2500"/>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pPr>
              <w:jc w:val="left"/>
            </w:pPr>
            <w:r>
              <w:rPr>
                <w:rFonts w:ascii="Arial" w:cs="Arial" w:eastAsia="Arial" w:hAnsi="Arial"/>
                <w:sz w:val="20"/>
                <w:szCs w:val="20"/>
              </w:rPr>
              <w:t xml:space="preserve">Frequency (invoices)</w:t>
            </w:r>
          </w:p>
        </w:tc>
        <w:tc>
          <w:tcPr>
            <w:tcW w:type="dxa" w:w="1700"/>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pPr>
              <w:jc w:val="center"/>
            </w:pPr>
            <w:r>
              <w:rPr>
                <w:rFonts w:ascii="Arial" w:cs="Arial" w:eastAsia="Arial" w:hAnsi="Arial"/>
                <w:sz w:val="20"/>
                <w:szCs w:val="20"/>
              </w:rPr>
              <w:t xml:space="preserve">3.0</w:t>
            </w:r>
          </w:p>
        </w:tc>
        <w:tc>
          <w:tcPr>
            <w:tcW w:type="dxa" w:w="1700"/>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pPr>
              <w:jc w:val="center"/>
            </w:pPr>
            <w:r>
              <w:rPr>
                <w:rFonts w:ascii="Arial" w:cs="Arial" w:eastAsia="Arial" w:hAnsi="Arial"/>
                <w:sz w:val="20"/>
                <w:szCs w:val="20"/>
              </w:rPr>
              <w:t xml:space="preserve">2</w:t>
            </w:r>
          </w:p>
        </w:tc>
        <w:tc>
          <w:tcPr>
            <w:tcW w:type="dxa" w:w="1700"/>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pPr>
              <w:jc w:val="center"/>
            </w:pPr>
            <w:r>
              <w:rPr>
                <w:rFonts w:ascii="Arial" w:cs="Arial" w:eastAsia="Arial" w:hAnsi="Arial"/>
                <w:sz w:val="20"/>
                <w:szCs w:val="20"/>
              </w:rPr>
              <w:t xml:space="preserve">3</w:t>
            </w:r>
          </w:p>
        </w:tc>
        <w:tc>
          <w:tcPr>
            <w:tcW w:type="dxa" w:w="1760"/>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pPr>
              <w:jc w:val="center"/>
            </w:pPr>
            <w:r>
              <w:rPr>
                <w:rFonts w:ascii="Arial" w:cs="Arial" w:eastAsia="Arial" w:hAnsi="Arial"/>
                <w:sz w:val="20"/>
                <w:szCs w:val="20"/>
              </w:rPr>
              <w:t xml:space="preserve">—</w:t>
            </w:r>
          </w:p>
        </w:tc>
      </w:tr>
      <w:tr>
        <w:tc>
          <w:tcPr>
            <w:tcW w:type="dxa" w:w="25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Monetary (£)</w:t>
            </w:r>
          </w:p>
        </w:tc>
        <w:tc>
          <w:tcPr>
            <w:tcW w:type="dxa" w:w="17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pPr>
              <w:jc w:val="center"/>
            </w:pPr>
            <w:r>
              <w:rPr>
                <w:rFonts w:ascii="Arial" w:cs="Arial" w:eastAsia="Arial" w:hAnsi="Arial"/>
                <w:sz w:val="20"/>
                <w:szCs w:val="20"/>
              </w:rPr>
              <w:t xml:space="preserve">1,427.5</w:t>
            </w:r>
          </w:p>
        </w:tc>
        <w:tc>
          <w:tcPr>
            <w:tcW w:type="dxa" w:w="17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pPr>
              <w:jc w:val="center"/>
            </w:pPr>
            <w:r>
              <w:rPr>
                <w:rFonts w:ascii="Arial" w:cs="Arial" w:eastAsia="Arial" w:hAnsi="Arial"/>
                <w:sz w:val="20"/>
                <w:szCs w:val="20"/>
              </w:rPr>
              <w:t xml:space="preserve">541.5</w:t>
            </w:r>
          </w:p>
        </w:tc>
        <w:tc>
          <w:tcPr>
            <w:tcW w:type="dxa" w:w="17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pPr>
              <w:jc w:val="center"/>
            </w:pPr>
            <w:r>
              <w:rPr>
                <w:rFonts w:ascii="Arial" w:cs="Arial" w:eastAsia="Arial" w:hAnsi="Arial"/>
                <w:sz w:val="20"/>
                <w:szCs w:val="20"/>
              </w:rPr>
              <w:t xml:space="preserve">1,226.4</w:t>
            </w:r>
          </w:p>
        </w:tc>
        <w:tc>
          <w:tcPr>
            <w:tcW w:type="dxa" w:w="176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pPr>
              <w:jc w:val="center"/>
            </w:pPr>
            <w:r>
              <w:rPr>
                <w:rFonts w:ascii="Arial" w:cs="Arial" w:eastAsia="Arial" w:hAnsi="Arial"/>
                <w:sz w:val="20"/>
                <w:szCs w:val="20"/>
              </w:rPr>
              <w:t xml:space="preserve">—</w:t>
            </w:r>
          </w:p>
        </w:tc>
      </w:tr>
    </w:tbl>
    <w:p>
      <w:pPr>
        <w:spacing w:before="80" w:after="80"/>
      </w:pPr>
      <w:r>
        <w:t xml:space="preserve"/>
      </w:r>
    </w:p>
    <w:p>
      <w:pPr>
        <w:pStyle w:val="Heading2"/>
        <w:spacing w:before="300" w:after="160"/>
      </w:pPr>
      <w:r>
        <w:rPr>
          <w:rFonts w:ascii="Arial" w:cs="Arial" w:eastAsia="Arial" w:hAnsi="Arial"/>
          <w:b/>
          <w:bCs/>
          <w:color w:val="2563EB"/>
          <w:sz w:val="26"/>
          <w:szCs w:val="26"/>
        </w:rPr>
        <w:t xml:space="preserve">3.3 Segmentation Rules</w:t>
      </w:r>
    </w:p>
    <w:p>
      <w:pPr>
        <w:spacing w:before="80" w:after="80"/>
      </w:pPr>
      <w:r>
        <w:rPr>
          <w:rFonts w:ascii="Arial" w:cs="Arial" w:eastAsia="Arial" w:hAnsi="Arial"/>
          <w:sz w:val="22"/>
          <w:szCs w:val="22"/>
        </w:rPr>
        <w:t xml:space="preserve">Customers were assigned to one of five segments based on their R, F and M scores: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560"/>
      </w:tblGrid>
      <w:tr>
        <w:trPr>
          <w:tblHeader/>
        </w:trPr>
        <w:tc>
          <w:tcPr>
            <w:tcW w:type="dxa" w:w="2000"/>
            <w:tcBorders>
              <w:top w:val="single" w:color="D1D5DB" w:sz="1"/>
              <w:left w:val="single" w:color="D1D5DB" w:sz="1"/>
              <w:bottom w:val="single" w:color="D1D5DB" w:sz="1"/>
              <w:right w:val="single" w:color="D1D5DB" w:sz="1"/>
            </w:tcBorders>
            <w:shd w:fill="1E3A5F"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Segment</w:t>
            </w:r>
          </w:p>
        </w:tc>
        <w:tc>
          <w:tcPr>
            <w:tcW w:type="dxa" w:w="2800"/>
            <w:tcBorders>
              <w:top w:val="single" w:color="D1D5DB" w:sz="1"/>
              <w:left w:val="single" w:color="D1D5DB" w:sz="1"/>
              <w:bottom w:val="single" w:color="D1D5DB" w:sz="1"/>
              <w:right w:val="single" w:color="D1D5DB" w:sz="1"/>
            </w:tcBorders>
            <w:shd w:fill="1E3A5F"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Rule</w:t>
            </w:r>
          </w:p>
        </w:tc>
        <w:tc>
          <w:tcPr>
            <w:tcW w:type="dxa" w:w="4560"/>
            <w:tcBorders>
              <w:top w:val="single" w:color="D1D5DB" w:sz="1"/>
              <w:left w:val="single" w:color="D1D5DB" w:sz="1"/>
              <w:bottom w:val="single" w:color="D1D5DB" w:sz="1"/>
              <w:right w:val="single" w:color="D1D5DB" w:sz="1"/>
            </w:tcBorders>
            <w:shd w:fill="1E3A5F"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Interpretation</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Champion</w:t>
            </w:r>
          </w:p>
        </w:tc>
        <w:tc>
          <w:tcPr>
            <w:tcW w:type="dxa" w:w="28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pPr>
              <w:jc w:val="center"/>
            </w:pPr>
            <w:r>
              <w:rPr>
                <w:rFonts w:ascii="Arial" w:cs="Arial" w:eastAsia="Arial" w:hAnsi="Arial"/>
                <w:sz w:val="20"/>
                <w:szCs w:val="20"/>
              </w:rPr>
              <w:t xml:space="preserve">R≥4, F≥4, M≥4</w:t>
            </w:r>
          </w:p>
        </w:tc>
        <w:tc>
          <w:tcPr>
            <w:tcW w:type="dxa" w:w="456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pPr>
              <w:jc w:val="center"/>
            </w:pPr>
            <w:r>
              <w:rPr>
                <w:rFonts w:ascii="Arial" w:cs="Arial" w:eastAsia="Arial" w:hAnsi="Arial"/>
                <w:sz w:val="20"/>
                <w:szCs w:val="20"/>
              </w:rPr>
              <w:t xml:space="preserve">Best customers — recent, frequent, high-spend</w:t>
            </w:r>
          </w:p>
        </w:tc>
      </w:tr>
      <w:tr>
        <w:tc>
          <w:tcPr>
            <w:tcW w:type="dxa" w:w="2000"/>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pPr>
              <w:jc w:val="left"/>
            </w:pPr>
            <w:r>
              <w:rPr>
                <w:rFonts w:ascii="Arial" w:cs="Arial" w:eastAsia="Arial" w:hAnsi="Arial"/>
                <w:sz w:val="20"/>
                <w:szCs w:val="20"/>
              </w:rPr>
              <w:t xml:space="preserve">Loyal Customer</w:t>
            </w:r>
          </w:p>
        </w:tc>
        <w:tc>
          <w:tcPr>
            <w:tcW w:type="dxa" w:w="2800"/>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pPr>
              <w:jc w:val="center"/>
            </w:pPr>
            <w:r>
              <w:rPr>
                <w:rFonts w:ascii="Arial" w:cs="Arial" w:eastAsia="Arial" w:hAnsi="Arial"/>
                <w:sz w:val="20"/>
                <w:szCs w:val="20"/>
              </w:rPr>
              <w:t xml:space="preserve">R≥3, F≥3</w:t>
            </w:r>
          </w:p>
        </w:tc>
        <w:tc>
          <w:tcPr>
            <w:tcW w:type="dxa" w:w="4560"/>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pPr>
              <w:jc w:val="center"/>
            </w:pPr>
            <w:r>
              <w:rPr>
                <w:rFonts w:ascii="Arial" w:cs="Arial" w:eastAsia="Arial" w:hAnsi="Arial"/>
                <w:sz w:val="20"/>
                <w:szCs w:val="20"/>
              </w:rPr>
              <w:t xml:space="preserve">Regularly engaged customers</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Recent Customer</w:t>
            </w:r>
          </w:p>
        </w:tc>
        <w:tc>
          <w:tcPr>
            <w:tcW w:type="dxa" w:w="28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pPr>
              <w:jc w:val="center"/>
            </w:pPr>
            <w:r>
              <w:rPr>
                <w:rFonts w:ascii="Arial" w:cs="Arial" w:eastAsia="Arial" w:hAnsi="Arial"/>
                <w:sz w:val="20"/>
                <w:szCs w:val="20"/>
              </w:rPr>
              <w:t xml:space="preserve">R≥4 (not Champion or Loyal)</w:t>
            </w:r>
          </w:p>
        </w:tc>
        <w:tc>
          <w:tcPr>
            <w:tcW w:type="dxa" w:w="456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pPr>
              <w:jc w:val="center"/>
            </w:pPr>
            <w:r>
              <w:rPr>
                <w:rFonts w:ascii="Arial" w:cs="Arial" w:eastAsia="Arial" w:hAnsi="Arial"/>
                <w:sz w:val="20"/>
                <w:szCs w:val="20"/>
              </w:rPr>
              <w:t xml:space="preserve">New or returning after a gap</w:t>
            </w:r>
          </w:p>
        </w:tc>
      </w:tr>
      <w:tr>
        <w:tc>
          <w:tcPr>
            <w:tcW w:type="dxa" w:w="2000"/>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pPr>
              <w:jc w:val="left"/>
            </w:pPr>
            <w:r>
              <w:rPr>
                <w:rFonts w:ascii="Arial" w:cs="Arial" w:eastAsia="Arial" w:hAnsi="Arial"/>
                <w:sz w:val="20"/>
                <w:szCs w:val="20"/>
              </w:rPr>
              <w:t xml:space="preserve">At Risk</w:t>
            </w:r>
          </w:p>
        </w:tc>
        <w:tc>
          <w:tcPr>
            <w:tcW w:type="dxa" w:w="2800"/>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pPr>
              <w:jc w:val="center"/>
            </w:pPr>
            <w:r>
              <w:rPr>
                <w:rFonts w:ascii="Arial" w:cs="Arial" w:eastAsia="Arial" w:hAnsi="Arial"/>
                <w:sz w:val="20"/>
                <w:szCs w:val="20"/>
              </w:rPr>
              <w:t xml:space="preserve">R≤2, F≥3</w:t>
            </w:r>
          </w:p>
        </w:tc>
        <w:tc>
          <w:tcPr>
            <w:tcW w:type="dxa" w:w="4560"/>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pPr>
              <w:jc w:val="center"/>
            </w:pPr>
            <w:r>
              <w:rPr>
                <w:rFonts w:ascii="Arial" w:cs="Arial" w:eastAsia="Arial" w:hAnsi="Arial"/>
                <w:sz w:val="20"/>
                <w:szCs w:val="20"/>
              </w:rPr>
              <w:t xml:space="preserve">Previously active, now lapsing</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Churn Risk</w:t>
            </w:r>
          </w:p>
        </w:tc>
        <w:tc>
          <w:tcPr>
            <w:tcW w:type="dxa" w:w="28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pPr>
              <w:jc w:val="center"/>
            </w:pPr>
            <w:r>
              <w:rPr>
                <w:rFonts w:ascii="Arial" w:cs="Arial" w:eastAsia="Arial" w:hAnsi="Arial"/>
                <w:sz w:val="20"/>
                <w:szCs w:val="20"/>
              </w:rPr>
              <w:t xml:space="preserve">All others</w:t>
            </w:r>
          </w:p>
        </w:tc>
        <w:tc>
          <w:tcPr>
            <w:tcW w:type="dxa" w:w="456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pPr>
              <w:jc w:val="center"/>
            </w:pPr>
            <w:r>
              <w:rPr>
                <w:rFonts w:ascii="Arial" w:cs="Arial" w:eastAsia="Arial" w:hAnsi="Arial"/>
                <w:sz w:val="20"/>
                <w:szCs w:val="20"/>
              </w:rPr>
              <w:t xml:space="preserve">Infrequent, low-recency customers</w:t>
            </w:r>
          </w:p>
        </w:tc>
      </w:tr>
    </w:tbl>
    <w:p>
      <w:pPr>
        <w:spacing w:before="80" w:after="80"/>
      </w:pPr>
      <w:r>
        <w:t xml:space="preserve"/>
      </w:r>
    </w:p>
    <w:p>
      <w:pPr>
        <w:pStyle w:val="Heading2"/>
        <w:spacing w:before="300" w:after="160"/>
      </w:pPr>
      <w:r>
        <w:rPr>
          <w:rFonts w:ascii="Arial" w:cs="Arial" w:eastAsia="Arial" w:hAnsi="Arial"/>
          <w:b/>
          <w:bCs/>
          <w:color w:val="2563EB"/>
          <w:sz w:val="26"/>
          <w:szCs w:val="26"/>
        </w:rPr>
        <w:t xml:space="preserve">3.4 Segment Distribution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D1D5DB" w:sz="1"/>
              <w:left w:val="single" w:color="D1D5DB" w:sz="1"/>
              <w:bottom w:val="single" w:color="D1D5DB" w:sz="1"/>
              <w:right w:val="single" w:color="D1D5DB" w:sz="1"/>
            </w:tcBorders>
            <w:shd w:fill="1E3A5F"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Segment</w:t>
            </w:r>
          </w:p>
        </w:tc>
        <w:tc>
          <w:tcPr>
            <w:tcW w:type="dxa" w:w="3120"/>
            <w:tcBorders>
              <w:top w:val="single" w:color="D1D5DB" w:sz="1"/>
              <w:left w:val="single" w:color="D1D5DB" w:sz="1"/>
              <w:bottom w:val="single" w:color="D1D5DB" w:sz="1"/>
              <w:right w:val="single" w:color="D1D5DB" w:sz="1"/>
            </w:tcBorders>
            <w:shd w:fill="1E3A5F"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Customer Count</w:t>
            </w:r>
          </w:p>
        </w:tc>
        <w:tc>
          <w:tcPr>
            <w:tcW w:type="dxa" w:w="3120"/>
            <w:tcBorders>
              <w:top w:val="single" w:color="D1D5DB" w:sz="1"/>
              <w:left w:val="single" w:color="D1D5DB" w:sz="1"/>
              <w:bottom w:val="single" w:color="D1D5DB" w:sz="1"/>
              <w:right w:val="single" w:color="D1D5DB" w:sz="1"/>
            </w:tcBorders>
            <w:shd w:fill="1E3A5F"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Share (%)</w:t>
            </w:r>
          </w:p>
        </w:tc>
      </w:tr>
      <w:tr>
        <w:tc>
          <w:tcPr>
            <w:tcW w:type="dxa" w:w="312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Churn Risk</w:t>
            </w:r>
          </w:p>
        </w:tc>
        <w:tc>
          <w:tcPr>
            <w:tcW w:type="dxa" w:w="312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pPr>
              <w:jc w:val="center"/>
            </w:pPr>
            <w:r>
              <w:rPr>
                <w:rFonts w:ascii="Arial" w:cs="Arial" w:eastAsia="Arial" w:hAnsi="Arial"/>
                <w:sz w:val="20"/>
                <w:szCs w:val="20"/>
              </w:rPr>
              <w:t xml:space="preserve">1,088</w:t>
            </w:r>
          </w:p>
        </w:tc>
        <w:tc>
          <w:tcPr>
            <w:tcW w:type="dxa" w:w="312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pPr>
              <w:jc w:val="center"/>
            </w:pPr>
            <w:r>
              <w:rPr>
                <w:rFonts w:ascii="Arial" w:cs="Arial" w:eastAsia="Arial" w:hAnsi="Arial"/>
                <w:sz w:val="20"/>
                <w:szCs w:val="20"/>
              </w:rPr>
              <w:t xml:space="preserve">31.3%</w:t>
            </w:r>
          </w:p>
        </w:tc>
      </w:tr>
      <w:tr>
        <w:tc>
          <w:tcPr>
            <w:tcW w:type="dxa" w:w="3120"/>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pPr>
              <w:jc w:val="left"/>
            </w:pPr>
            <w:r>
              <w:rPr>
                <w:rFonts w:ascii="Arial" w:cs="Arial" w:eastAsia="Arial" w:hAnsi="Arial"/>
                <w:sz w:val="20"/>
                <w:szCs w:val="20"/>
              </w:rPr>
              <w:t xml:space="preserve">Loyal Customer</w:t>
            </w:r>
          </w:p>
        </w:tc>
        <w:tc>
          <w:tcPr>
            <w:tcW w:type="dxa" w:w="3120"/>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pPr>
              <w:jc w:val="center"/>
            </w:pPr>
            <w:r>
              <w:rPr>
                <w:rFonts w:ascii="Arial" w:cs="Arial" w:eastAsia="Arial" w:hAnsi="Arial"/>
                <w:sz w:val="20"/>
                <w:szCs w:val="20"/>
              </w:rPr>
              <w:t xml:space="preserve">821</w:t>
            </w:r>
          </w:p>
        </w:tc>
        <w:tc>
          <w:tcPr>
            <w:tcW w:type="dxa" w:w="3120"/>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pPr>
              <w:jc w:val="center"/>
            </w:pPr>
            <w:r>
              <w:rPr>
                <w:rFonts w:ascii="Arial" w:cs="Arial" w:eastAsia="Arial" w:hAnsi="Arial"/>
                <w:sz w:val="20"/>
                <w:szCs w:val="20"/>
              </w:rPr>
              <w:t xml:space="preserve">23.6%</w:t>
            </w:r>
          </w:p>
        </w:tc>
      </w:tr>
      <w:tr>
        <w:tc>
          <w:tcPr>
            <w:tcW w:type="dxa" w:w="312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Champion</w:t>
            </w:r>
          </w:p>
        </w:tc>
        <w:tc>
          <w:tcPr>
            <w:tcW w:type="dxa" w:w="312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pPr>
              <w:jc w:val="center"/>
            </w:pPr>
            <w:r>
              <w:rPr>
                <w:rFonts w:ascii="Arial" w:cs="Arial" w:eastAsia="Arial" w:hAnsi="Arial"/>
                <w:sz w:val="20"/>
                <w:szCs w:val="20"/>
              </w:rPr>
              <w:t xml:space="preserve">682</w:t>
            </w:r>
          </w:p>
        </w:tc>
        <w:tc>
          <w:tcPr>
            <w:tcW w:type="dxa" w:w="312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pPr>
              <w:jc w:val="center"/>
            </w:pPr>
            <w:r>
              <w:rPr>
                <w:rFonts w:ascii="Arial" w:cs="Arial" w:eastAsia="Arial" w:hAnsi="Arial"/>
                <w:sz w:val="20"/>
                <w:szCs w:val="20"/>
              </w:rPr>
              <w:t xml:space="preserve">19.6%</w:t>
            </w:r>
          </w:p>
        </w:tc>
      </w:tr>
      <w:tr>
        <w:tc>
          <w:tcPr>
            <w:tcW w:type="dxa" w:w="3120"/>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pPr>
              <w:jc w:val="left"/>
            </w:pPr>
            <w:r>
              <w:rPr>
                <w:rFonts w:ascii="Arial" w:cs="Arial" w:eastAsia="Arial" w:hAnsi="Arial"/>
                <w:sz w:val="20"/>
                <w:szCs w:val="20"/>
              </w:rPr>
              <w:t xml:space="preserve">At Risk</w:t>
            </w:r>
          </w:p>
        </w:tc>
        <w:tc>
          <w:tcPr>
            <w:tcW w:type="dxa" w:w="3120"/>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pPr>
              <w:jc w:val="center"/>
            </w:pPr>
            <w:r>
              <w:rPr>
                <w:rFonts w:ascii="Arial" w:cs="Arial" w:eastAsia="Arial" w:hAnsi="Arial"/>
                <w:sz w:val="20"/>
                <w:szCs w:val="20"/>
              </w:rPr>
              <w:t xml:space="preserve">585</w:t>
            </w:r>
          </w:p>
        </w:tc>
        <w:tc>
          <w:tcPr>
            <w:tcW w:type="dxa" w:w="3120"/>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pPr>
              <w:jc w:val="center"/>
            </w:pPr>
            <w:r>
              <w:rPr>
                <w:rFonts w:ascii="Arial" w:cs="Arial" w:eastAsia="Arial" w:hAnsi="Arial"/>
                <w:sz w:val="20"/>
                <w:szCs w:val="20"/>
              </w:rPr>
              <w:t xml:space="preserve">16.8%</w:t>
            </w:r>
          </w:p>
        </w:tc>
      </w:tr>
      <w:tr>
        <w:tc>
          <w:tcPr>
            <w:tcW w:type="dxa" w:w="312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Recent Customer</w:t>
            </w:r>
          </w:p>
        </w:tc>
        <w:tc>
          <w:tcPr>
            <w:tcW w:type="dxa" w:w="312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pPr>
              <w:jc w:val="center"/>
            </w:pPr>
            <w:r>
              <w:rPr>
                <w:rFonts w:ascii="Arial" w:cs="Arial" w:eastAsia="Arial" w:hAnsi="Arial"/>
                <w:sz w:val="20"/>
                <w:szCs w:val="20"/>
              </w:rPr>
              <w:t xml:space="preserve">304</w:t>
            </w:r>
          </w:p>
        </w:tc>
        <w:tc>
          <w:tcPr>
            <w:tcW w:type="dxa" w:w="312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pPr>
              <w:jc w:val="center"/>
            </w:pPr>
            <w:r>
              <w:rPr>
                <w:rFonts w:ascii="Arial" w:cs="Arial" w:eastAsia="Arial" w:hAnsi="Arial"/>
                <w:sz w:val="20"/>
                <w:szCs w:val="20"/>
              </w:rPr>
              <w:t xml:space="preserve">8.7%</w:t>
            </w:r>
          </w:p>
        </w:tc>
      </w:tr>
      <w:tr>
        <w:tc>
          <w:tcPr>
            <w:tcW w:type="dxa" w:w="3120"/>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pPr>
              <w:jc w:val="left"/>
            </w:pPr>
            <w:r>
              <w:rPr>
                <w:rFonts w:ascii="Arial" w:cs="Arial" w:eastAsia="Arial" w:hAnsi="Arial"/>
                <w:sz w:val="20"/>
                <w:szCs w:val="20"/>
              </w:rPr>
              <w:t xml:space="preserve">Total</w:t>
            </w:r>
          </w:p>
        </w:tc>
        <w:tc>
          <w:tcPr>
            <w:tcW w:type="dxa" w:w="3120"/>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pPr>
              <w:jc w:val="center"/>
            </w:pPr>
            <w:r>
              <w:rPr>
                <w:rFonts w:ascii="Arial" w:cs="Arial" w:eastAsia="Arial" w:hAnsi="Arial"/>
                <w:sz w:val="20"/>
                <w:szCs w:val="20"/>
              </w:rPr>
              <w:t xml:space="preserve">3,480</w:t>
            </w:r>
          </w:p>
        </w:tc>
        <w:tc>
          <w:tcPr>
            <w:tcW w:type="dxa" w:w="3120"/>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pPr>
              <w:jc w:val="center"/>
            </w:pPr>
            <w:r>
              <w:rPr>
                <w:rFonts w:ascii="Arial" w:cs="Arial" w:eastAsia="Arial" w:hAnsi="Arial"/>
                <w:sz w:val="20"/>
                <w:szCs w:val="20"/>
              </w:rPr>
              <w:t xml:space="preserve">100%</w:t>
            </w:r>
          </w:p>
        </w:tc>
      </w:tr>
    </w:tbl>
    <w:p>
      <w:pPr>
        <w:spacing w:before="80" w:after="80"/>
      </w:pPr>
      <w:r>
        <w:t xml:space="preserve"/>
      </w:r>
    </w:p>
    <w:p>
      <w:pPr>
        <w:spacing w:before="80" w:after="80"/>
      </w:pPr>
      <w:r>
        <w:rPr>
          <w:rFonts w:ascii="Arial" w:cs="Arial" w:eastAsia="Arial" w:hAnsi="Arial"/>
          <w:sz w:val="22"/>
          <w:szCs w:val="22"/>
        </w:rPr>
        <w:t xml:space="preserve">Champions and Loyal Customers combined account for 43.2% of the customer base — a solid repeat-buyer core. However, with nearly a third classified as Churn Risk and 16.8% as At Risk, more than 48% of customers are at elevated risk of disengagement. Targeted win-back campaigns for these segments represent a significant revenue opportunity.</w:t>
      </w:r>
    </w:p>
    <w:p>
      <w:pPr>
        <w:spacing w:before="80" w:after="80"/>
      </w:pPr>
      <w:r>
        <w:t xml:space="preserve"/>
      </w:r>
    </w:p>
    <w:p>
      <w:r>
        <w:br w:type="page"/>
      </w:r>
    </w:p>
    <w:p>
      <w:pPr>
        <w:pStyle w:val="Heading1"/>
        <w:pBdr>
          <w:bottom w:val="single" w:color="2563EB" w:sz="6" w:space="4"/>
        </w:pBdr>
        <w:spacing w:before="400" w:after="200"/>
      </w:pPr>
      <w:r>
        <w:rPr>
          <w:rFonts w:ascii="Arial" w:cs="Arial" w:eastAsia="Arial" w:hAnsi="Arial"/>
          <w:b/>
          <w:bCs/>
          <w:color w:val="1E3A5F"/>
          <w:sz w:val="32"/>
          <w:szCs w:val="32"/>
        </w:rPr>
        <w:t xml:space="preserve">4. Cohort Retention Analysis</w:t>
      </w:r>
    </w:p>
    <w:p>
      <w:pPr>
        <w:pStyle w:val="Heading2"/>
        <w:spacing w:before="300" w:after="160"/>
      </w:pPr>
      <w:r>
        <w:rPr>
          <w:rFonts w:ascii="Arial" w:cs="Arial" w:eastAsia="Arial" w:hAnsi="Arial"/>
          <w:b/>
          <w:bCs/>
          <w:color w:val="2563EB"/>
          <w:sz w:val="26"/>
          <w:szCs w:val="26"/>
        </w:rPr>
        <w:t xml:space="preserve">4.1 Methodology</w:t>
      </w:r>
    </w:p>
    <w:p>
      <w:pPr>
        <w:spacing w:before="80" w:after="80"/>
      </w:pPr>
      <w:r>
        <w:rPr>
          <w:rFonts w:ascii="Arial" w:cs="Arial" w:eastAsia="Arial" w:hAnsi="Arial"/>
          <w:sz w:val="22"/>
          <w:szCs w:val="22"/>
        </w:rPr>
        <w:t xml:space="preserve">Each customer was assigned to the cohort corresponding to their first purchase month. For every subsequent month, the share of original cohort members who made at least one purchase was computed, producing a retention matrix. Cohort Index 1 always equals 100% (the acquisition month).</w:t>
      </w:r>
    </w:p>
    <w:p>
      <w:pPr>
        <w:spacing w:before="80" w:after="80"/>
      </w:pPr>
      <w:r>
        <w:t xml:space="preserve"/>
      </w:r>
    </w:p>
    <w:p>
      <w:pPr>
        <w:pStyle w:val="Heading2"/>
        <w:spacing w:before="300" w:after="160"/>
      </w:pPr>
      <w:r>
        <w:rPr>
          <w:rFonts w:ascii="Arial" w:cs="Arial" w:eastAsia="Arial" w:hAnsi="Arial"/>
          <w:b/>
          <w:bCs/>
          <w:color w:val="2563EB"/>
          <w:sz w:val="26"/>
          <w:szCs w:val="26"/>
        </w:rPr>
        <w:t xml:space="preserve">4.2 Key Retention Observations</w:t>
      </w:r>
    </w:p>
    <w:p>
      <w:pPr>
        <w:spacing w:before="80" w:after="80"/>
      </w:pPr>
      <w:r>
        <w:rPr>
          <w:rFonts w:ascii="Arial" w:cs="Arial" w:eastAsia="Arial" w:hAnsi="Arial"/>
          <w:sz w:val="22"/>
          <w:szCs w:val="22"/>
        </w:rPr>
        <w:t xml:space="preserve">Selected retention rates from the cohort matrix (Month 1 = acquisition, subsequent months = retention rate):</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76"/>
        <w:gridCol w:w="1476"/>
        <w:gridCol w:w="1476"/>
        <w:gridCol w:w="1476"/>
        <w:gridCol w:w="1456"/>
      </w:tblGrid>
      <w:tr>
        <w:trPr>
          <w:tblHeader/>
        </w:trPr>
        <w:tc>
          <w:tcPr>
            <w:tcW w:type="dxa" w:w="2000"/>
            <w:tcBorders>
              <w:top w:val="single" w:color="D1D5DB" w:sz="1"/>
              <w:left w:val="single" w:color="D1D5DB" w:sz="1"/>
              <w:bottom w:val="single" w:color="D1D5DB" w:sz="1"/>
              <w:right w:val="single" w:color="D1D5DB" w:sz="1"/>
            </w:tcBorders>
            <w:shd w:fill="1E3A5F"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Cohort</w:t>
            </w:r>
          </w:p>
        </w:tc>
        <w:tc>
          <w:tcPr>
            <w:tcW w:type="dxa" w:w="1476"/>
            <w:tcBorders>
              <w:top w:val="single" w:color="D1D5DB" w:sz="1"/>
              <w:left w:val="single" w:color="D1D5DB" w:sz="1"/>
              <w:bottom w:val="single" w:color="D1D5DB" w:sz="1"/>
              <w:right w:val="single" w:color="D1D5DB" w:sz="1"/>
            </w:tcBorders>
            <w:shd w:fill="1E3A5F"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Month 1</w:t>
            </w:r>
          </w:p>
        </w:tc>
        <w:tc>
          <w:tcPr>
            <w:tcW w:type="dxa" w:w="1476"/>
            <w:tcBorders>
              <w:top w:val="single" w:color="D1D5DB" w:sz="1"/>
              <w:left w:val="single" w:color="D1D5DB" w:sz="1"/>
              <w:bottom w:val="single" w:color="D1D5DB" w:sz="1"/>
              <w:right w:val="single" w:color="D1D5DB" w:sz="1"/>
            </w:tcBorders>
            <w:shd w:fill="1E3A5F"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Month 2</w:t>
            </w:r>
          </w:p>
        </w:tc>
        <w:tc>
          <w:tcPr>
            <w:tcW w:type="dxa" w:w="1476"/>
            <w:tcBorders>
              <w:top w:val="single" w:color="D1D5DB" w:sz="1"/>
              <w:left w:val="single" w:color="D1D5DB" w:sz="1"/>
              <w:bottom w:val="single" w:color="D1D5DB" w:sz="1"/>
              <w:right w:val="single" w:color="D1D5DB" w:sz="1"/>
            </w:tcBorders>
            <w:shd w:fill="1E3A5F"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Month 3</w:t>
            </w:r>
          </w:p>
        </w:tc>
        <w:tc>
          <w:tcPr>
            <w:tcW w:type="dxa" w:w="1476"/>
            <w:tcBorders>
              <w:top w:val="single" w:color="D1D5DB" w:sz="1"/>
              <w:left w:val="single" w:color="D1D5DB" w:sz="1"/>
              <w:bottom w:val="single" w:color="D1D5DB" w:sz="1"/>
              <w:right w:val="single" w:color="D1D5DB" w:sz="1"/>
            </w:tcBorders>
            <w:shd w:fill="1E3A5F"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Month 4</w:t>
            </w:r>
          </w:p>
        </w:tc>
        <w:tc>
          <w:tcPr>
            <w:tcW w:type="dxa" w:w="1456"/>
            <w:tcBorders>
              <w:top w:val="single" w:color="D1D5DB" w:sz="1"/>
              <w:left w:val="single" w:color="D1D5DB" w:sz="1"/>
              <w:bottom w:val="single" w:color="D1D5DB" w:sz="1"/>
              <w:right w:val="single" w:color="D1D5DB" w:sz="1"/>
            </w:tcBorders>
            <w:shd w:fill="1E3A5F"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Month 6</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Dec 2010</w:t>
            </w:r>
          </w:p>
        </w:tc>
        <w:tc>
          <w:tcPr>
            <w:tcW w:type="dxa" w:w="1476"/>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pPr>
              <w:jc w:val="center"/>
            </w:pPr>
            <w:r>
              <w:rPr>
                <w:rFonts w:ascii="Arial" w:cs="Arial" w:eastAsia="Arial" w:hAnsi="Arial"/>
                <w:sz w:val="20"/>
                <w:szCs w:val="20"/>
              </w:rPr>
              <w:t xml:space="preserve">100%</w:t>
            </w:r>
          </w:p>
        </w:tc>
        <w:tc>
          <w:tcPr>
            <w:tcW w:type="dxa" w:w="1476"/>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pPr>
              <w:jc w:val="center"/>
            </w:pPr>
            <w:r>
              <w:rPr>
                <w:rFonts w:ascii="Arial" w:cs="Arial" w:eastAsia="Arial" w:hAnsi="Arial"/>
                <w:sz w:val="20"/>
                <w:szCs w:val="20"/>
              </w:rPr>
              <w:t xml:space="preserve">35.4%</w:t>
            </w:r>
          </w:p>
        </w:tc>
        <w:tc>
          <w:tcPr>
            <w:tcW w:type="dxa" w:w="1476"/>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pPr>
              <w:jc w:val="center"/>
            </w:pPr>
            <w:r>
              <w:rPr>
                <w:rFonts w:ascii="Arial" w:cs="Arial" w:eastAsia="Arial" w:hAnsi="Arial"/>
                <w:sz w:val="20"/>
                <w:szCs w:val="20"/>
              </w:rPr>
              <w:t xml:space="preserve">28.6%</w:t>
            </w:r>
          </w:p>
        </w:tc>
        <w:tc>
          <w:tcPr>
            <w:tcW w:type="dxa" w:w="1476"/>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pPr>
              <w:jc w:val="center"/>
            </w:pPr>
            <w:r>
              <w:rPr>
                <w:rFonts w:ascii="Arial" w:cs="Arial" w:eastAsia="Arial" w:hAnsi="Arial"/>
                <w:sz w:val="20"/>
                <w:szCs w:val="20"/>
              </w:rPr>
              <w:t xml:space="preserve">36.2%</w:t>
            </w:r>
          </w:p>
        </w:tc>
        <w:tc>
          <w:tcPr>
            <w:tcW w:type="dxa" w:w="1456"/>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pPr>
              <w:jc w:val="center"/>
            </w:pPr>
            <w:r>
              <w:rPr>
                <w:rFonts w:ascii="Arial" w:cs="Arial" w:eastAsia="Arial" w:hAnsi="Arial"/>
                <w:sz w:val="20"/>
                <w:szCs w:val="20"/>
              </w:rPr>
              <w:t xml:space="preserve">37.2%</w:t>
            </w:r>
          </w:p>
        </w:tc>
      </w:tr>
      <w:tr>
        <w:tc>
          <w:tcPr>
            <w:tcW w:type="dxa" w:w="2000"/>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pPr>
              <w:jc w:val="left"/>
            </w:pPr>
            <w:r>
              <w:rPr>
                <w:rFonts w:ascii="Arial" w:cs="Arial" w:eastAsia="Arial" w:hAnsi="Arial"/>
                <w:sz w:val="20"/>
                <w:szCs w:val="20"/>
              </w:rPr>
              <w:t xml:space="preserve">Jan 2011</w:t>
            </w:r>
          </w:p>
        </w:tc>
        <w:tc>
          <w:tcPr>
            <w:tcW w:type="dxa" w:w="1476"/>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pPr>
              <w:jc w:val="center"/>
            </w:pPr>
            <w:r>
              <w:rPr>
                <w:rFonts w:ascii="Arial" w:cs="Arial" w:eastAsia="Arial" w:hAnsi="Arial"/>
                <w:sz w:val="20"/>
                <w:szCs w:val="20"/>
              </w:rPr>
              <w:t xml:space="preserve">100%</w:t>
            </w:r>
          </w:p>
        </w:tc>
        <w:tc>
          <w:tcPr>
            <w:tcW w:type="dxa" w:w="1476"/>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pPr>
              <w:jc w:val="center"/>
            </w:pPr>
            <w:r>
              <w:rPr>
                <w:rFonts w:ascii="Arial" w:cs="Arial" w:eastAsia="Arial" w:hAnsi="Arial"/>
                <w:sz w:val="20"/>
                <w:szCs w:val="20"/>
              </w:rPr>
              <w:t xml:space="preserve">19.8%</w:t>
            </w:r>
          </w:p>
        </w:tc>
        <w:tc>
          <w:tcPr>
            <w:tcW w:type="dxa" w:w="1476"/>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pPr>
              <w:jc w:val="center"/>
            </w:pPr>
            <w:r>
              <w:rPr>
                <w:rFonts w:ascii="Arial" w:cs="Arial" w:eastAsia="Arial" w:hAnsi="Arial"/>
                <w:sz w:val="20"/>
                <w:szCs w:val="20"/>
              </w:rPr>
              <w:t xml:space="preserve">26.6%</w:t>
            </w:r>
          </w:p>
        </w:tc>
        <w:tc>
          <w:tcPr>
            <w:tcW w:type="dxa" w:w="1476"/>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pPr>
              <w:jc w:val="center"/>
            </w:pPr>
            <w:r>
              <w:rPr>
                <w:rFonts w:ascii="Arial" w:cs="Arial" w:eastAsia="Arial" w:hAnsi="Arial"/>
                <w:sz w:val="20"/>
                <w:szCs w:val="20"/>
              </w:rPr>
              <w:t xml:space="preserve">19.3%</w:t>
            </w:r>
          </w:p>
        </w:tc>
        <w:tc>
          <w:tcPr>
            <w:tcW w:type="dxa" w:w="1456"/>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pPr>
              <w:jc w:val="center"/>
            </w:pPr>
            <w:r>
              <w:rPr>
                <w:rFonts w:ascii="Arial" w:cs="Arial" w:eastAsia="Arial" w:hAnsi="Arial"/>
                <w:sz w:val="20"/>
                <w:szCs w:val="20"/>
              </w:rPr>
              <w:t xml:space="preserve">23.0%</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Feb 2011</w:t>
            </w:r>
          </w:p>
        </w:tc>
        <w:tc>
          <w:tcPr>
            <w:tcW w:type="dxa" w:w="1476"/>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pPr>
              <w:jc w:val="center"/>
            </w:pPr>
            <w:r>
              <w:rPr>
                <w:rFonts w:ascii="Arial" w:cs="Arial" w:eastAsia="Arial" w:hAnsi="Arial"/>
                <w:sz w:val="20"/>
                <w:szCs w:val="20"/>
              </w:rPr>
              <w:t xml:space="preserve">100%</w:t>
            </w:r>
          </w:p>
        </w:tc>
        <w:tc>
          <w:tcPr>
            <w:tcW w:type="dxa" w:w="1476"/>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pPr>
              <w:jc w:val="center"/>
            </w:pPr>
            <w:r>
              <w:rPr>
                <w:rFonts w:ascii="Arial" w:cs="Arial" w:eastAsia="Arial" w:hAnsi="Arial"/>
                <w:sz w:val="20"/>
                <w:szCs w:val="20"/>
              </w:rPr>
              <w:t xml:space="preserve">17.5%</w:t>
            </w:r>
          </w:p>
        </w:tc>
        <w:tc>
          <w:tcPr>
            <w:tcW w:type="dxa" w:w="1476"/>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pPr>
              <w:jc w:val="center"/>
            </w:pPr>
            <w:r>
              <w:rPr>
                <w:rFonts w:ascii="Arial" w:cs="Arial" w:eastAsia="Arial" w:hAnsi="Arial"/>
                <w:sz w:val="20"/>
                <w:szCs w:val="20"/>
              </w:rPr>
              <w:t xml:space="preserve">16.6%</w:t>
            </w:r>
          </w:p>
        </w:tc>
        <w:tc>
          <w:tcPr>
            <w:tcW w:type="dxa" w:w="1476"/>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pPr>
              <w:jc w:val="center"/>
            </w:pPr>
            <w:r>
              <w:rPr>
                <w:rFonts w:ascii="Arial" w:cs="Arial" w:eastAsia="Arial" w:hAnsi="Arial"/>
                <w:sz w:val="20"/>
                <w:szCs w:val="20"/>
              </w:rPr>
              <w:t xml:space="preserve">21.0%</w:t>
            </w:r>
          </w:p>
        </w:tc>
        <w:tc>
          <w:tcPr>
            <w:tcW w:type="dxa" w:w="1456"/>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pPr>
              <w:jc w:val="center"/>
            </w:pPr>
            <w:r>
              <w:rPr>
                <w:rFonts w:ascii="Arial" w:cs="Arial" w:eastAsia="Arial" w:hAnsi="Arial"/>
                <w:sz w:val="20"/>
                <w:szCs w:val="20"/>
              </w:rPr>
              <w:t xml:space="preserve">22.6%</w:t>
            </w:r>
          </w:p>
        </w:tc>
      </w:tr>
      <w:tr>
        <w:tc>
          <w:tcPr>
            <w:tcW w:type="dxa" w:w="2000"/>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pPr>
              <w:jc w:val="left"/>
            </w:pPr>
            <w:r>
              <w:rPr>
                <w:rFonts w:ascii="Arial" w:cs="Arial" w:eastAsia="Arial" w:hAnsi="Arial"/>
                <w:sz w:val="20"/>
                <w:szCs w:val="20"/>
              </w:rPr>
              <w:t xml:space="preserve">Mar 2011</w:t>
            </w:r>
          </w:p>
        </w:tc>
        <w:tc>
          <w:tcPr>
            <w:tcW w:type="dxa" w:w="1476"/>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pPr>
              <w:jc w:val="center"/>
            </w:pPr>
            <w:r>
              <w:rPr>
                <w:rFonts w:ascii="Arial" w:cs="Arial" w:eastAsia="Arial" w:hAnsi="Arial"/>
                <w:sz w:val="20"/>
                <w:szCs w:val="20"/>
              </w:rPr>
              <w:t xml:space="preserve">100%</w:t>
            </w:r>
          </w:p>
        </w:tc>
        <w:tc>
          <w:tcPr>
            <w:tcW w:type="dxa" w:w="1476"/>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pPr>
              <w:jc w:val="center"/>
            </w:pPr>
            <w:r>
              <w:rPr>
                <w:rFonts w:ascii="Arial" w:cs="Arial" w:eastAsia="Arial" w:hAnsi="Arial"/>
                <w:sz w:val="20"/>
                <w:szCs w:val="20"/>
              </w:rPr>
              <w:t xml:space="preserve">11.2%</w:t>
            </w:r>
          </w:p>
        </w:tc>
        <w:tc>
          <w:tcPr>
            <w:tcW w:type="dxa" w:w="1476"/>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pPr>
              <w:jc w:val="center"/>
            </w:pPr>
            <w:r>
              <w:rPr>
                <w:rFonts w:ascii="Arial" w:cs="Arial" w:eastAsia="Arial" w:hAnsi="Arial"/>
                <w:sz w:val="20"/>
                <w:szCs w:val="20"/>
              </w:rPr>
              <w:t xml:space="preserve">20.1%</w:t>
            </w:r>
          </w:p>
        </w:tc>
        <w:tc>
          <w:tcPr>
            <w:tcW w:type="dxa" w:w="1476"/>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pPr>
              <w:jc w:val="center"/>
            </w:pPr>
            <w:r>
              <w:rPr>
                <w:rFonts w:ascii="Arial" w:cs="Arial" w:eastAsia="Arial" w:hAnsi="Arial"/>
                <w:sz w:val="20"/>
                <w:szCs w:val="20"/>
              </w:rPr>
              <w:t xml:space="preserve">17.2%</w:t>
            </w:r>
          </w:p>
        </w:tc>
        <w:tc>
          <w:tcPr>
            <w:tcW w:type="dxa" w:w="1456"/>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pPr>
              <w:jc w:val="center"/>
            </w:pPr>
            <w:r>
              <w:rPr>
                <w:rFonts w:ascii="Arial" w:cs="Arial" w:eastAsia="Arial" w:hAnsi="Arial"/>
                <w:sz w:val="20"/>
                <w:szCs w:val="20"/>
              </w:rPr>
              <w:t xml:space="preserve">14.4%</w:t>
            </w:r>
          </w:p>
        </w:tc>
      </w:tr>
    </w:tbl>
    <w:p>
      <w:pPr>
        <w:spacing w:before="80" w:after="80"/>
      </w:pPr>
      <w:r>
        <w:t xml:space="preserve"/>
      </w:r>
    </w:p>
    <w:p>
      <w:pPr>
        <w:pStyle w:val="ListParagraph"/>
        <w:numPr>
          <w:ilvl w:val="0"/>
          <w:numId w:val="2"/>
        </w:numPr>
        <w:spacing w:before="60" w:after="60"/>
      </w:pPr>
      <w:r>
        <w:rPr>
          <w:rFonts w:ascii="Arial" w:cs="Arial" w:eastAsia="Arial" w:hAnsi="Arial"/>
          <w:sz w:val="22"/>
          <w:szCs w:val="22"/>
        </w:rPr>
        <w:t xml:space="preserve">The December 2010 cohort (oldest) shows the highest retention, likely reflecting a mature loyal base built over the retailer's earlier trading period.</w:t>
      </w:r>
    </w:p>
    <w:p>
      <w:pPr>
        <w:pStyle w:val="ListParagraph"/>
        <w:numPr>
          <w:ilvl w:val="0"/>
          <w:numId w:val="2"/>
        </w:numPr>
        <w:spacing w:before="60" w:after="60"/>
      </w:pPr>
      <w:r>
        <w:rPr>
          <w:rFonts w:ascii="Arial" w:cs="Arial" w:eastAsia="Arial" w:hAnsi="Arial"/>
          <w:sz w:val="22"/>
          <w:szCs w:val="22"/>
        </w:rPr>
        <w:t xml:space="preserve">All cohorts show a steep drop after Month 1 (typically to 11–35%). This is common in e-commerce and underscores the importance of an effective onboarding sequence.</w:t>
      </w:r>
    </w:p>
    <w:p>
      <w:pPr>
        <w:pStyle w:val="ListParagraph"/>
        <w:numPr>
          <w:ilvl w:val="0"/>
          <w:numId w:val="2"/>
        </w:numPr>
        <w:spacing w:before="60" w:after="60"/>
      </w:pPr>
      <w:r>
        <w:rPr>
          <w:rFonts w:ascii="Arial" w:cs="Arial" w:eastAsia="Arial" w:hAnsi="Arial"/>
          <w:sz w:val="22"/>
          <w:szCs w:val="22"/>
        </w:rPr>
        <w:t xml:space="preserve">Retention stabilises and often improves slightly by Months 5–7 for the largest cohorts, suggesting a loyal sub-segment self-selects over time.</w:t>
      </w:r>
    </w:p>
    <w:p>
      <w:pPr>
        <w:pStyle w:val="ListParagraph"/>
        <w:numPr>
          <w:ilvl w:val="0"/>
          <w:numId w:val="2"/>
        </w:numPr>
        <w:spacing w:before="60" w:after="60"/>
      </w:pPr>
      <w:r>
        <w:rPr>
          <w:rFonts w:ascii="Arial" w:cs="Arial" w:eastAsia="Arial" w:hAnsi="Arial"/>
          <w:sz w:val="22"/>
          <w:szCs w:val="22"/>
        </w:rPr>
        <w:t xml:space="preserve">Newer cohorts (post-March 2011) show lower early retention, potentially indicating a change in acquisition channel or product mix.</w:t>
      </w:r>
    </w:p>
    <w:p>
      <w:pPr>
        <w:spacing w:before="80" w:after="80"/>
      </w:pPr>
      <w:r>
        <w:t xml:space="preserve"/>
      </w:r>
    </w:p>
    <w:p>
      <w:pPr>
        <w:spacing w:before="80" w:after="80"/>
      </w:pPr>
      <w:r>
        <w:rPr>
          <w:rFonts w:ascii="Arial" w:cs="Arial" w:eastAsia="Arial" w:hAnsi="Arial"/>
          <w:sz w:val="22"/>
          <w:szCs w:val="22"/>
        </w:rPr>
        <w:t xml:space="preserve">Recommendation: implement post-purchase email flows and loyalty incentives within the first 30–60 days to improve Month-2 retention across all cohorts.</w:t>
      </w:r>
    </w:p>
    <w:p>
      <w:pPr>
        <w:spacing w:before="80" w:after="80"/>
      </w:pPr>
      <w:r>
        <w:t xml:space="preserve"/>
      </w:r>
    </w:p>
    <w:p>
      <w:pPr>
        <w:pStyle w:val="Heading1"/>
        <w:pBdr>
          <w:bottom w:val="single" w:color="2563EB" w:sz="6" w:space="4"/>
        </w:pBdr>
        <w:spacing w:before="400" w:after="200"/>
      </w:pPr>
      <w:r>
        <w:rPr>
          <w:rFonts w:ascii="Arial" w:cs="Arial" w:eastAsia="Arial" w:hAnsi="Arial"/>
          <w:b/>
          <w:bCs/>
          <w:color w:val="1E3A5F"/>
          <w:sz w:val="32"/>
          <w:szCs w:val="32"/>
        </w:rPr>
        <w:t xml:space="preserve">5. Market Basket Analysis (Association Rules)</w:t>
      </w:r>
    </w:p>
    <w:p>
      <w:pPr>
        <w:pStyle w:val="Heading2"/>
        <w:spacing w:before="300" w:after="160"/>
      </w:pPr>
      <w:r>
        <w:rPr>
          <w:rFonts w:ascii="Arial" w:cs="Arial" w:eastAsia="Arial" w:hAnsi="Arial"/>
          <w:b/>
          <w:bCs/>
          <w:color w:val="2563EB"/>
          <w:sz w:val="26"/>
          <w:szCs w:val="26"/>
        </w:rPr>
        <w:t xml:space="preserve">5.1 Methodology</w:t>
      </w:r>
    </w:p>
    <w:p>
      <w:pPr>
        <w:spacing w:before="80" w:after="80"/>
      </w:pPr>
      <w:r>
        <w:rPr>
          <w:rFonts w:ascii="Arial" w:cs="Arial" w:eastAsia="Arial" w:hAnsi="Arial"/>
          <w:sz w:val="22"/>
          <w:szCs w:val="22"/>
        </w:rPr>
        <w:t xml:space="preserve">Market basket analysis identifies products frequently purchased together using the Apriori algorithm (mlxtend library). A binary basket matrix was constructed at the invoice level, and frequent itemsets were mined at a minimum support threshold of 2% (item combination must appear in at least 2% of all baskets). Association rules were then generated filtering for lift &gt; 1.</w:t>
      </w:r>
    </w:p>
    <w:p>
      <w:pPr>
        <w:spacing w:before="80" w:after="80"/>
      </w:pPr>
      <w:r>
        <w:t xml:space="preserve"/>
      </w:r>
    </w:p>
    <w:p>
      <w:pPr>
        <w:pStyle w:val="Heading2"/>
        <w:spacing w:before="300" w:after="160"/>
      </w:pPr>
      <w:r>
        <w:rPr>
          <w:rFonts w:ascii="Arial" w:cs="Arial" w:eastAsia="Arial" w:hAnsi="Arial"/>
          <w:b/>
          <w:bCs/>
          <w:color w:val="2563EB"/>
          <w:sz w:val="26"/>
          <w:szCs w:val="26"/>
        </w:rPr>
        <w:t xml:space="preserve">5.2 Top Association Rules by Lift</w:t>
      </w:r>
    </w:p>
    <w:p>
      <w:pPr>
        <w:spacing w:before="80" w:after="80"/>
      </w:pPr>
      <w:r>
        <w:rPr>
          <w:rFonts w:ascii="Arial" w:cs="Arial" w:eastAsia="Arial" w:hAnsi="Arial"/>
          <w:sz w:val="22"/>
          <w:szCs w:val="22"/>
        </w:rPr>
        <w:t xml:space="preserve">Lift measures how much more likely two items are purchased together than by chance. Lift &gt; 1 indicates a positive association; higher values indicate stronger co-purchase signals.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3400"/>
        <w:gridCol w:w="2160"/>
      </w:tblGrid>
      <w:tr>
        <w:trPr>
          <w:tblHeader/>
        </w:trPr>
        <w:tc>
          <w:tcPr>
            <w:tcW w:type="dxa" w:w="3800"/>
            <w:tcBorders>
              <w:top w:val="single" w:color="D1D5DB" w:sz="1"/>
              <w:left w:val="single" w:color="D1D5DB" w:sz="1"/>
              <w:bottom w:val="single" w:color="D1D5DB" w:sz="1"/>
              <w:right w:val="single" w:color="D1D5DB" w:sz="1"/>
            </w:tcBorders>
            <w:shd w:fill="1E3A5F"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Antecedent</w:t>
            </w:r>
          </w:p>
        </w:tc>
        <w:tc>
          <w:tcPr>
            <w:tcW w:type="dxa" w:w="3400"/>
            <w:tcBorders>
              <w:top w:val="single" w:color="D1D5DB" w:sz="1"/>
              <w:left w:val="single" w:color="D1D5DB" w:sz="1"/>
              <w:bottom w:val="single" w:color="D1D5DB" w:sz="1"/>
              <w:right w:val="single" w:color="D1D5DB" w:sz="1"/>
            </w:tcBorders>
            <w:shd w:fill="1E3A5F"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Consequent</w:t>
            </w:r>
          </w:p>
        </w:tc>
        <w:tc>
          <w:tcPr>
            <w:tcW w:type="dxa" w:w="2160"/>
            <w:tcBorders>
              <w:top w:val="single" w:color="D1D5DB" w:sz="1"/>
              <w:left w:val="single" w:color="D1D5DB" w:sz="1"/>
              <w:bottom w:val="single" w:color="D1D5DB" w:sz="1"/>
              <w:right w:val="single" w:color="D1D5DB" w:sz="1"/>
            </w:tcBorders>
            <w:shd w:fill="1E3A5F"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Lift</w:t>
            </w:r>
          </w:p>
        </w:tc>
      </w:tr>
      <w:tr>
        <w:tc>
          <w:tcPr>
            <w:tcW w:type="dxa" w:w="38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GREEN REGENCY TEACUP AND SAUCER</w:t>
            </w:r>
          </w:p>
        </w:tc>
        <w:tc>
          <w:tcPr>
            <w:tcW w:type="dxa" w:w="34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pPr>
              <w:jc w:val="center"/>
            </w:pPr>
            <w:r>
              <w:rPr>
                <w:rFonts w:ascii="Arial" w:cs="Arial" w:eastAsia="Arial" w:hAnsi="Arial"/>
                <w:sz w:val="20"/>
                <w:szCs w:val="20"/>
              </w:rPr>
              <w:t xml:space="preserve">ROSES + PINK REGENCY TEACUPS</w:t>
            </w:r>
          </w:p>
        </w:tc>
        <w:tc>
          <w:tcPr>
            <w:tcW w:type="dxa" w:w="216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pPr>
              <w:jc w:val="center"/>
            </w:pPr>
            <w:r>
              <w:rPr>
                <w:rFonts w:ascii="Arial" w:cs="Arial" w:eastAsia="Arial" w:hAnsi="Arial"/>
                <w:sz w:val="20"/>
                <w:szCs w:val="20"/>
              </w:rPr>
              <w:t xml:space="preserve">&gt;4.0</w:t>
            </w:r>
          </w:p>
        </w:tc>
      </w:tr>
      <w:tr>
        <w:tc>
          <w:tcPr>
            <w:tcW w:type="dxa" w:w="3800"/>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pPr>
              <w:jc w:val="left"/>
            </w:pPr>
            <w:r>
              <w:rPr>
                <w:rFonts w:ascii="Arial" w:cs="Arial" w:eastAsia="Arial" w:hAnsi="Arial"/>
                <w:sz w:val="20"/>
                <w:szCs w:val="20"/>
              </w:rPr>
              <w:t xml:space="preserve">ROSES + PINK REGENCY TEACUP AND SAUCER</w:t>
            </w:r>
          </w:p>
        </w:tc>
        <w:tc>
          <w:tcPr>
            <w:tcW w:type="dxa" w:w="3400"/>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pPr>
              <w:jc w:val="center"/>
            </w:pPr>
            <w:r>
              <w:rPr>
                <w:rFonts w:ascii="Arial" w:cs="Arial" w:eastAsia="Arial" w:hAnsi="Arial"/>
                <w:sz w:val="20"/>
                <w:szCs w:val="20"/>
              </w:rPr>
              <w:t xml:space="preserve">GREEN REGENCY TEACUP</w:t>
            </w:r>
          </w:p>
        </w:tc>
        <w:tc>
          <w:tcPr>
            <w:tcW w:type="dxa" w:w="2160"/>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pPr>
              <w:jc w:val="center"/>
            </w:pPr>
            <w:r>
              <w:rPr>
                <w:rFonts w:ascii="Arial" w:cs="Arial" w:eastAsia="Arial" w:hAnsi="Arial"/>
                <w:sz w:val="20"/>
                <w:szCs w:val="20"/>
              </w:rPr>
              <w:t xml:space="preserve">&gt;4.0</w:t>
            </w:r>
          </w:p>
        </w:tc>
      </w:tr>
      <w:tr>
        <w:tc>
          <w:tcPr>
            <w:tcW w:type="dxa" w:w="38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PINK REGENCY TEACUP AND SAUCER</w:t>
            </w:r>
          </w:p>
        </w:tc>
        <w:tc>
          <w:tcPr>
            <w:tcW w:type="dxa" w:w="34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pPr>
              <w:jc w:val="center"/>
            </w:pPr>
            <w:r>
              <w:rPr>
                <w:rFonts w:ascii="Arial" w:cs="Arial" w:eastAsia="Arial" w:hAnsi="Arial"/>
                <w:sz w:val="20"/>
                <w:szCs w:val="20"/>
              </w:rPr>
              <w:t xml:space="preserve">ROSES + GREEN REGENCY TEACUPS</w:t>
            </w:r>
          </w:p>
        </w:tc>
        <w:tc>
          <w:tcPr>
            <w:tcW w:type="dxa" w:w="216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pPr>
              <w:jc w:val="center"/>
            </w:pPr>
            <w:r>
              <w:rPr>
                <w:rFonts w:ascii="Arial" w:cs="Arial" w:eastAsia="Arial" w:hAnsi="Arial"/>
                <w:sz w:val="20"/>
                <w:szCs w:val="20"/>
              </w:rPr>
              <w:t xml:space="preserve">&gt;4.0</w:t>
            </w:r>
          </w:p>
        </w:tc>
      </w:tr>
      <w:tr>
        <w:tc>
          <w:tcPr>
            <w:tcW w:type="dxa" w:w="3800"/>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pPr>
              <w:jc w:val="left"/>
            </w:pPr>
            <w:r>
              <w:rPr>
                <w:rFonts w:ascii="Arial" w:cs="Arial" w:eastAsia="Arial" w:hAnsi="Arial"/>
                <w:sz w:val="20"/>
                <w:szCs w:val="20"/>
              </w:rPr>
              <w:t xml:space="preserve">ROSES + GREEN REGENCY TEACUP AND SAUCER</w:t>
            </w:r>
          </w:p>
        </w:tc>
        <w:tc>
          <w:tcPr>
            <w:tcW w:type="dxa" w:w="3400"/>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pPr>
              <w:jc w:val="center"/>
            </w:pPr>
            <w:r>
              <w:rPr>
                <w:rFonts w:ascii="Arial" w:cs="Arial" w:eastAsia="Arial" w:hAnsi="Arial"/>
                <w:sz w:val="20"/>
                <w:szCs w:val="20"/>
              </w:rPr>
              <w:t xml:space="preserve">PINK REGENCY TEACUP</w:t>
            </w:r>
          </w:p>
        </w:tc>
        <w:tc>
          <w:tcPr>
            <w:tcW w:type="dxa" w:w="2160"/>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pPr>
              <w:jc w:val="center"/>
            </w:pPr>
            <w:r>
              <w:rPr>
                <w:rFonts w:ascii="Arial" w:cs="Arial" w:eastAsia="Arial" w:hAnsi="Arial"/>
                <w:sz w:val="20"/>
                <w:szCs w:val="20"/>
              </w:rPr>
              <w:t xml:space="preserve">&gt;4.0</w:t>
            </w:r>
          </w:p>
        </w:tc>
      </w:tr>
      <w:tr>
        <w:tc>
          <w:tcPr>
            <w:tcW w:type="dxa" w:w="38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PINK REGENCY TEACUP AND SAUCER</w:t>
            </w:r>
          </w:p>
        </w:tc>
        <w:tc>
          <w:tcPr>
            <w:tcW w:type="dxa" w:w="34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pPr>
              <w:jc w:val="center"/>
            </w:pPr>
            <w:r>
              <w:rPr>
                <w:rFonts w:ascii="Arial" w:cs="Arial" w:eastAsia="Arial" w:hAnsi="Arial"/>
                <w:sz w:val="20"/>
                <w:szCs w:val="20"/>
              </w:rPr>
              <w:t xml:space="preserve">GREEN REGENCY TEACUP AND SAUCER</w:t>
            </w:r>
          </w:p>
        </w:tc>
        <w:tc>
          <w:tcPr>
            <w:tcW w:type="dxa" w:w="216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pPr>
              <w:jc w:val="center"/>
            </w:pPr>
            <w:r>
              <w:rPr>
                <w:rFonts w:ascii="Arial" w:cs="Arial" w:eastAsia="Arial" w:hAnsi="Arial"/>
                <w:sz w:val="20"/>
                <w:szCs w:val="20"/>
              </w:rPr>
              <w:t xml:space="preserve">&gt;4.0</w:t>
            </w:r>
          </w:p>
        </w:tc>
      </w:tr>
    </w:tbl>
    <w:p>
      <w:pPr>
        <w:spacing w:before="80" w:after="80"/>
      </w:pPr>
      <w:r>
        <w:t xml:space="preserve"/>
      </w:r>
    </w:p>
    <w:p>
      <w:pPr>
        <w:spacing w:before="80" w:after="80"/>
      </w:pPr>
      <w:r>
        <w:rPr>
          <w:rFonts w:ascii="Arial" w:cs="Arial" w:eastAsia="Arial" w:hAnsi="Arial"/>
          <w:sz w:val="22"/>
          <w:szCs w:val="22"/>
        </w:rPr>
        <w:t xml:space="preserve">The Regency Teacup collection (three colour variants: Pink, Green, Roses) dominates the top association rules. Customers purchasing any one variant have a greater than 4x likelihood of buying the other variants in the same or a subsequent basket.</w:t>
      </w:r>
    </w:p>
    <w:p>
      <w:pPr>
        <w:spacing w:before="80" w:after="80"/>
      </w:pPr>
      <w:r>
        <w:t xml:space="preserve"/>
      </w:r>
    </w:p>
    <w:p>
      <w:pPr>
        <w:spacing w:before="80" w:after="80"/>
      </w:pPr>
      <w:r>
        <w:rPr>
          <w:rFonts w:ascii="Arial" w:cs="Arial" w:eastAsia="Arial" w:hAnsi="Arial"/>
          <w:sz w:val="22"/>
          <w:szCs w:val="22"/>
        </w:rPr>
        <w:t xml:space="preserve">Recommendation: bundle the three Regency Teacup variants as a discounted set, surface them as "Frequently Bought Together" on product pages, and use them as cross-sell prompts in post-purchase email automations.</w:t>
      </w:r>
    </w:p>
    <w:p>
      <w:pPr>
        <w:spacing w:before="80" w:after="80"/>
      </w:pPr>
      <w:r>
        <w:t xml:space="preserve"/>
      </w:r>
    </w:p>
    <w:p>
      <w:r>
        <w:br w:type="page"/>
      </w:r>
    </w:p>
    <w:p>
      <w:pPr>
        <w:pStyle w:val="Heading1"/>
        <w:pBdr>
          <w:bottom w:val="single" w:color="2563EB" w:sz="6" w:space="4"/>
        </w:pBdr>
        <w:spacing w:before="400" w:after="200"/>
      </w:pPr>
      <w:r>
        <w:rPr>
          <w:rFonts w:ascii="Arial" w:cs="Arial" w:eastAsia="Arial" w:hAnsi="Arial"/>
          <w:b/>
          <w:bCs/>
          <w:color w:val="1E3A5F"/>
          <w:sz w:val="32"/>
          <w:szCs w:val="32"/>
        </w:rPr>
        <w:t xml:space="preserve">6. Customer Lifetime Value (CLV) Modelling</w:t>
      </w:r>
    </w:p>
    <w:p>
      <w:pPr>
        <w:pStyle w:val="Heading2"/>
        <w:spacing w:before="300" w:after="160"/>
      </w:pPr>
      <w:r>
        <w:rPr>
          <w:rFonts w:ascii="Arial" w:cs="Arial" w:eastAsia="Arial" w:hAnsi="Arial"/>
          <w:b/>
          <w:bCs/>
          <w:color w:val="2563EB"/>
          <w:sz w:val="26"/>
          <w:szCs w:val="26"/>
        </w:rPr>
        <w:t xml:space="preserve">6.1 Methodology</w:t>
      </w:r>
    </w:p>
    <w:p>
      <w:pPr>
        <w:spacing w:before="80" w:after="80"/>
      </w:pPr>
      <w:r>
        <w:rPr>
          <w:rFonts w:ascii="Arial" w:cs="Arial" w:eastAsia="Arial" w:hAnsi="Arial"/>
          <w:sz w:val="22"/>
          <w:szCs w:val="22"/>
        </w:rPr>
        <w:t xml:space="preserve">CLV was estimated using a two-stage probabilistic framework via the lifetimes library:</w:t>
      </w:r>
    </w:p>
    <w:p>
      <w:pPr>
        <w:pStyle w:val="ListParagraph"/>
        <w:numPr>
          <w:ilvl w:val="0"/>
          <w:numId w:val="2"/>
        </w:numPr>
        <w:spacing w:before="60" w:after="60"/>
      </w:pPr>
      <w:r>
        <w:rPr>
          <w:rFonts w:ascii="Arial" w:cs="Arial" w:eastAsia="Arial" w:hAnsi="Arial"/>
          <w:sz w:val="22"/>
          <w:szCs w:val="22"/>
        </w:rPr>
        <w:t xml:space="preserve">BG/NBD Model (Beta-Geometric / Negative Binomial Distribution): models the probability that a customer is still active and predicts their expected future purchase frequency.</w:t>
      </w:r>
    </w:p>
    <w:p>
      <w:pPr>
        <w:pStyle w:val="ListParagraph"/>
        <w:numPr>
          <w:ilvl w:val="0"/>
          <w:numId w:val="2"/>
        </w:numPr>
        <w:spacing w:before="60" w:after="60"/>
      </w:pPr>
      <w:r>
        <w:rPr>
          <w:rFonts w:ascii="Arial" w:cs="Arial" w:eastAsia="Arial" w:hAnsi="Arial"/>
          <w:sz w:val="22"/>
          <w:szCs w:val="22"/>
        </w:rPr>
        <w:t xml:space="preserve">Gamma-Gamma Model: given that a customer is active, estimates their expected average transaction value.</w:t>
      </w:r>
    </w:p>
    <w:p>
      <w:pPr>
        <w:spacing w:before="80" w:after="80"/>
      </w:pPr>
      <w:r>
        <w:t xml:space="preserve"/>
      </w:r>
    </w:p>
    <w:p>
      <w:pPr>
        <w:spacing w:before="80" w:after="80"/>
      </w:pPr>
      <w:r>
        <w:rPr>
          <w:rFonts w:ascii="Arial" w:cs="Arial" w:eastAsia="Arial" w:hAnsi="Arial"/>
          <w:sz w:val="22"/>
          <w:szCs w:val="22"/>
        </w:rPr>
        <w:t xml:space="preserve">Model inputs (from summary_data_from_transaction_data):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rPr>
          <w:tblHeader/>
        </w:trPr>
        <w:tc>
          <w:tcPr>
            <w:tcW w:type="dxa" w:w="2340"/>
            <w:tcBorders>
              <w:top w:val="single" w:color="D1D5DB" w:sz="1"/>
              <w:left w:val="single" w:color="D1D5DB" w:sz="1"/>
              <w:bottom w:val="single" w:color="D1D5DB" w:sz="1"/>
              <w:right w:val="single" w:color="D1D5DB" w:sz="1"/>
            </w:tcBorders>
            <w:shd w:fill="1E3A5F"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Variable</w:t>
            </w:r>
          </w:p>
        </w:tc>
        <w:tc>
          <w:tcPr>
            <w:tcW w:type="dxa" w:w="7020"/>
            <w:tcBorders>
              <w:top w:val="single" w:color="D1D5DB" w:sz="1"/>
              <w:left w:val="single" w:color="D1D5DB" w:sz="1"/>
              <w:bottom w:val="single" w:color="D1D5DB" w:sz="1"/>
              <w:right w:val="single" w:color="D1D5DB" w:sz="1"/>
            </w:tcBorders>
            <w:shd w:fill="1E3A5F"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Description</w:t>
            </w:r>
          </w:p>
        </w:tc>
      </w:tr>
      <w:tr>
        <w:tc>
          <w:tcPr>
            <w:tcW w:type="dxa" w:w="234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frequency</w:t>
            </w:r>
          </w:p>
        </w:tc>
        <w:tc>
          <w:tcPr>
            <w:tcW w:type="dxa" w:w="702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pPr>
              <w:jc w:val="center"/>
            </w:pPr>
            <w:r>
              <w:rPr>
                <w:rFonts w:ascii="Arial" w:cs="Arial" w:eastAsia="Arial" w:hAnsi="Arial"/>
                <w:sz w:val="20"/>
                <w:szCs w:val="20"/>
              </w:rPr>
              <w:t xml:space="preserve">Number of repeat transactions (total purchases minus 1)</w:t>
            </w:r>
          </w:p>
        </w:tc>
      </w:tr>
      <w:tr>
        <w:tc>
          <w:tcPr>
            <w:tcW w:type="dxa" w:w="2340"/>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pPr>
              <w:jc w:val="left"/>
            </w:pPr>
            <w:r>
              <w:rPr>
                <w:rFonts w:ascii="Arial" w:cs="Arial" w:eastAsia="Arial" w:hAnsi="Arial"/>
                <w:sz w:val="20"/>
                <w:szCs w:val="20"/>
              </w:rPr>
              <w:t xml:space="preserve">recency</w:t>
            </w:r>
          </w:p>
        </w:tc>
        <w:tc>
          <w:tcPr>
            <w:tcW w:type="dxa" w:w="7020"/>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pPr>
              <w:jc w:val="center"/>
            </w:pPr>
            <w:r>
              <w:rPr>
                <w:rFonts w:ascii="Arial" w:cs="Arial" w:eastAsia="Arial" w:hAnsi="Arial"/>
                <w:sz w:val="20"/>
                <w:szCs w:val="20"/>
              </w:rPr>
              <w:t xml:space="preserve">Days between first and last purchase</w:t>
            </w:r>
          </w:p>
        </w:tc>
      </w:tr>
      <w:tr>
        <w:tc>
          <w:tcPr>
            <w:tcW w:type="dxa" w:w="234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T</w:t>
            </w:r>
          </w:p>
        </w:tc>
        <w:tc>
          <w:tcPr>
            <w:tcW w:type="dxa" w:w="702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pPr>
              <w:jc w:val="center"/>
            </w:pPr>
            <w:r>
              <w:rPr>
                <w:rFonts w:ascii="Arial" w:cs="Arial" w:eastAsia="Arial" w:hAnsi="Arial"/>
                <w:sz w:val="20"/>
                <w:szCs w:val="20"/>
              </w:rPr>
              <w:t xml:space="preserve">Age of the customer (days since first purchase to observation end)</w:t>
            </w:r>
          </w:p>
        </w:tc>
      </w:tr>
      <w:tr>
        <w:tc>
          <w:tcPr>
            <w:tcW w:type="dxa" w:w="2340"/>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pPr>
              <w:jc w:val="left"/>
            </w:pPr>
            <w:r>
              <w:rPr>
                <w:rFonts w:ascii="Arial" w:cs="Arial" w:eastAsia="Arial" w:hAnsi="Arial"/>
                <w:sz w:val="20"/>
                <w:szCs w:val="20"/>
              </w:rPr>
              <w:t xml:space="preserve">monetary_value</w:t>
            </w:r>
          </w:p>
        </w:tc>
        <w:tc>
          <w:tcPr>
            <w:tcW w:type="dxa" w:w="7020"/>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pPr>
              <w:jc w:val="center"/>
            </w:pPr>
            <w:r>
              <w:rPr>
                <w:rFonts w:ascii="Arial" w:cs="Arial" w:eastAsia="Arial" w:hAnsi="Arial"/>
                <w:sz w:val="20"/>
                <w:szCs w:val="20"/>
              </w:rPr>
              <w:t xml:space="preserve">Average transaction value across repeat purchases</w:t>
            </w:r>
          </w:p>
        </w:tc>
      </w:tr>
    </w:tbl>
    <w:p>
      <w:pPr>
        <w:spacing w:before="80" w:after="80"/>
      </w:pPr>
      <w:r>
        <w:t xml:space="preserve"/>
      </w:r>
    </w:p>
    <w:p>
      <w:pPr>
        <w:spacing w:before="80" w:after="80"/>
      </w:pPr>
      <w:r>
        <w:rPr>
          <w:rFonts w:ascii="Arial" w:cs="Arial" w:eastAsia="Arial" w:hAnsi="Arial"/>
          <w:sz w:val="22"/>
          <w:szCs w:val="22"/>
        </w:rPr>
        <w:t xml:space="preserve">Model parameters: BG/NBD fitted on 3,480 customers (a=0.00, alpha=99.21, b=2112.95, r=0.87). Gamma-Gamma fitted on 1,868 customers with at least one repeat purchase (p=2.23, q=3.47, v=484.34). CLV was projected over a 6-month horizon with a 1% monthly discount rate.</w:t>
      </w:r>
    </w:p>
    <w:p>
      <w:pPr>
        <w:spacing w:before="80" w:after="80"/>
      </w:pPr>
      <w:r>
        <w:t xml:space="preserve"/>
      </w:r>
    </w:p>
    <w:p>
      <w:pPr>
        <w:pStyle w:val="Heading2"/>
        <w:spacing w:before="300" w:after="160"/>
      </w:pPr>
      <w:r>
        <w:rPr>
          <w:rFonts w:ascii="Arial" w:cs="Arial" w:eastAsia="Arial" w:hAnsi="Arial"/>
          <w:b/>
          <w:bCs/>
          <w:color w:val="2563EB"/>
          <w:sz w:val="26"/>
          <w:szCs w:val="26"/>
        </w:rPr>
        <w:t xml:space="preserve">6.2 Top 5 Customers by Predicted 6-Month CLV</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500"/>
        <w:gridCol w:w="1800"/>
        <w:gridCol w:w="2200"/>
        <w:gridCol w:w="2160"/>
      </w:tblGrid>
      <w:tr>
        <w:trPr>
          <w:tblHeader/>
        </w:trPr>
        <w:tc>
          <w:tcPr>
            <w:tcW w:type="dxa" w:w="1700"/>
            <w:tcBorders>
              <w:top w:val="single" w:color="D1D5DB" w:sz="1"/>
              <w:left w:val="single" w:color="D1D5DB" w:sz="1"/>
              <w:bottom w:val="single" w:color="D1D5DB" w:sz="1"/>
              <w:right w:val="single" w:color="D1D5DB" w:sz="1"/>
            </w:tcBorders>
            <w:shd w:fill="1E3A5F"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Customer ID</w:t>
            </w:r>
          </w:p>
        </w:tc>
        <w:tc>
          <w:tcPr>
            <w:tcW w:type="dxa" w:w="1500"/>
            <w:tcBorders>
              <w:top w:val="single" w:color="D1D5DB" w:sz="1"/>
              <w:left w:val="single" w:color="D1D5DB" w:sz="1"/>
              <w:bottom w:val="single" w:color="D1D5DB" w:sz="1"/>
              <w:right w:val="single" w:color="D1D5DB" w:sz="1"/>
            </w:tcBorders>
            <w:shd w:fill="1E3A5F"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Frequency</w:t>
            </w:r>
          </w:p>
        </w:tc>
        <w:tc>
          <w:tcPr>
            <w:tcW w:type="dxa" w:w="1800"/>
            <w:tcBorders>
              <w:top w:val="single" w:color="D1D5DB" w:sz="1"/>
              <w:left w:val="single" w:color="D1D5DB" w:sz="1"/>
              <w:bottom w:val="single" w:color="D1D5DB" w:sz="1"/>
              <w:right w:val="single" w:color="D1D5DB" w:sz="1"/>
            </w:tcBorders>
            <w:shd w:fill="1E3A5F"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Recency (d)</w:t>
            </w:r>
          </w:p>
        </w:tc>
        <w:tc>
          <w:tcPr>
            <w:tcW w:type="dxa" w:w="2200"/>
            <w:tcBorders>
              <w:top w:val="single" w:color="D1D5DB" w:sz="1"/>
              <w:left w:val="single" w:color="D1D5DB" w:sz="1"/>
              <w:bottom w:val="single" w:color="D1D5DB" w:sz="1"/>
              <w:right w:val="single" w:color="D1D5DB" w:sz="1"/>
            </w:tcBorders>
            <w:shd w:fill="1E3A5F"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Avg. Transaction (£)</w:t>
            </w:r>
          </w:p>
        </w:tc>
        <w:tc>
          <w:tcPr>
            <w:tcW w:type="dxa" w:w="2160"/>
            <w:tcBorders>
              <w:top w:val="single" w:color="D1D5DB" w:sz="1"/>
              <w:left w:val="single" w:color="D1D5DB" w:sz="1"/>
              <w:bottom w:val="single" w:color="D1D5DB" w:sz="1"/>
              <w:right w:val="single" w:color="D1D5DB" w:sz="1"/>
            </w:tcBorders>
            <w:shd w:fill="1E3A5F"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Predicted CLV (£)</w:t>
            </w:r>
          </w:p>
        </w:tc>
      </w:tr>
      <w:tr>
        <w:tc>
          <w:tcPr>
            <w:tcW w:type="dxa" w:w="17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14646</w:t>
            </w:r>
          </w:p>
        </w:tc>
        <w:tc>
          <w:tcPr>
            <w:tcW w:type="dxa" w:w="15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pPr>
              <w:jc w:val="center"/>
            </w:pPr>
            <w:r>
              <w:rPr>
                <w:rFonts w:ascii="Arial" w:cs="Arial" w:eastAsia="Arial" w:hAnsi="Arial"/>
                <w:sz w:val="20"/>
                <w:szCs w:val="20"/>
              </w:rPr>
              <w:t xml:space="preserve">30</w:t>
            </w:r>
          </w:p>
        </w:tc>
        <w:tc>
          <w:tcPr>
            <w:tcW w:type="dxa" w:w="18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pPr>
              <w:jc w:val="center"/>
            </w:pPr>
            <w:r>
              <w:rPr>
                <w:rFonts w:ascii="Arial" w:cs="Arial" w:eastAsia="Arial" w:hAnsi="Arial"/>
                <w:sz w:val="20"/>
                <w:szCs w:val="20"/>
              </w:rPr>
              <w:t xml:space="preserve">338</w:t>
            </w:r>
          </w:p>
        </w:tc>
        <w:tc>
          <w:tcPr>
            <w:tcW w:type="dxa" w:w="22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pPr>
              <w:jc w:val="center"/>
            </w:pPr>
            <w:r>
              <w:rPr>
                <w:rFonts w:ascii="Arial" w:cs="Arial" w:eastAsia="Arial" w:hAnsi="Arial"/>
                <w:sz w:val="20"/>
                <w:szCs w:val="20"/>
              </w:rPr>
              <w:t xml:space="preserve">6,417.26</w:t>
            </w:r>
          </w:p>
        </w:tc>
        <w:tc>
          <w:tcPr>
            <w:tcW w:type="dxa" w:w="216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pPr>
              <w:jc w:val="center"/>
            </w:pPr>
            <w:r>
              <w:rPr>
                <w:rFonts w:ascii="Arial" w:cs="Arial" w:eastAsia="Arial" w:hAnsi="Arial"/>
                <w:sz w:val="20"/>
                <w:szCs w:val="20"/>
              </w:rPr>
              <w:t xml:space="preserve">74,961.59</w:t>
            </w:r>
          </w:p>
        </w:tc>
      </w:tr>
      <w:tr>
        <w:tc>
          <w:tcPr>
            <w:tcW w:type="dxa" w:w="1700"/>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pPr>
              <w:jc w:val="left"/>
            </w:pPr>
            <w:r>
              <w:rPr>
                <w:rFonts w:ascii="Arial" w:cs="Arial" w:eastAsia="Arial" w:hAnsi="Arial"/>
                <w:sz w:val="20"/>
                <w:szCs w:val="20"/>
              </w:rPr>
              <w:t xml:space="preserve">17450</w:t>
            </w:r>
          </w:p>
        </w:tc>
        <w:tc>
          <w:tcPr>
            <w:tcW w:type="dxa" w:w="1500"/>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pPr>
              <w:jc w:val="center"/>
            </w:pPr>
            <w:r>
              <w:rPr>
                <w:rFonts w:ascii="Arial" w:cs="Arial" w:eastAsia="Arial" w:hAnsi="Arial"/>
                <w:sz w:val="20"/>
                <w:szCs w:val="20"/>
              </w:rPr>
              <w:t xml:space="preserve">19</w:t>
            </w:r>
          </w:p>
        </w:tc>
        <w:tc>
          <w:tcPr>
            <w:tcW w:type="dxa" w:w="1800"/>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pPr>
              <w:jc w:val="center"/>
            </w:pPr>
            <w:r>
              <w:rPr>
                <w:rFonts w:ascii="Arial" w:cs="Arial" w:eastAsia="Arial" w:hAnsi="Arial"/>
                <w:sz w:val="20"/>
                <w:szCs w:val="20"/>
              </w:rPr>
              <w:t xml:space="preserve">250</w:t>
            </w:r>
          </w:p>
        </w:tc>
        <w:tc>
          <w:tcPr>
            <w:tcW w:type="dxa" w:w="2200"/>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pPr>
              <w:jc w:val="center"/>
            </w:pPr>
            <w:r>
              <w:rPr>
                <w:rFonts w:ascii="Arial" w:cs="Arial" w:eastAsia="Arial" w:hAnsi="Arial"/>
                <w:sz w:val="20"/>
                <w:szCs w:val="20"/>
              </w:rPr>
              <w:t xml:space="preserve">7,757.02</w:t>
            </w:r>
          </w:p>
        </w:tc>
        <w:tc>
          <w:tcPr>
            <w:tcW w:type="dxa" w:w="2160"/>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pPr>
              <w:jc w:val="center"/>
            </w:pPr>
            <w:r>
              <w:rPr>
                <w:rFonts w:ascii="Arial" w:cs="Arial" w:eastAsia="Arial" w:hAnsi="Arial"/>
                <w:sz w:val="20"/>
                <w:szCs w:val="20"/>
              </w:rPr>
              <w:t xml:space="preserve">72,538.58</w:t>
            </w:r>
          </w:p>
        </w:tc>
      </w:tr>
      <w:tr>
        <w:tc>
          <w:tcPr>
            <w:tcW w:type="dxa" w:w="17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18102</w:t>
            </w:r>
          </w:p>
        </w:tc>
        <w:tc>
          <w:tcPr>
            <w:tcW w:type="dxa" w:w="15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pPr>
              <w:jc w:val="center"/>
            </w:pPr>
            <w:r>
              <w:rPr>
                <w:rFonts w:ascii="Arial" w:cs="Arial" w:eastAsia="Arial" w:hAnsi="Arial"/>
                <w:sz w:val="20"/>
                <w:szCs w:val="20"/>
              </w:rPr>
              <w:t xml:space="preserve">11</w:t>
            </w:r>
          </w:p>
        </w:tc>
        <w:tc>
          <w:tcPr>
            <w:tcW w:type="dxa" w:w="18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pPr>
              <w:jc w:val="center"/>
            </w:pPr>
            <w:r>
              <w:rPr>
                <w:rFonts w:ascii="Arial" w:cs="Arial" w:eastAsia="Arial" w:hAnsi="Arial"/>
                <w:sz w:val="20"/>
                <w:szCs w:val="20"/>
              </w:rPr>
              <w:t xml:space="preserve">248</w:t>
            </w:r>
          </w:p>
        </w:tc>
        <w:tc>
          <w:tcPr>
            <w:tcW w:type="dxa" w:w="22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pPr>
              <w:jc w:val="center"/>
            </w:pPr>
            <w:r>
              <w:rPr>
                <w:rFonts w:ascii="Arial" w:cs="Arial" w:eastAsia="Arial" w:hAnsi="Arial"/>
                <w:sz w:val="20"/>
                <w:szCs w:val="20"/>
              </w:rPr>
              <w:t xml:space="preserve">10,744.63</w:t>
            </w:r>
          </w:p>
        </w:tc>
        <w:tc>
          <w:tcPr>
            <w:tcW w:type="dxa" w:w="216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pPr>
              <w:jc w:val="center"/>
            </w:pPr>
            <w:r>
              <w:rPr>
                <w:rFonts w:ascii="Arial" w:cs="Arial" w:eastAsia="Arial" w:hAnsi="Arial"/>
                <w:sz w:val="20"/>
                <w:szCs w:val="20"/>
              </w:rPr>
              <w:t xml:space="preserve">57,921.07</w:t>
            </w:r>
          </w:p>
        </w:tc>
      </w:tr>
      <w:tr>
        <w:tc>
          <w:tcPr>
            <w:tcW w:type="dxa" w:w="1700"/>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pPr>
              <w:jc w:val="left"/>
            </w:pPr>
            <w:r>
              <w:rPr>
                <w:rFonts w:ascii="Arial" w:cs="Arial" w:eastAsia="Arial" w:hAnsi="Arial"/>
                <w:sz w:val="20"/>
                <w:szCs w:val="20"/>
              </w:rPr>
              <w:t xml:space="preserve">14096</w:t>
            </w:r>
          </w:p>
        </w:tc>
        <w:tc>
          <w:tcPr>
            <w:tcW w:type="dxa" w:w="1500"/>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pPr>
              <w:jc w:val="center"/>
            </w:pPr>
            <w:r>
              <w:rPr>
                <w:rFonts w:ascii="Arial" w:cs="Arial" w:eastAsia="Arial" w:hAnsi="Arial"/>
                <w:sz w:val="20"/>
                <w:szCs w:val="20"/>
              </w:rPr>
              <w:t xml:space="preserve">10</w:t>
            </w:r>
          </w:p>
        </w:tc>
        <w:tc>
          <w:tcPr>
            <w:tcW w:type="dxa" w:w="1800"/>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pPr>
              <w:jc w:val="center"/>
            </w:pPr>
            <w:r>
              <w:rPr>
                <w:rFonts w:ascii="Arial" w:cs="Arial" w:eastAsia="Arial" w:hAnsi="Arial"/>
                <w:sz w:val="20"/>
                <w:szCs w:val="20"/>
              </w:rPr>
              <w:t xml:space="preserve">90</w:t>
            </w:r>
          </w:p>
        </w:tc>
        <w:tc>
          <w:tcPr>
            <w:tcW w:type="dxa" w:w="2200"/>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pPr>
              <w:jc w:val="center"/>
            </w:pPr>
            <w:r>
              <w:rPr>
                <w:rFonts w:ascii="Arial" w:cs="Arial" w:eastAsia="Arial" w:hAnsi="Arial"/>
                <w:sz w:val="20"/>
                <w:szCs w:val="20"/>
              </w:rPr>
              <w:t xml:space="preserve">4,534.43</w:t>
            </w:r>
          </w:p>
        </w:tc>
        <w:tc>
          <w:tcPr>
            <w:tcW w:type="dxa" w:w="2160"/>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pPr>
              <w:jc w:val="center"/>
            </w:pPr>
            <w:r>
              <w:rPr>
                <w:rFonts w:ascii="Arial" w:cs="Arial" w:eastAsia="Arial" w:hAnsi="Arial"/>
                <w:sz w:val="20"/>
                <w:szCs w:val="20"/>
              </w:rPr>
              <w:t xml:space="preserve">40,775.88</w:t>
            </w:r>
          </w:p>
        </w:tc>
      </w:tr>
      <w:tr>
        <w:tc>
          <w:tcPr>
            <w:tcW w:type="dxa" w:w="17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14911</w:t>
            </w:r>
          </w:p>
        </w:tc>
        <w:tc>
          <w:tcPr>
            <w:tcW w:type="dxa" w:w="15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pPr>
              <w:jc w:val="center"/>
            </w:pPr>
            <w:r>
              <w:rPr>
                <w:rFonts w:ascii="Arial" w:cs="Arial" w:eastAsia="Arial" w:hAnsi="Arial"/>
                <w:sz w:val="20"/>
                <w:szCs w:val="20"/>
              </w:rPr>
              <w:t xml:space="preserve">85</w:t>
            </w:r>
          </w:p>
        </w:tc>
        <w:tc>
          <w:tcPr>
            <w:tcW w:type="dxa" w:w="18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pPr>
              <w:jc w:val="center"/>
            </w:pPr>
            <w:r>
              <w:rPr>
                <w:rFonts w:ascii="Arial" w:cs="Arial" w:eastAsia="Arial" w:hAnsi="Arial"/>
                <w:sz w:val="20"/>
                <w:szCs w:val="20"/>
              </w:rPr>
              <w:t xml:space="preserve">349</w:t>
            </w:r>
          </w:p>
        </w:tc>
        <w:tc>
          <w:tcPr>
            <w:tcW w:type="dxa" w:w="22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pPr>
              <w:jc w:val="center"/>
            </w:pPr>
            <w:r>
              <w:rPr>
                <w:rFonts w:ascii="Arial" w:cs="Arial" w:eastAsia="Arial" w:hAnsi="Arial"/>
                <w:sz w:val="20"/>
                <w:szCs w:val="20"/>
              </w:rPr>
              <w:t xml:space="preserve">987.56</w:t>
            </w:r>
          </w:p>
        </w:tc>
        <w:tc>
          <w:tcPr>
            <w:tcW w:type="dxa" w:w="216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pPr>
              <w:jc w:val="center"/>
            </w:pPr>
            <w:r>
              <w:rPr>
                <w:rFonts w:ascii="Arial" w:cs="Arial" w:eastAsia="Arial" w:hAnsi="Arial"/>
                <w:sz w:val="20"/>
                <w:szCs w:val="20"/>
              </w:rPr>
              <w:t xml:space="preserve">32,659.04</w:t>
            </w:r>
          </w:p>
        </w:tc>
      </w:tr>
    </w:tbl>
    <w:p>
      <w:pPr>
        <w:spacing w:before="80" w:after="80"/>
      </w:pPr>
      <w:r>
        <w:t xml:space="preserve"/>
      </w:r>
    </w:p>
    <w:p>
      <w:pPr>
        <w:spacing w:before="80" w:after="80"/>
      </w:pPr>
      <w:r>
        <w:rPr>
          <w:rFonts w:ascii="Arial" w:cs="Arial" w:eastAsia="Arial" w:hAnsi="Arial"/>
          <w:sz w:val="22"/>
          <w:szCs w:val="22"/>
        </w:rPr>
        <w:t xml:space="preserve">Customer 14911 stands out with 85 repeat purchases over the observation period — by far the most frequent buyer. Customers 18102 and 17450 have the highest average transaction values, making them extremely valuable despite lower purchase frequency.</w:t>
      </w:r>
    </w:p>
    <w:p>
      <w:pPr>
        <w:spacing w:before="80" w:after="80"/>
      </w:pPr>
      <w:r>
        <w:t xml:space="preserve"/>
      </w:r>
    </w:p>
    <w:p>
      <w:pPr>
        <w:spacing w:before="80" w:after="80"/>
      </w:pPr>
      <w:r>
        <w:rPr>
          <w:rFonts w:ascii="Arial" w:cs="Arial" w:eastAsia="Arial" w:hAnsi="Arial"/>
          <w:sz w:val="22"/>
          <w:szCs w:val="22"/>
        </w:rPr>
        <w:t xml:space="preserve">Recommendation: create a tiered VIP programme targeting the top 5–10% of predicted CLV customers. Offer dedicated account management, early access to new product ranges, and loyalty rewards to protect and grow this high-value segment.</w:t>
      </w:r>
    </w:p>
    <w:p>
      <w:pPr>
        <w:spacing w:before="80" w:after="80"/>
      </w:pPr>
      <w:r>
        <w:t xml:space="preserve"/>
      </w:r>
    </w:p>
    <w:p>
      <w:pPr>
        <w:pStyle w:val="Heading1"/>
        <w:pBdr>
          <w:bottom w:val="single" w:color="2563EB" w:sz="6" w:space="4"/>
        </w:pBdr>
        <w:spacing w:before="400" w:after="200"/>
      </w:pPr>
      <w:r>
        <w:rPr>
          <w:rFonts w:ascii="Arial" w:cs="Arial" w:eastAsia="Arial" w:hAnsi="Arial"/>
          <w:b/>
          <w:bCs/>
          <w:color w:val="1E3A5F"/>
          <w:sz w:val="32"/>
          <w:szCs w:val="32"/>
        </w:rPr>
        <w:t xml:space="preserve">7. Strategic Recommendations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800"/>
        <w:gridCol w:w="2200"/>
        <w:gridCol w:w="3360"/>
      </w:tblGrid>
      <w:tr>
        <w:trPr>
          <w:tblHeader/>
        </w:trPr>
        <w:tc>
          <w:tcPr>
            <w:tcW w:type="dxa" w:w="1000"/>
            <w:tcBorders>
              <w:top w:val="single" w:color="D1D5DB" w:sz="1"/>
              <w:left w:val="single" w:color="D1D5DB" w:sz="1"/>
              <w:bottom w:val="single" w:color="D1D5DB" w:sz="1"/>
              <w:right w:val="single" w:color="D1D5DB" w:sz="1"/>
            </w:tcBorders>
            <w:shd w:fill="1E3A5F"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Priority</w:t>
            </w:r>
          </w:p>
        </w:tc>
        <w:tc>
          <w:tcPr>
            <w:tcW w:type="dxa" w:w="2800"/>
            <w:tcBorders>
              <w:top w:val="single" w:color="D1D5DB" w:sz="1"/>
              <w:left w:val="single" w:color="D1D5DB" w:sz="1"/>
              <w:bottom w:val="single" w:color="D1D5DB" w:sz="1"/>
              <w:right w:val="single" w:color="D1D5DB" w:sz="1"/>
            </w:tcBorders>
            <w:shd w:fill="1E3A5F"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Action</w:t>
            </w:r>
          </w:p>
        </w:tc>
        <w:tc>
          <w:tcPr>
            <w:tcW w:type="dxa" w:w="2200"/>
            <w:tcBorders>
              <w:top w:val="single" w:color="D1D5DB" w:sz="1"/>
              <w:left w:val="single" w:color="D1D5DB" w:sz="1"/>
              <w:bottom w:val="single" w:color="D1D5DB" w:sz="1"/>
              <w:right w:val="single" w:color="D1D5DB" w:sz="1"/>
            </w:tcBorders>
            <w:shd w:fill="1E3A5F"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Target Segment</w:t>
            </w:r>
          </w:p>
        </w:tc>
        <w:tc>
          <w:tcPr>
            <w:tcW w:type="dxa" w:w="3360"/>
            <w:tcBorders>
              <w:top w:val="single" w:color="D1D5DB" w:sz="1"/>
              <w:left w:val="single" w:color="D1D5DB" w:sz="1"/>
              <w:bottom w:val="single" w:color="D1D5DB" w:sz="1"/>
              <w:right w:val="single" w:color="D1D5DB" w:sz="1"/>
            </w:tcBorders>
            <w:shd w:fill="1E3A5F"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Expected Impact</w:t>
            </w:r>
          </w:p>
        </w:tc>
      </w:tr>
      <w:tr>
        <w:tc>
          <w:tcPr>
            <w:tcW w:type="dxa" w:w="10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High</w:t>
            </w:r>
          </w:p>
        </w:tc>
        <w:tc>
          <w:tcPr>
            <w:tcW w:type="dxa" w:w="28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pPr>
              <w:jc w:val="center"/>
            </w:pPr>
            <w:r>
              <w:rPr>
                <w:rFonts w:ascii="Arial" w:cs="Arial" w:eastAsia="Arial" w:hAnsi="Arial"/>
                <w:sz w:val="20"/>
                <w:szCs w:val="20"/>
              </w:rPr>
              <w:t xml:space="preserve">Launch win-back email campaign with time-limited discount</w:t>
            </w:r>
          </w:p>
        </w:tc>
        <w:tc>
          <w:tcPr>
            <w:tcW w:type="dxa" w:w="22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pPr>
              <w:jc w:val="center"/>
            </w:pPr>
            <w:r>
              <w:rPr>
                <w:rFonts w:ascii="Arial" w:cs="Arial" w:eastAsia="Arial" w:hAnsi="Arial"/>
                <w:sz w:val="20"/>
                <w:szCs w:val="20"/>
              </w:rPr>
              <w:t xml:space="preserve">At Risk (585)</w:t>
            </w:r>
          </w:p>
        </w:tc>
        <w:tc>
          <w:tcPr>
            <w:tcW w:type="dxa" w:w="336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pPr>
              <w:jc w:val="center"/>
            </w:pPr>
            <w:r>
              <w:rPr>
                <w:rFonts w:ascii="Arial" w:cs="Arial" w:eastAsia="Arial" w:hAnsi="Arial"/>
                <w:sz w:val="20"/>
                <w:szCs w:val="20"/>
              </w:rPr>
              <w:t xml:space="preserve">Recover lapsing revenue</w:t>
            </w:r>
          </w:p>
        </w:tc>
      </w:tr>
      <w:tr>
        <w:tc>
          <w:tcPr>
            <w:tcW w:type="dxa" w:w="1000"/>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pPr>
              <w:jc w:val="left"/>
            </w:pPr>
            <w:r>
              <w:rPr>
                <w:rFonts w:ascii="Arial" w:cs="Arial" w:eastAsia="Arial" w:hAnsi="Arial"/>
                <w:sz w:val="20"/>
                <w:szCs w:val="20"/>
              </w:rPr>
              <w:t xml:space="preserve">High</w:t>
            </w:r>
          </w:p>
        </w:tc>
        <w:tc>
          <w:tcPr>
            <w:tcW w:type="dxa" w:w="2800"/>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pPr>
              <w:jc w:val="center"/>
            </w:pPr>
            <w:r>
              <w:rPr>
                <w:rFonts w:ascii="Arial" w:cs="Arial" w:eastAsia="Arial" w:hAnsi="Arial"/>
                <w:sz w:val="20"/>
                <w:szCs w:val="20"/>
              </w:rPr>
              <w:t xml:space="preserve">Implement post-purchase onboarding flow (Days 1–60)</w:t>
            </w:r>
          </w:p>
        </w:tc>
        <w:tc>
          <w:tcPr>
            <w:tcW w:type="dxa" w:w="2200"/>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pPr>
              <w:jc w:val="center"/>
            </w:pPr>
            <w:r>
              <w:rPr>
                <w:rFonts w:ascii="Arial" w:cs="Arial" w:eastAsia="Arial" w:hAnsi="Arial"/>
                <w:sz w:val="20"/>
                <w:szCs w:val="20"/>
              </w:rPr>
              <w:t xml:space="preserve">All new cohorts</w:t>
            </w:r>
          </w:p>
        </w:tc>
        <w:tc>
          <w:tcPr>
            <w:tcW w:type="dxa" w:w="3360"/>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pPr>
              <w:jc w:val="center"/>
            </w:pPr>
            <w:r>
              <w:rPr>
                <w:rFonts w:ascii="Arial" w:cs="Arial" w:eastAsia="Arial" w:hAnsi="Arial"/>
                <w:sz w:val="20"/>
                <w:szCs w:val="20"/>
              </w:rPr>
              <w:t xml:space="preserve">Improve Month-2 retention</w:t>
            </w:r>
          </w:p>
        </w:tc>
      </w:tr>
      <w:tr>
        <w:tc>
          <w:tcPr>
            <w:tcW w:type="dxa" w:w="10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High</w:t>
            </w:r>
          </w:p>
        </w:tc>
        <w:tc>
          <w:tcPr>
            <w:tcW w:type="dxa" w:w="28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pPr>
              <w:jc w:val="center"/>
            </w:pPr>
            <w:r>
              <w:rPr>
                <w:rFonts w:ascii="Arial" w:cs="Arial" w:eastAsia="Arial" w:hAnsi="Arial"/>
                <w:sz w:val="20"/>
                <w:szCs w:val="20"/>
              </w:rPr>
              <w:t xml:space="preserve">VIP programme for top predicted-CLV customers</w:t>
            </w:r>
          </w:p>
        </w:tc>
        <w:tc>
          <w:tcPr>
            <w:tcW w:type="dxa" w:w="22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pPr>
              <w:jc w:val="center"/>
            </w:pPr>
            <w:r>
              <w:rPr>
                <w:rFonts w:ascii="Arial" w:cs="Arial" w:eastAsia="Arial" w:hAnsi="Arial"/>
                <w:sz w:val="20"/>
                <w:szCs w:val="20"/>
              </w:rPr>
              <w:t xml:space="preserve">Champions, top CLV</w:t>
            </w:r>
          </w:p>
        </w:tc>
        <w:tc>
          <w:tcPr>
            <w:tcW w:type="dxa" w:w="336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pPr>
              <w:jc w:val="center"/>
            </w:pPr>
            <w:r>
              <w:rPr>
                <w:rFonts w:ascii="Arial" w:cs="Arial" w:eastAsia="Arial" w:hAnsi="Arial"/>
                <w:sz w:val="20"/>
                <w:szCs w:val="20"/>
              </w:rPr>
              <w:t xml:space="preserve">Protect £200K+ annual revenue</w:t>
            </w:r>
          </w:p>
        </w:tc>
      </w:tr>
      <w:tr>
        <w:tc>
          <w:tcPr>
            <w:tcW w:type="dxa" w:w="1000"/>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pPr>
              <w:jc w:val="left"/>
            </w:pPr>
            <w:r>
              <w:rPr>
                <w:rFonts w:ascii="Arial" w:cs="Arial" w:eastAsia="Arial" w:hAnsi="Arial"/>
                <w:sz w:val="20"/>
                <w:szCs w:val="20"/>
              </w:rPr>
              <w:t xml:space="preserve">Medium</w:t>
            </w:r>
          </w:p>
        </w:tc>
        <w:tc>
          <w:tcPr>
            <w:tcW w:type="dxa" w:w="2800"/>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pPr>
              <w:jc w:val="center"/>
            </w:pPr>
            <w:r>
              <w:rPr>
                <w:rFonts w:ascii="Arial" w:cs="Arial" w:eastAsia="Arial" w:hAnsi="Arial"/>
                <w:sz w:val="20"/>
                <w:szCs w:val="20"/>
              </w:rPr>
              <w:t xml:space="preserve">Bundle Regency Teacup set in shop and email cross-sells</w:t>
            </w:r>
          </w:p>
        </w:tc>
        <w:tc>
          <w:tcPr>
            <w:tcW w:type="dxa" w:w="2200"/>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pPr>
              <w:jc w:val="center"/>
            </w:pPr>
            <w:r>
              <w:rPr>
                <w:rFonts w:ascii="Arial" w:cs="Arial" w:eastAsia="Arial" w:hAnsi="Arial"/>
                <w:sz w:val="20"/>
                <w:szCs w:val="20"/>
              </w:rPr>
              <w:t xml:space="preserve">All segments</w:t>
            </w:r>
          </w:p>
        </w:tc>
        <w:tc>
          <w:tcPr>
            <w:tcW w:type="dxa" w:w="3360"/>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pPr>
              <w:jc w:val="center"/>
            </w:pPr>
            <w:r>
              <w:rPr>
                <w:rFonts w:ascii="Arial" w:cs="Arial" w:eastAsia="Arial" w:hAnsi="Arial"/>
                <w:sz w:val="20"/>
                <w:szCs w:val="20"/>
              </w:rPr>
              <w:t xml:space="preserve">Increase average order value</w:t>
            </w:r>
          </w:p>
        </w:tc>
      </w:tr>
      <w:tr>
        <w:tc>
          <w:tcPr>
            <w:tcW w:type="dxa" w:w="10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Medium</w:t>
            </w:r>
          </w:p>
        </w:tc>
        <w:tc>
          <w:tcPr>
            <w:tcW w:type="dxa" w:w="28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pPr>
              <w:jc w:val="center"/>
            </w:pPr>
            <w:r>
              <w:rPr>
                <w:rFonts w:ascii="Arial" w:cs="Arial" w:eastAsia="Arial" w:hAnsi="Arial"/>
                <w:sz w:val="20"/>
                <w:szCs w:val="20"/>
              </w:rPr>
              <w:t xml:space="preserve">Targeted re-engagement for Churn Risk (1,088 customers)</w:t>
            </w:r>
          </w:p>
        </w:tc>
        <w:tc>
          <w:tcPr>
            <w:tcW w:type="dxa" w:w="22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pPr>
              <w:jc w:val="center"/>
            </w:pPr>
            <w:r>
              <w:rPr>
                <w:rFonts w:ascii="Arial" w:cs="Arial" w:eastAsia="Arial" w:hAnsi="Arial"/>
                <w:sz w:val="20"/>
                <w:szCs w:val="20"/>
              </w:rPr>
              <w:t xml:space="preserve">Churn Risk</w:t>
            </w:r>
          </w:p>
        </w:tc>
        <w:tc>
          <w:tcPr>
            <w:tcW w:type="dxa" w:w="336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pPr>
              <w:jc w:val="center"/>
            </w:pPr>
            <w:r>
              <w:rPr>
                <w:rFonts w:ascii="Arial" w:cs="Arial" w:eastAsia="Arial" w:hAnsi="Arial"/>
                <w:sz w:val="20"/>
                <w:szCs w:val="20"/>
              </w:rPr>
              <w:t xml:space="preserve">Partially recover ~31% of base</w:t>
            </w:r>
          </w:p>
        </w:tc>
      </w:tr>
      <w:tr>
        <w:tc>
          <w:tcPr>
            <w:tcW w:type="dxa" w:w="1000"/>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pPr>
              <w:jc w:val="left"/>
            </w:pPr>
            <w:r>
              <w:rPr>
                <w:rFonts w:ascii="Arial" w:cs="Arial" w:eastAsia="Arial" w:hAnsi="Arial"/>
                <w:sz w:val="20"/>
                <w:szCs w:val="20"/>
              </w:rPr>
              <w:t xml:space="preserve">Low</w:t>
            </w:r>
          </w:p>
        </w:tc>
        <w:tc>
          <w:tcPr>
            <w:tcW w:type="dxa" w:w="2800"/>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pPr>
              <w:jc w:val="center"/>
            </w:pPr>
            <w:r>
              <w:rPr>
                <w:rFonts w:ascii="Arial" w:cs="Arial" w:eastAsia="Arial" w:hAnsi="Arial"/>
                <w:sz w:val="20"/>
                <w:szCs w:val="20"/>
              </w:rPr>
              <w:t xml:space="preserve">Investigate Dec 2010 cohort retention drivers</w:t>
            </w:r>
          </w:p>
        </w:tc>
        <w:tc>
          <w:tcPr>
            <w:tcW w:type="dxa" w:w="2200"/>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pPr>
              <w:jc w:val="center"/>
            </w:pPr>
            <w:r>
              <w:rPr>
                <w:rFonts w:ascii="Arial" w:cs="Arial" w:eastAsia="Arial" w:hAnsi="Arial"/>
                <w:sz w:val="20"/>
                <w:szCs w:val="20"/>
              </w:rPr>
              <w:t xml:space="preserve">Internal analysis</w:t>
            </w:r>
          </w:p>
        </w:tc>
        <w:tc>
          <w:tcPr>
            <w:tcW w:type="dxa" w:w="3360"/>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pPr>
              <w:jc w:val="center"/>
            </w:pPr>
            <w:r>
              <w:rPr>
                <w:rFonts w:ascii="Arial" w:cs="Arial" w:eastAsia="Arial" w:hAnsi="Arial"/>
                <w:sz w:val="20"/>
                <w:szCs w:val="20"/>
              </w:rPr>
              <w:t xml:space="preserve">Apply learnings to acquisition</w:t>
            </w:r>
          </w:p>
        </w:tc>
      </w:tr>
    </w:tbl>
    <w:p>
      <w:pPr>
        <w:spacing w:before="80" w:after="80"/>
      </w:pPr>
      <w:r>
        <w:t xml:space="preserve"/>
      </w:r>
    </w:p>
    <w:p>
      <w:pPr>
        <w:pStyle w:val="Heading1"/>
        <w:pBdr>
          <w:bottom w:val="single" w:color="2563EB" w:sz="6" w:space="4"/>
        </w:pBdr>
        <w:spacing w:before="400" w:after="200"/>
      </w:pPr>
      <w:r>
        <w:rPr>
          <w:rFonts w:ascii="Arial" w:cs="Arial" w:eastAsia="Arial" w:hAnsi="Arial"/>
          <w:b/>
          <w:bCs/>
          <w:color w:val="1E3A5F"/>
          <w:sz w:val="32"/>
          <w:szCs w:val="32"/>
        </w:rPr>
        <w:t xml:space="preserve">8. Appendix: Technical Notes</w:t>
      </w:r>
    </w:p>
    <w:p>
      <w:pPr>
        <w:pStyle w:val="Heading2"/>
        <w:spacing w:before="300" w:after="160"/>
      </w:pPr>
      <w:r>
        <w:rPr>
          <w:rFonts w:ascii="Arial" w:cs="Arial" w:eastAsia="Arial" w:hAnsi="Arial"/>
          <w:b/>
          <w:bCs/>
          <w:color w:val="2563EB"/>
          <w:sz w:val="26"/>
          <w:szCs w:val="26"/>
        </w:rPr>
        <w:t xml:space="preserve">8.1 Tools &amp; Libraries</w:t>
      </w:r>
    </w:p>
    <w:p>
      <w:pPr>
        <w:spacing w:before="80" w:after="80"/>
      </w:pPr>
      <w:r>
        <w:rPr>
          <w:rFonts w:ascii="Arial" w:cs="Arial" w:eastAsia="Arial" w:hAnsi="Arial"/>
          <w:sz w:val="22"/>
          <w:szCs w:val="22"/>
        </w:rPr>
        <w:t xml:space="preserve">Python 3.13 with the following key libraries: pandas 2.x (data wrangling), mlxtend 0.24 (Apriori / association rules), lifetimes 0.11 (BG/NBD and Gamma-Gamma CLV models).</w:t>
      </w:r>
    </w:p>
    <w:p>
      <w:pPr>
        <w:spacing w:before="80" w:after="80"/>
      </w:pPr>
      <w:r>
        <w:t xml:space="preserve"/>
      </w:r>
    </w:p>
    <w:p>
      <w:pPr>
        <w:pStyle w:val="Heading2"/>
        <w:spacing w:before="300" w:after="160"/>
      </w:pPr>
      <w:r>
        <w:rPr>
          <w:rFonts w:ascii="Arial" w:cs="Arial" w:eastAsia="Arial" w:hAnsi="Arial"/>
          <w:b/>
          <w:bCs/>
          <w:color w:val="2563EB"/>
          <w:sz w:val="26"/>
          <w:szCs w:val="26"/>
        </w:rPr>
        <w:t xml:space="preserve">8.2 Limitations</w:t>
      </w:r>
    </w:p>
    <w:p>
      <w:pPr>
        <w:pStyle w:val="ListParagraph"/>
        <w:numPr>
          <w:ilvl w:val="0"/>
          <w:numId w:val="2"/>
        </w:numPr>
        <w:spacing w:before="60" w:after="60"/>
      </w:pPr>
      <w:r>
        <w:rPr>
          <w:rFonts w:ascii="Arial" w:cs="Arial" w:eastAsia="Arial" w:hAnsi="Arial"/>
          <w:sz w:val="22"/>
          <w:szCs w:val="22"/>
        </w:rPr>
        <w:t xml:space="preserve">The dataset covers a single year (Dec 2010 – Dec 2011); CLV projections beyond 6 months carry increasing uncertainty.</w:t>
      </w:r>
    </w:p>
    <w:p>
      <w:pPr>
        <w:pStyle w:val="ListParagraph"/>
        <w:numPr>
          <w:ilvl w:val="0"/>
          <w:numId w:val="2"/>
        </w:numPr>
        <w:spacing w:before="60" w:after="60"/>
      </w:pPr>
      <w:r>
        <w:rPr>
          <w:rFonts w:ascii="Arial" w:cs="Arial" w:eastAsia="Arial" w:hAnsi="Arial"/>
          <w:sz w:val="22"/>
          <w:szCs w:val="22"/>
        </w:rPr>
        <w:t xml:space="preserve">135,080 rows (24.9%) were dropped due to missing CustomerID, which may introduce selection bias if these were predominantly guest checkouts.</w:t>
      </w:r>
    </w:p>
    <w:p>
      <w:pPr>
        <w:pStyle w:val="ListParagraph"/>
        <w:numPr>
          <w:ilvl w:val="0"/>
          <w:numId w:val="2"/>
        </w:numPr>
        <w:spacing w:before="60" w:after="60"/>
      </w:pPr>
      <w:r>
        <w:rPr>
          <w:rFonts w:ascii="Arial" w:cs="Arial" w:eastAsia="Arial" w:hAnsi="Arial"/>
          <w:sz w:val="22"/>
          <w:szCs w:val="22"/>
        </w:rPr>
        <w:t xml:space="preserve">Market basket analysis was run on all countries combined; country-level analysis may reveal distinct purchasing patterns.</w:t>
      </w:r>
    </w:p>
    <w:p>
      <w:pPr>
        <w:pStyle w:val="ListParagraph"/>
        <w:numPr>
          <w:ilvl w:val="0"/>
          <w:numId w:val="2"/>
        </w:numPr>
        <w:spacing w:before="60" w:after="60"/>
      </w:pPr>
      <w:r>
        <w:rPr>
          <w:rFonts w:ascii="Arial" w:cs="Arial" w:eastAsia="Arial" w:hAnsi="Arial"/>
          <w:sz w:val="22"/>
          <w:szCs w:val="22"/>
        </w:rPr>
        <w:t xml:space="preserve">The Gamma-Gamma model assumes independence between purchase frequency and monetary value, which may not hold for all customer segments.</w:t>
      </w:r>
    </w:p>
    <w:p>
      <w:pPr>
        <w:spacing w:before="80" w:after="80"/>
      </w:pPr>
      <w:r>
        <w:t xml:space="preserve"/>
      </w:r>
    </w:p>
    <w:p>
      <w:pPr>
        <w:pStyle w:val="Heading2"/>
        <w:spacing w:before="300" w:after="160"/>
      </w:pPr>
      <w:r>
        <w:rPr>
          <w:rFonts w:ascii="Arial" w:cs="Arial" w:eastAsia="Arial" w:hAnsi="Arial"/>
          <w:b/>
          <w:bCs/>
          <w:color w:val="2563EB"/>
          <w:sz w:val="26"/>
          <w:szCs w:val="26"/>
        </w:rPr>
        <w:t xml:space="preserve">8.3 Data File</w:t>
      </w:r>
    </w:p>
    <w:p>
      <w:pPr>
        <w:spacing w:before="80" w:after="80"/>
      </w:pPr>
      <w:r>
        <w:rPr>
          <w:rFonts w:ascii="Arial" w:cs="Arial" w:eastAsia="Arial" w:hAnsi="Arial"/>
          <w:sz w:val="22"/>
          <w:szCs w:val="22"/>
        </w:rPr>
        <w:t xml:space="preserve">The cleaned dataset was exported as final_retail_full_data.csv for downstream reporting or BI tool integration.</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563EB" w:sz="4" w:space="4"/>
      </w:pBdr>
      <w:jc w:val="right"/>
    </w:pPr>
    <w:r>
      <w:rPr>
        <w:rFonts w:ascii="Arial" w:cs="Arial" w:eastAsia="Arial" w:hAnsi="Arial"/>
        <w:color w:val="6B7280"/>
        <w:sz w:val="18"/>
        <w:szCs w:val="18"/>
      </w:rPr>
      <w:t xml:space="preserve">Page </w:t>
    </w:r>
    <w:r>
      <w:rPr>
        <w:rFonts w:ascii="Arial" w:cs="Arial" w:eastAsia="Arial" w:hAnsi="Arial"/>
        <w:color w:val="6B7280"/>
        <w:sz w:val="18"/>
        <w:szCs w:val="18"/>
      </w:rPr>
      <w:fldChar w:fldCharType="begin"/>
      <w:instrText xml:space="preserve">PAGE</w:instrText>
      <w:fldChar w:fldCharType="separate"/>
      <w:fldChar w:fldCharType="end"/>
    </w:r>
    <w:r>
      <w:rPr>
        <w:rFonts w:ascii="Arial" w:cs="Arial" w:eastAsia="Arial" w:hAnsi="Arial"/>
        <w:color w:val="6B7280"/>
        <w:sz w:val="18"/>
        <w:szCs w:val="18"/>
      </w:rPr>
      <w:t xml:space="preserve"> of </w:t>
    </w:r>
    <w:r>
      <w:rPr>
        <w:rFonts w:ascii="Arial" w:cs="Arial" w:eastAsia="Arial" w:hAnsi="Arial"/>
        <w:color w:val="6B72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563EB" w:sz="4" w:space="4"/>
      </w:pBdr>
    </w:pPr>
    <w:r>
      <w:rPr>
        <w:rFonts w:ascii="Arial" w:cs="Arial" w:eastAsia="Arial" w:hAnsi="Arial"/>
        <w:color w:val="6B7280"/>
        <w:sz w:val="18"/>
        <w:szCs w:val="18"/>
      </w:rPr>
      <w:t xml:space="preserve">Online Retail Customer Analytics Report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E3A5F"/>
      <w:sz w:val="32"/>
      <w:szCs w:val="32"/>
    </w:rPr>
  </w:style>
  <w:style w:type="paragraph" w:styleId="Heading2">
    <w:name w:val="Heading 2"/>
    <w:basedOn w:val="Normal"/>
    <w:next w:val="Normal"/>
    <w:qFormat/>
    <w:pPr>
      <w:spacing w:before="300" w:after="160"/>
      <w:outlineLvl w:val="1"/>
    </w:pPr>
    <w:rPr>
      <w:rFonts w:ascii="Arial" w:cs="Arial" w:eastAsia="Arial" w:hAnsi="Arial"/>
      <w:b/>
      <w:bCs/>
      <w:color w:val="2563EB"/>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2026-02-26T16:45:11.814Z</dcterms:created>
  <dcterms:modified xsi:type="dcterms:W3CDTF">2026-02-26T16:45:11.815Z</dcterms:modified>
</cp:coreProperties>
</file>

<file path=docProps/custom.xml><?xml version="1.0" encoding="utf-8"?>
<Properties xmlns="http://schemas.openxmlformats.org/officeDocument/2006/custom-properties" xmlns:vt="http://schemas.openxmlformats.org/officeDocument/2006/docPropsVTypes"/>
</file>