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06BCE" w14:textId="360359FB" w:rsidR="00BC4989" w:rsidRDefault="00BC4989">
      <w:r>
        <w:rPr>
          <w:rFonts w:hint="eastAsia"/>
        </w:rPr>
        <w:t>システム解析特論レポート</w:t>
      </w:r>
    </w:p>
    <w:p w14:paraId="7E35C6E4" w14:textId="77777777" w:rsidR="00BC4989" w:rsidRDefault="00BC4989" w:rsidP="00BC4989">
      <w:pPr>
        <w:jc w:val="right"/>
      </w:pPr>
      <w:r>
        <w:rPr>
          <w:rFonts w:hint="eastAsia"/>
        </w:rPr>
        <w:t>愛媛大学大学院理工学研究科電子情報工学専攻</w:t>
      </w:r>
    </w:p>
    <w:p w14:paraId="399FB47F" w14:textId="4F6203BA" w:rsidR="00BC4989" w:rsidRDefault="00BC4989" w:rsidP="00BC4989">
      <w:pPr>
        <w:jc w:val="right"/>
      </w:pPr>
      <w:r>
        <w:t>ICT</w:t>
      </w:r>
      <w:r>
        <w:rPr>
          <w:rFonts w:hint="eastAsia"/>
        </w:rPr>
        <w:t>スペシャリスト育成コース</w:t>
      </w:r>
    </w:p>
    <w:p w14:paraId="2C63831F" w14:textId="701C0E3D" w:rsidR="00BC4989" w:rsidRDefault="00BC4989" w:rsidP="00BC4989">
      <w:pPr>
        <w:jc w:val="right"/>
        <w:rPr>
          <w:rFonts w:hint="eastAsia"/>
        </w:rPr>
      </w:pPr>
      <w:r>
        <w:rPr>
          <w:rFonts w:hint="eastAsia"/>
        </w:rPr>
        <w:t>中山　颯</w:t>
      </w:r>
    </w:p>
    <w:p w14:paraId="3B43E911" w14:textId="77777777" w:rsidR="00BC4989" w:rsidRDefault="00BC4989" w:rsidP="00BC4989">
      <w:pPr>
        <w:ind w:right="240"/>
        <w:jc w:val="right"/>
        <w:rPr>
          <w:rFonts w:hint="eastAsia"/>
        </w:rPr>
      </w:pPr>
    </w:p>
    <w:p w14:paraId="797AB2D7" w14:textId="15424891" w:rsidR="00090F5F" w:rsidRDefault="00BC4989">
      <w:r>
        <w:rPr>
          <w:rFonts w:hint="eastAsia"/>
        </w:rPr>
        <w:t>課題</w:t>
      </w:r>
      <w:r w:rsidR="003C1173">
        <w:rPr>
          <w:rFonts w:hint="eastAsia"/>
        </w:rPr>
        <w:t>V</w:t>
      </w:r>
      <w:r w:rsidR="003C1173">
        <w:t>I</w:t>
      </w:r>
    </w:p>
    <w:p w14:paraId="63BE27FC" w14:textId="2508502B" w:rsidR="00FA03EE" w:rsidRDefault="003C1173" w:rsidP="003C1173">
      <w:pPr>
        <w:rPr>
          <w:rFonts w:ascii="MS Mincho" w:eastAsia="MS Mincho" w:hAnsi="MS Mincho" w:cs="MS Mincho"/>
          <w:sz w:val="23"/>
          <w:szCs w:val="23"/>
        </w:rPr>
      </w:pPr>
      <w:r w:rsidRPr="003C1173">
        <w:rPr>
          <w:rFonts w:ascii="MS Mincho" w:eastAsia="MS Mincho" w:hAnsi="MS Mincho" w:cs="MS Mincho" w:hint="eastAsia"/>
          <w:sz w:val="23"/>
          <w:szCs w:val="23"/>
        </w:rPr>
        <w:t>平均サービス率（</w:t>
      </w:r>
      <w:r w:rsidRPr="003C1173">
        <w:rPr>
          <w:rFonts w:ascii="Times New Roman" w:eastAsia="Times New Roman" w:hAnsi="Times New Roman" w:cs="Times New Roman"/>
          <w:sz w:val="25"/>
          <w:szCs w:val="25"/>
        </w:rPr>
        <w:t>μ</w:t>
      </w:r>
      <w:r w:rsidRPr="003C1173">
        <w:rPr>
          <w:rFonts w:ascii="MS Mincho" w:eastAsia="MS Mincho" w:hAnsi="MS Mincho" w:cs="MS Mincho" w:hint="eastAsia"/>
          <w:sz w:val="23"/>
          <w:szCs w:val="23"/>
        </w:rPr>
        <w:t>）を</w:t>
      </w:r>
      <w:r w:rsidRPr="003C1173">
        <w:rPr>
          <w:rFonts w:ascii="Times New Roman" w:eastAsia="Times New Roman" w:hAnsi="Times New Roman" w:cs="Times New Roman"/>
          <w:sz w:val="25"/>
          <w:szCs w:val="25"/>
        </w:rPr>
        <w:t>1.0</w:t>
      </w:r>
      <w:r w:rsidRPr="003C1173">
        <w:rPr>
          <w:rFonts w:ascii="MS Mincho" w:eastAsia="MS Mincho" w:hAnsi="MS Mincho" w:cs="MS Mincho" w:hint="eastAsia"/>
          <w:sz w:val="23"/>
          <w:szCs w:val="23"/>
        </w:rPr>
        <w:t>として，平均到着率（</w:t>
      </w:r>
      <w:r w:rsidRPr="003C1173">
        <w:rPr>
          <w:rFonts w:ascii="Times New Roman" w:eastAsia="Times New Roman" w:hAnsi="Times New Roman" w:cs="Times New Roman"/>
          <w:sz w:val="25"/>
          <w:szCs w:val="25"/>
        </w:rPr>
        <w:t>λ</w:t>
      </w:r>
      <w:r w:rsidRPr="003C1173">
        <w:rPr>
          <w:rFonts w:ascii="MS Mincho" w:eastAsia="MS Mincho" w:hAnsi="MS Mincho" w:cs="MS Mincho" w:hint="eastAsia"/>
          <w:sz w:val="23"/>
          <w:szCs w:val="23"/>
        </w:rPr>
        <w:t>）を</w:t>
      </w:r>
      <w:r w:rsidR="006A5462">
        <w:rPr>
          <w:rFonts w:ascii="MS Mincho" w:eastAsia="MS Mincho" w:hAnsi="MS Mincho" w:cs="MS Mincho"/>
          <w:sz w:val="23"/>
          <w:szCs w:val="23"/>
        </w:rPr>
        <w:t>0.1</w:t>
      </w:r>
      <w:r w:rsidR="006A5462">
        <w:rPr>
          <w:rFonts w:ascii="MS Mincho" w:eastAsia="MS Mincho" w:hAnsi="MS Mincho" w:cs="MS Mincho" w:hint="eastAsia"/>
          <w:sz w:val="23"/>
          <w:szCs w:val="23"/>
        </w:rPr>
        <w:t>から１まで，</w:t>
      </w:r>
      <w:r w:rsidR="006A5462">
        <w:rPr>
          <w:rFonts w:ascii="MS Mincho" w:eastAsia="MS Mincho" w:hAnsi="MS Mincho" w:cs="MS Mincho"/>
          <w:sz w:val="23"/>
          <w:szCs w:val="23"/>
        </w:rPr>
        <w:t>0.1</w:t>
      </w:r>
      <w:r w:rsidRPr="003C1173">
        <w:rPr>
          <w:rFonts w:ascii="MS Mincho" w:eastAsia="MS Mincho" w:hAnsi="MS Mincho" w:cs="MS Mincho" w:hint="eastAsia"/>
          <w:sz w:val="23"/>
          <w:szCs w:val="23"/>
        </w:rPr>
        <w:t>刻みで変化させ，各パラメータセットに対する上記統計量をグラフとして作成</w:t>
      </w:r>
      <w:r w:rsidR="0000328F">
        <w:rPr>
          <w:rFonts w:ascii="MS Mincho" w:eastAsia="MS Mincho" w:hAnsi="MS Mincho" w:cs="MS Mincho" w:hint="eastAsia"/>
          <w:sz w:val="23"/>
          <w:szCs w:val="23"/>
        </w:rPr>
        <w:t>した</w:t>
      </w:r>
      <w:r w:rsidRPr="003C1173">
        <w:rPr>
          <w:rFonts w:ascii="MS Mincho" w:eastAsia="MS Mincho" w:hAnsi="MS Mincho" w:cs="MS Mincho" w:hint="eastAsia"/>
          <w:sz w:val="23"/>
          <w:szCs w:val="23"/>
        </w:rPr>
        <w:t>．</w:t>
      </w:r>
      <w:r w:rsidR="0000328F">
        <w:rPr>
          <w:rFonts w:ascii="MS Mincho" w:eastAsia="MS Mincho" w:hAnsi="MS Mincho" w:cs="MS Mincho" w:hint="eastAsia"/>
          <w:sz w:val="23"/>
          <w:szCs w:val="23"/>
        </w:rPr>
        <w:t>以下</w:t>
      </w:r>
      <w:r w:rsidR="008476A9">
        <w:rPr>
          <w:rFonts w:ascii="MS Mincho" w:eastAsia="MS Mincho" w:hAnsi="MS Mincho" w:cs="MS Mincho" w:hint="eastAsia"/>
          <w:sz w:val="23"/>
          <w:szCs w:val="23"/>
        </w:rPr>
        <w:t>の表１</w:t>
      </w:r>
      <w:r w:rsidR="000817E8">
        <w:rPr>
          <w:rFonts w:ascii="MS Mincho" w:eastAsia="MS Mincho" w:hAnsi="MS Mincho" w:cs="MS Mincho" w:hint="eastAsia"/>
          <w:sz w:val="23"/>
          <w:szCs w:val="23"/>
        </w:rPr>
        <w:t>，</w:t>
      </w:r>
      <w:r w:rsidR="008476A9">
        <w:rPr>
          <w:rFonts w:ascii="MS Mincho" w:eastAsia="MS Mincho" w:hAnsi="MS Mincho" w:cs="MS Mincho" w:hint="eastAsia"/>
          <w:sz w:val="23"/>
          <w:szCs w:val="23"/>
        </w:rPr>
        <w:t>図１，図２</w:t>
      </w:r>
      <w:r w:rsidR="0000328F">
        <w:rPr>
          <w:rFonts w:ascii="MS Mincho" w:eastAsia="MS Mincho" w:hAnsi="MS Mincho" w:cs="MS Mincho" w:hint="eastAsia"/>
          <w:sz w:val="23"/>
          <w:szCs w:val="23"/>
        </w:rPr>
        <w:t>にその結果を示す．</w:t>
      </w:r>
      <w:r w:rsidR="0041405C">
        <w:rPr>
          <w:rFonts w:ascii="MS Mincho" w:eastAsia="MS Mincho" w:hAnsi="MS Mincho" w:cs="MS Mincho" w:hint="eastAsia"/>
          <w:sz w:val="23"/>
          <w:szCs w:val="23"/>
        </w:rPr>
        <w:t xml:space="preserve"> </w:t>
      </w:r>
      <w:r w:rsidR="00EA4851">
        <w:rPr>
          <w:rFonts w:ascii="MS Mincho" w:eastAsia="MS Mincho" w:hAnsi="MS Mincho" w:cs="MS Mincho" w:hint="eastAsia"/>
          <w:sz w:val="23"/>
          <w:szCs w:val="23"/>
        </w:rPr>
        <w:t>また，理論値の計算式は以下の通りである．</w:t>
      </w:r>
    </w:p>
    <w:p w14:paraId="4AF8582A" w14:textId="345B153B" w:rsidR="00EA4851" w:rsidRDefault="00EA4851" w:rsidP="003C1173">
      <w:pPr>
        <w:rPr>
          <w:rFonts w:ascii="MS Mincho" w:eastAsia="MS Mincho" w:hAnsi="MS Mincho" w:cs="MS Mincho"/>
          <w:sz w:val="23"/>
          <w:szCs w:val="23"/>
        </w:rPr>
      </w:pPr>
    </w:p>
    <w:p w14:paraId="254A4756" w14:textId="1A87ACDC" w:rsidR="00EA4851" w:rsidRDefault="00EA4851" w:rsidP="003C1173">
      <w:pPr>
        <w:rPr>
          <w:rFonts w:ascii="MS Mincho" w:eastAsia="MS Mincho" w:hAnsi="MS Mincho" w:cs="MS Mincho"/>
          <w:sz w:val="23"/>
          <w:szCs w:val="23"/>
        </w:rPr>
      </w:pPr>
      <w:r>
        <w:rPr>
          <w:rFonts w:ascii="MS Mincho" w:eastAsia="MS Mincho" w:hAnsi="MS Mincho" w:cs="MS Mincho" w:hint="eastAsia"/>
          <w:sz w:val="23"/>
          <w:szCs w:val="23"/>
        </w:rPr>
        <w:t>システム内客数</w:t>
      </w:r>
    </w:p>
    <w:p w14:paraId="61FF248C" w14:textId="77777777" w:rsidR="00220BDC" w:rsidRDefault="00220BDC" w:rsidP="003C1173">
      <w:pPr>
        <w:rPr>
          <w:rFonts w:ascii="MS Mincho" w:eastAsia="MS Mincho" w:hAnsi="MS Mincho" w:cs="MS Mincho" w:hint="eastAsia"/>
          <w:sz w:val="23"/>
          <w:szCs w:val="23"/>
        </w:rPr>
      </w:pPr>
      <w:bookmarkStart w:id="0" w:name="_GoBack"/>
      <w:bookmarkEnd w:id="0"/>
    </w:p>
    <w:p w14:paraId="3D8666B0" w14:textId="243F8BC7" w:rsidR="00EA4851" w:rsidRDefault="00EA4851" w:rsidP="003C1173">
      <w:pPr>
        <w:rPr>
          <w:rFonts w:ascii="MS Mincho" w:eastAsia="MS Mincho" w:hAnsi="MS Mincho" w:cs="MS Mincho" w:hint="eastAsia"/>
          <w:sz w:val="23"/>
          <w:szCs w:val="23"/>
        </w:rPr>
      </w:pPr>
      <w:r>
        <w:rPr>
          <w:rFonts w:ascii="MS Mincho" w:eastAsia="MS Mincho" w:hAnsi="MS Mincho" w:cs="MS Mincho" w:hint="eastAsia"/>
          <w:sz w:val="23"/>
          <w:szCs w:val="23"/>
        </w:rPr>
        <w:t>システム内時間</w:t>
      </w:r>
    </w:p>
    <w:p w14:paraId="4DD59943" w14:textId="77777777" w:rsidR="00FA03EE" w:rsidRDefault="00FA03EE" w:rsidP="003C1173">
      <w:pPr>
        <w:rPr>
          <w:rFonts w:ascii="MS Mincho" w:eastAsia="MS Mincho" w:hAnsi="MS Mincho" w:cs="MS Mincho" w:hint="eastAsia"/>
          <w:sz w:val="23"/>
          <w:szCs w:val="23"/>
        </w:rPr>
      </w:pPr>
    </w:p>
    <w:p w14:paraId="2AEADCC0" w14:textId="23B6B1BD" w:rsidR="00477DA8" w:rsidRDefault="00AE7C93" w:rsidP="003C1173">
      <w:pPr>
        <w:rPr>
          <w:rFonts w:ascii="MS Mincho" w:eastAsia="MS Mincho" w:hAnsi="MS Mincho" w:cs="MS Mincho" w:hint="eastAsia"/>
          <w:sz w:val="23"/>
          <w:szCs w:val="23"/>
        </w:rPr>
      </w:pPr>
      <w:r>
        <w:rPr>
          <w:rFonts w:ascii="MS Mincho" w:eastAsia="MS Mincho" w:hAnsi="MS Mincho" w:cs="MS Mincho" w:hint="eastAsia"/>
          <w:sz w:val="23"/>
          <w:szCs w:val="23"/>
        </w:rPr>
        <w:t xml:space="preserve">　表１の結果より，</w:t>
      </w:r>
      <w:r w:rsidR="00577EC3">
        <w:rPr>
          <w:rFonts w:ascii="MS Mincho" w:eastAsia="MS Mincho" w:hAnsi="MS Mincho" w:cs="MS Mincho" w:hint="eastAsia"/>
          <w:sz w:val="23"/>
          <w:szCs w:val="23"/>
        </w:rPr>
        <w:t>課題</w:t>
      </w:r>
      <w:r w:rsidR="00577EC3">
        <w:rPr>
          <w:rFonts w:ascii="MS Mincho" w:eastAsia="MS Mincho" w:hAnsi="MS Mincho" w:cs="MS Mincho"/>
          <w:sz w:val="23"/>
          <w:szCs w:val="23"/>
        </w:rPr>
        <w:t>V</w:t>
      </w:r>
      <w:r w:rsidR="00577EC3">
        <w:rPr>
          <w:rFonts w:ascii="MS Mincho" w:eastAsia="MS Mincho" w:hAnsi="MS Mincho" w:cs="MS Mincho" w:hint="eastAsia"/>
          <w:sz w:val="23"/>
          <w:szCs w:val="23"/>
        </w:rPr>
        <w:t>で確認した通り，理論値と計測値の値がほとんど同じように推移していることがわかる．また，平均到着率が平均サービス率と同じ値になった時，理論値は発散し，計測値も急激に悪くなることがわかる．</w:t>
      </w:r>
      <w:r w:rsidR="00477DA8">
        <w:rPr>
          <w:rFonts w:ascii="MS Mincho" w:eastAsia="MS Mincho" w:hAnsi="MS Mincho" w:cs="MS Mincho" w:hint="eastAsia"/>
          <w:sz w:val="23"/>
          <w:szCs w:val="23"/>
        </w:rPr>
        <w:t>また，平均到着率（λ）を</w:t>
      </w:r>
      <w:r w:rsidR="00477DA8">
        <w:rPr>
          <w:rFonts w:ascii="MS Mincho" w:eastAsia="MS Mincho" w:hAnsi="MS Mincho" w:cs="MS Mincho"/>
          <w:sz w:val="23"/>
          <w:szCs w:val="23"/>
        </w:rPr>
        <w:t>1.1</w:t>
      </w:r>
      <w:r w:rsidR="00477DA8">
        <w:rPr>
          <w:rFonts w:ascii="MS Mincho" w:eastAsia="MS Mincho" w:hAnsi="MS Mincho" w:cs="MS Mincho" w:hint="eastAsia"/>
          <w:sz w:val="23"/>
          <w:szCs w:val="23"/>
        </w:rPr>
        <w:t>にした場合，システム内客数は</w:t>
      </w:r>
      <w:r w:rsidR="00477DA8" w:rsidRPr="00477DA8">
        <w:rPr>
          <w:rFonts w:ascii="MS Mincho" w:eastAsia="MS Mincho" w:hAnsi="MS Mincho" w:cs="MS Mincho"/>
          <w:sz w:val="23"/>
          <w:szCs w:val="23"/>
        </w:rPr>
        <w:t>640.854172</w:t>
      </w:r>
      <w:r w:rsidR="00477DA8">
        <w:rPr>
          <w:rFonts w:ascii="MS Mincho" w:eastAsia="MS Mincho" w:hAnsi="MS Mincho" w:cs="MS Mincho" w:hint="eastAsia"/>
          <w:sz w:val="23"/>
          <w:szCs w:val="23"/>
        </w:rPr>
        <w:t>，システム内時間は</w:t>
      </w:r>
      <w:r w:rsidR="00477DA8" w:rsidRPr="00477DA8">
        <w:rPr>
          <w:rFonts w:ascii="MS Mincho" w:eastAsia="MS Mincho" w:hAnsi="MS Mincho" w:cs="MS Mincho"/>
          <w:sz w:val="23"/>
          <w:szCs w:val="23"/>
        </w:rPr>
        <w:t>583.283089</w:t>
      </w:r>
      <w:r w:rsidR="00477DA8">
        <w:rPr>
          <w:rFonts w:ascii="MS Mincho" w:eastAsia="MS Mincho" w:hAnsi="MS Mincho" w:cs="MS Mincho" w:hint="eastAsia"/>
          <w:sz w:val="23"/>
          <w:szCs w:val="23"/>
        </w:rPr>
        <w:t>と急激に悪化した．</w:t>
      </w:r>
    </w:p>
    <w:p w14:paraId="7B5C8932" w14:textId="60AF1712" w:rsidR="00577EC3" w:rsidRDefault="00477DA8" w:rsidP="003C1173">
      <w:pPr>
        <w:rPr>
          <w:rFonts w:ascii="MS Mincho" w:eastAsia="MS Mincho" w:hAnsi="MS Mincho" w:cs="MS Mincho" w:hint="eastAsia"/>
          <w:sz w:val="23"/>
          <w:szCs w:val="23"/>
        </w:rPr>
      </w:pPr>
      <w:r>
        <w:rPr>
          <w:rFonts w:ascii="MS Mincho" w:eastAsia="MS Mincho" w:hAnsi="MS Mincho" w:cs="MS Mincho" w:hint="eastAsia"/>
          <w:sz w:val="23"/>
          <w:szCs w:val="23"/>
        </w:rPr>
        <w:t>よって</w:t>
      </w:r>
      <w:r w:rsidR="00577EC3">
        <w:rPr>
          <w:rFonts w:ascii="MS Mincho" w:eastAsia="MS Mincho" w:hAnsi="MS Mincho" w:cs="MS Mincho" w:hint="eastAsia"/>
          <w:sz w:val="23"/>
          <w:szCs w:val="23"/>
        </w:rPr>
        <w:t>，</w:t>
      </w:r>
      <w:r>
        <w:rPr>
          <w:rFonts w:ascii="MS Mincho" w:eastAsia="MS Mincho" w:hAnsi="MS Mincho" w:cs="MS Mincho" w:hint="eastAsia"/>
          <w:sz w:val="23"/>
          <w:szCs w:val="23"/>
        </w:rPr>
        <w:t>平均到着率が平均サービス率以上になった場合，急激に待ち行列が長くなり，サービス提供時間が長くなることが推測される．</w:t>
      </w:r>
    </w:p>
    <w:p w14:paraId="344AE005" w14:textId="77777777" w:rsidR="0000328F" w:rsidRDefault="0000328F" w:rsidP="003C1173">
      <w:pPr>
        <w:rPr>
          <w:rFonts w:ascii="MS Mincho" w:eastAsia="MS Mincho" w:hAnsi="MS Mincho" w:cs="MS Mincho" w:hint="eastAsia"/>
          <w:sz w:val="23"/>
          <w:szCs w:val="23"/>
        </w:rPr>
      </w:pPr>
    </w:p>
    <w:p w14:paraId="403C016C" w14:textId="4CD3DCFE" w:rsidR="00A3218E" w:rsidRDefault="008476A9" w:rsidP="005C7247">
      <w:pPr>
        <w:jc w:val="center"/>
        <w:rPr>
          <w:rFonts w:ascii="MS Mincho" w:eastAsia="MS Mincho" w:hAnsi="MS Mincho" w:cs="MS Mincho" w:hint="eastAsia"/>
          <w:sz w:val="23"/>
          <w:szCs w:val="23"/>
        </w:rPr>
      </w:pPr>
      <w:r>
        <w:rPr>
          <w:rFonts w:ascii="MS Mincho" w:eastAsia="MS Mincho" w:hAnsi="MS Mincho" w:cs="MS Mincho" w:hint="eastAsia"/>
          <w:sz w:val="23"/>
          <w:szCs w:val="23"/>
        </w:rPr>
        <w:t>表１．</w:t>
      </w:r>
      <w:r w:rsidR="005C7247">
        <w:rPr>
          <w:rFonts w:ascii="MS Mincho" w:eastAsia="MS Mincho" w:hAnsi="MS Mincho" w:cs="MS Mincho" w:hint="eastAsia"/>
          <w:sz w:val="23"/>
          <w:szCs w:val="23"/>
        </w:rPr>
        <w:t>平均到着率に対するシステム内客数とシステム内時間（計測値，理論値）</w:t>
      </w:r>
    </w:p>
    <w:tbl>
      <w:tblPr>
        <w:tblW w:w="9640" w:type="dxa"/>
        <w:tblLook w:val="04A0" w:firstRow="1" w:lastRow="0" w:firstColumn="1" w:lastColumn="0" w:noHBand="0" w:noVBand="1"/>
      </w:tblPr>
      <w:tblGrid>
        <w:gridCol w:w="1886"/>
        <w:gridCol w:w="1991"/>
        <w:gridCol w:w="1991"/>
        <w:gridCol w:w="1886"/>
        <w:gridCol w:w="1886"/>
      </w:tblGrid>
      <w:tr w:rsidR="007B3898" w:rsidRPr="007B3898" w14:paraId="30B877D2" w14:textId="77777777" w:rsidTr="007B3898">
        <w:trPr>
          <w:trHeight w:val="308"/>
        </w:trPr>
        <w:tc>
          <w:tcPr>
            <w:tcW w:w="1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BED4D" w14:textId="77777777" w:rsidR="007B3898" w:rsidRPr="007B3898" w:rsidRDefault="007B3898" w:rsidP="007B3898">
            <w:pPr>
              <w:rPr>
                <w:rFonts w:ascii="Calibri" w:eastAsia="Times New Roman" w:hAnsi="Calibri" w:cs="Calibri"/>
                <w:color w:val="000000"/>
              </w:rPr>
            </w:pPr>
            <w:r w:rsidRPr="007B3898">
              <w:rPr>
                <w:rFonts w:ascii="MS Gothic" w:eastAsia="MS Gothic" w:hAnsi="MS Gothic" w:cs="MS Gothic" w:hint="eastAsia"/>
                <w:color w:val="000000"/>
              </w:rPr>
              <w:t>平均到着</w:t>
            </w:r>
            <w:r w:rsidRPr="007B3898">
              <w:rPr>
                <w:rFonts w:ascii="MS Gothic" w:eastAsia="MS Gothic" w:hAnsi="MS Gothic" w:cs="MS Gothic"/>
                <w:color w:val="000000"/>
              </w:rPr>
              <w:t>率</w:t>
            </w:r>
          </w:p>
        </w:tc>
        <w:tc>
          <w:tcPr>
            <w:tcW w:w="1991" w:type="dxa"/>
            <w:tcBorders>
              <w:top w:val="single" w:sz="4" w:space="0" w:color="auto"/>
              <w:left w:val="nil"/>
              <w:bottom w:val="single" w:sz="4" w:space="0" w:color="auto"/>
              <w:right w:val="single" w:sz="4" w:space="0" w:color="auto"/>
            </w:tcBorders>
            <w:shd w:val="clear" w:color="auto" w:fill="auto"/>
            <w:noWrap/>
            <w:vAlign w:val="bottom"/>
            <w:hideMark/>
          </w:tcPr>
          <w:p w14:paraId="2ADB905F" w14:textId="77777777" w:rsidR="007B3898" w:rsidRPr="007B3898" w:rsidRDefault="007B3898" w:rsidP="007B3898">
            <w:pPr>
              <w:rPr>
                <w:rFonts w:ascii="Calibri" w:eastAsia="Times New Roman" w:hAnsi="Calibri" w:cs="Calibri"/>
                <w:color w:val="000000"/>
              </w:rPr>
            </w:pPr>
            <w:r w:rsidRPr="007B3898">
              <w:rPr>
                <w:rFonts w:ascii="MS Gothic" w:eastAsia="MS Gothic" w:hAnsi="MS Gothic" w:cs="MS Gothic"/>
                <w:color w:val="000000"/>
              </w:rPr>
              <w:t>システム内客数（計測値）</w:t>
            </w:r>
          </w:p>
        </w:tc>
        <w:tc>
          <w:tcPr>
            <w:tcW w:w="1991" w:type="dxa"/>
            <w:tcBorders>
              <w:top w:val="single" w:sz="4" w:space="0" w:color="auto"/>
              <w:left w:val="nil"/>
              <w:bottom w:val="single" w:sz="4" w:space="0" w:color="auto"/>
              <w:right w:val="single" w:sz="4" w:space="0" w:color="auto"/>
            </w:tcBorders>
            <w:shd w:val="clear" w:color="auto" w:fill="auto"/>
            <w:noWrap/>
            <w:vAlign w:val="bottom"/>
            <w:hideMark/>
          </w:tcPr>
          <w:p w14:paraId="443E477B" w14:textId="77777777" w:rsidR="007B3898" w:rsidRPr="007B3898" w:rsidRDefault="007B3898" w:rsidP="007B3898">
            <w:pPr>
              <w:rPr>
                <w:rFonts w:ascii="Calibri" w:eastAsia="Times New Roman" w:hAnsi="Calibri" w:cs="Calibri"/>
                <w:color w:val="000000"/>
              </w:rPr>
            </w:pPr>
            <w:r w:rsidRPr="007B3898">
              <w:rPr>
                <w:rFonts w:ascii="MS Gothic" w:eastAsia="MS Gothic" w:hAnsi="MS Gothic" w:cs="MS Gothic"/>
                <w:color w:val="000000"/>
              </w:rPr>
              <w:t>システム内時間（計測値）</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14:paraId="244911A7" w14:textId="77777777" w:rsidR="007B3898" w:rsidRPr="007B3898" w:rsidRDefault="007B3898" w:rsidP="007B3898">
            <w:pPr>
              <w:rPr>
                <w:rFonts w:ascii="Calibri" w:eastAsia="Times New Roman" w:hAnsi="Calibri" w:cs="Calibri"/>
                <w:color w:val="000000"/>
              </w:rPr>
            </w:pPr>
            <w:r w:rsidRPr="007B3898">
              <w:rPr>
                <w:rFonts w:ascii="MS Gothic" w:eastAsia="MS Gothic" w:hAnsi="MS Gothic" w:cs="MS Gothic"/>
                <w:color w:val="000000"/>
              </w:rPr>
              <w:t>システム内客数（理論値）</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14:paraId="2236F096" w14:textId="77777777" w:rsidR="007B3898" w:rsidRPr="007B3898" w:rsidRDefault="007B3898" w:rsidP="007B3898">
            <w:pPr>
              <w:rPr>
                <w:rFonts w:ascii="Calibri" w:eastAsia="Times New Roman" w:hAnsi="Calibri" w:cs="Calibri"/>
                <w:color w:val="000000"/>
              </w:rPr>
            </w:pPr>
            <w:r w:rsidRPr="007B3898">
              <w:rPr>
                <w:rFonts w:ascii="MS Gothic" w:eastAsia="MS Gothic" w:hAnsi="MS Gothic" w:cs="MS Gothic"/>
                <w:color w:val="000000"/>
              </w:rPr>
              <w:t>システム内時間（理論値）</w:t>
            </w:r>
          </w:p>
        </w:tc>
      </w:tr>
      <w:tr w:rsidR="007B3898" w:rsidRPr="007B3898" w14:paraId="0AFCAAD5"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2FD9782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0.1</w:t>
            </w:r>
          </w:p>
        </w:tc>
        <w:tc>
          <w:tcPr>
            <w:tcW w:w="1991" w:type="dxa"/>
            <w:tcBorders>
              <w:top w:val="nil"/>
              <w:left w:val="nil"/>
              <w:bottom w:val="single" w:sz="4" w:space="0" w:color="auto"/>
              <w:right w:val="single" w:sz="4" w:space="0" w:color="auto"/>
            </w:tcBorders>
            <w:shd w:val="clear" w:color="auto" w:fill="auto"/>
            <w:noWrap/>
            <w:vAlign w:val="bottom"/>
            <w:hideMark/>
          </w:tcPr>
          <w:p w14:paraId="44E320DF"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0.111048</w:t>
            </w:r>
          </w:p>
        </w:tc>
        <w:tc>
          <w:tcPr>
            <w:tcW w:w="1991" w:type="dxa"/>
            <w:tcBorders>
              <w:top w:val="nil"/>
              <w:left w:val="nil"/>
              <w:bottom w:val="single" w:sz="4" w:space="0" w:color="auto"/>
              <w:right w:val="single" w:sz="4" w:space="0" w:color="auto"/>
            </w:tcBorders>
            <w:shd w:val="clear" w:color="auto" w:fill="auto"/>
            <w:noWrap/>
            <w:vAlign w:val="bottom"/>
            <w:hideMark/>
          </w:tcPr>
          <w:p w14:paraId="5870E76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1.124035</w:t>
            </w:r>
          </w:p>
        </w:tc>
        <w:tc>
          <w:tcPr>
            <w:tcW w:w="1886" w:type="dxa"/>
            <w:tcBorders>
              <w:top w:val="nil"/>
              <w:left w:val="nil"/>
              <w:bottom w:val="single" w:sz="4" w:space="0" w:color="auto"/>
              <w:right w:val="single" w:sz="4" w:space="0" w:color="auto"/>
            </w:tcBorders>
            <w:shd w:val="clear" w:color="auto" w:fill="auto"/>
            <w:noWrap/>
            <w:vAlign w:val="bottom"/>
            <w:hideMark/>
          </w:tcPr>
          <w:p w14:paraId="7E6A0C77"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0.111111</w:t>
            </w:r>
          </w:p>
        </w:tc>
        <w:tc>
          <w:tcPr>
            <w:tcW w:w="1886" w:type="dxa"/>
            <w:tcBorders>
              <w:top w:val="nil"/>
              <w:left w:val="nil"/>
              <w:bottom w:val="single" w:sz="4" w:space="0" w:color="auto"/>
              <w:right w:val="single" w:sz="4" w:space="0" w:color="auto"/>
            </w:tcBorders>
            <w:shd w:val="clear" w:color="auto" w:fill="auto"/>
            <w:noWrap/>
            <w:vAlign w:val="bottom"/>
            <w:hideMark/>
          </w:tcPr>
          <w:p w14:paraId="456D3E52"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1.111111</w:t>
            </w:r>
          </w:p>
        </w:tc>
      </w:tr>
      <w:tr w:rsidR="007B3898" w:rsidRPr="007B3898" w14:paraId="26438272"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1A325518"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0.2</w:t>
            </w:r>
          </w:p>
        </w:tc>
        <w:tc>
          <w:tcPr>
            <w:tcW w:w="1991" w:type="dxa"/>
            <w:tcBorders>
              <w:top w:val="nil"/>
              <w:left w:val="nil"/>
              <w:bottom w:val="single" w:sz="4" w:space="0" w:color="auto"/>
              <w:right w:val="single" w:sz="4" w:space="0" w:color="auto"/>
            </w:tcBorders>
            <w:shd w:val="clear" w:color="auto" w:fill="auto"/>
            <w:noWrap/>
            <w:vAlign w:val="bottom"/>
            <w:hideMark/>
          </w:tcPr>
          <w:p w14:paraId="17F7378A"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0.245079</w:t>
            </w:r>
          </w:p>
        </w:tc>
        <w:tc>
          <w:tcPr>
            <w:tcW w:w="1991" w:type="dxa"/>
            <w:tcBorders>
              <w:top w:val="nil"/>
              <w:left w:val="nil"/>
              <w:bottom w:val="single" w:sz="4" w:space="0" w:color="auto"/>
              <w:right w:val="single" w:sz="4" w:space="0" w:color="auto"/>
            </w:tcBorders>
            <w:shd w:val="clear" w:color="auto" w:fill="auto"/>
            <w:noWrap/>
            <w:vAlign w:val="bottom"/>
            <w:hideMark/>
          </w:tcPr>
          <w:p w14:paraId="021A56FE"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1.262102</w:t>
            </w:r>
          </w:p>
        </w:tc>
        <w:tc>
          <w:tcPr>
            <w:tcW w:w="1886" w:type="dxa"/>
            <w:tcBorders>
              <w:top w:val="nil"/>
              <w:left w:val="nil"/>
              <w:bottom w:val="single" w:sz="4" w:space="0" w:color="auto"/>
              <w:right w:val="single" w:sz="4" w:space="0" w:color="auto"/>
            </w:tcBorders>
            <w:shd w:val="clear" w:color="auto" w:fill="auto"/>
            <w:noWrap/>
            <w:vAlign w:val="bottom"/>
            <w:hideMark/>
          </w:tcPr>
          <w:p w14:paraId="4788080B"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0.25</w:t>
            </w:r>
          </w:p>
        </w:tc>
        <w:tc>
          <w:tcPr>
            <w:tcW w:w="1886" w:type="dxa"/>
            <w:tcBorders>
              <w:top w:val="nil"/>
              <w:left w:val="nil"/>
              <w:bottom w:val="single" w:sz="4" w:space="0" w:color="auto"/>
              <w:right w:val="single" w:sz="4" w:space="0" w:color="auto"/>
            </w:tcBorders>
            <w:shd w:val="clear" w:color="auto" w:fill="auto"/>
            <w:noWrap/>
            <w:vAlign w:val="bottom"/>
            <w:hideMark/>
          </w:tcPr>
          <w:p w14:paraId="48A96990"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1.25</w:t>
            </w:r>
          </w:p>
        </w:tc>
      </w:tr>
      <w:tr w:rsidR="007B3898" w:rsidRPr="007B3898" w14:paraId="202BB49D"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06F00DAF"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0.3</w:t>
            </w:r>
          </w:p>
        </w:tc>
        <w:tc>
          <w:tcPr>
            <w:tcW w:w="1991" w:type="dxa"/>
            <w:tcBorders>
              <w:top w:val="nil"/>
              <w:left w:val="nil"/>
              <w:bottom w:val="single" w:sz="4" w:space="0" w:color="auto"/>
              <w:right w:val="single" w:sz="4" w:space="0" w:color="auto"/>
            </w:tcBorders>
            <w:shd w:val="clear" w:color="auto" w:fill="auto"/>
            <w:noWrap/>
            <w:vAlign w:val="bottom"/>
            <w:hideMark/>
          </w:tcPr>
          <w:p w14:paraId="4249A3E1"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0.429234</w:t>
            </w:r>
          </w:p>
        </w:tc>
        <w:tc>
          <w:tcPr>
            <w:tcW w:w="1991" w:type="dxa"/>
            <w:tcBorders>
              <w:top w:val="nil"/>
              <w:left w:val="nil"/>
              <w:bottom w:val="single" w:sz="4" w:space="0" w:color="auto"/>
              <w:right w:val="single" w:sz="4" w:space="0" w:color="auto"/>
            </w:tcBorders>
            <w:shd w:val="clear" w:color="auto" w:fill="auto"/>
            <w:noWrap/>
            <w:vAlign w:val="bottom"/>
            <w:hideMark/>
          </w:tcPr>
          <w:p w14:paraId="1E20B62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1.436368</w:t>
            </w:r>
          </w:p>
        </w:tc>
        <w:tc>
          <w:tcPr>
            <w:tcW w:w="1886" w:type="dxa"/>
            <w:tcBorders>
              <w:top w:val="nil"/>
              <w:left w:val="nil"/>
              <w:bottom w:val="single" w:sz="4" w:space="0" w:color="auto"/>
              <w:right w:val="single" w:sz="4" w:space="0" w:color="auto"/>
            </w:tcBorders>
            <w:shd w:val="clear" w:color="auto" w:fill="auto"/>
            <w:noWrap/>
            <w:vAlign w:val="bottom"/>
            <w:hideMark/>
          </w:tcPr>
          <w:p w14:paraId="67F88740"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0.428571</w:t>
            </w:r>
          </w:p>
        </w:tc>
        <w:tc>
          <w:tcPr>
            <w:tcW w:w="1886" w:type="dxa"/>
            <w:tcBorders>
              <w:top w:val="nil"/>
              <w:left w:val="nil"/>
              <w:bottom w:val="single" w:sz="4" w:space="0" w:color="auto"/>
              <w:right w:val="single" w:sz="4" w:space="0" w:color="auto"/>
            </w:tcBorders>
            <w:shd w:val="clear" w:color="auto" w:fill="auto"/>
            <w:noWrap/>
            <w:vAlign w:val="bottom"/>
            <w:hideMark/>
          </w:tcPr>
          <w:p w14:paraId="44698BF9"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1.428571</w:t>
            </w:r>
          </w:p>
        </w:tc>
      </w:tr>
      <w:tr w:rsidR="007B3898" w:rsidRPr="007B3898" w14:paraId="675DA7FD"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47BCA6C1"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0.4</w:t>
            </w:r>
          </w:p>
        </w:tc>
        <w:tc>
          <w:tcPr>
            <w:tcW w:w="1991" w:type="dxa"/>
            <w:tcBorders>
              <w:top w:val="nil"/>
              <w:left w:val="nil"/>
              <w:bottom w:val="single" w:sz="4" w:space="0" w:color="auto"/>
              <w:right w:val="single" w:sz="4" w:space="0" w:color="auto"/>
            </w:tcBorders>
            <w:shd w:val="clear" w:color="auto" w:fill="auto"/>
            <w:noWrap/>
            <w:vAlign w:val="bottom"/>
            <w:hideMark/>
          </w:tcPr>
          <w:p w14:paraId="2B560B0A"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0.679748</w:t>
            </w:r>
          </w:p>
        </w:tc>
        <w:tc>
          <w:tcPr>
            <w:tcW w:w="1991" w:type="dxa"/>
            <w:tcBorders>
              <w:top w:val="nil"/>
              <w:left w:val="nil"/>
              <w:bottom w:val="single" w:sz="4" w:space="0" w:color="auto"/>
              <w:right w:val="single" w:sz="4" w:space="0" w:color="auto"/>
            </w:tcBorders>
            <w:shd w:val="clear" w:color="auto" w:fill="auto"/>
            <w:noWrap/>
            <w:vAlign w:val="bottom"/>
            <w:hideMark/>
          </w:tcPr>
          <w:p w14:paraId="1EF238B4"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1.673827</w:t>
            </w:r>
          </w:p>
        </w:tc>
        <w:tc>
          <w:tcPr>
            <w:tcW w:w="1886" w:type="dxa"/>
            <w:tcBorders>
              <w:top w:val="nil"/>
              <w:left w:val="nil"/>
              <w:bottom w:val="single" w:sz="4" w:space="0" w:color="auto"/>
              <w:right w:val="single" w:sz="4" w:space="0" w:color="auto"/>
            </w:tcBorders>
            <w:shd w:val="clear" w:color="auto" w:fill="auto"/>
            <w:noWrap/>
            <w:vAlign w:val="bottom"/>
            <w:hideMark/>
          </w:tcPr>
          <w:p w14:paraId="4D76227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0.666667</w:t>
            </w:r>
          </w:p>
        </w:tc>
        <w:tc>
          <w:tcPr>
            <w:tcW w:w="1886" w:type="dxa"/>
            <w:tcBorders>
              <w:top w:val="nil"/>
              <w:left w:val="nil"/>
              <w:bottom w:val="single" w:sz="4" w:space="0" w:color="auto"/>
              <w:right w:val="single" w:sz="4" w:space="0" w:color="auto"/>
            </w:tcBorders>
            <w:shd w:val="clear" w:color="auto" w:fill="auto"/>
            <w:noWrap/>
            <w:vAlign w:val="bottom"/>
            <w:hideMark/>
          </w:tcPr>
          <w:p w14:paraId="4814F73D"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1.666667</w:t>
            </w:r>
          </w:p>
        </w:tc>
      </w:tr>
      <w:tr w:rsidR="007B3898" w:rsidRPr="007B3898" w14:paraId="522A2013"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0F028408"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0.5</w:t>
            </w:r>
          </w:p>
        </w:tc>
        <w:tc>
          <w:tcPr>
            <w:tcW w:w="1991" w:type="dxa"/>
            <w:tcBorders>
              <w:top w:val="nil"/>
              <w:left w:val="nil"/>
              <w:bottom w:val="single" w:sz="4" w:space="0" w:color="auto"/>
              <w:right w:val="single" w:sz="4" w:space="0" w:color="auto"/>
            </w:tcBorders>
            <w:shd w:val="clear" w:color="auto" w:fill="auto"/>
            <w:noWrap/>
            <w:vAlign w:val="bottom"/>
            <w:hideMark/>
          </w:tcPr>
          <w:p w14:paraId="6E8FE8B1"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1.014021</w:t>
            </w:r>
          </w:p>
        </w:tc>
        <w:tc>
          <w:tcPr>
            <w:tcW w:w="1991" w:type="dxa"/>
            <w:tcBorders>
              <w:top w:val="nil"/>
              <w:left w:val="nil"/>
              <w:bottom w:val="single" w:sz="4" w:space="0" w:color="auto"/>
              <w:right w:val="single" w:sz="4" w:space="0" w:color="auto"/>
            </w:tcBorders>
            <w:shd w:val="clear" w:color="auto" w:fill="auto"/>
            <w:noWrap/>
            <w:vAlign w:val="bottom"/>
            <w:hideMark/>
          </w:tcPr>
          <w:p w14:paraId="21DEBA93"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2.013952</w:t>
            </w:r>
          </w:p>
        </w:tc>
        <w:tc>
          <w:tcPr>
            <w:tcW w:w="1886" w:type="dxa"/>
            <w:tcBorders>
              <w:top w:val="nil"/>
              <w:left w:val="nil"/>
              <w:bottom w:val="single" w:sz="4" w:space="0" w:color="auto"/>
              <w:right w:val="single" w:sz="4" w:space="0" w:color="auto"/>
            </w:tcBorders>
            <w:shd w:val="clear" w:color="auto" w:fill="auto"/>
            <w:noWrap/>
            <w:vAlign w:val="bottom"/>
            <w:hideMark/>
          </w:tcPr>
          <w:p w14:paraId="78A85F02"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w:t>
            </w:r>
          </w:p>
        </w:tc>
        <w:tc>
          <w:tcPr>
            <w:tcW w:w="1886" w:type="dxa"/>
            <w:tcBorders>
              <w:top w:val="nil"/>
              <w:left w:val="nil"/>
              <w:bottom w:val="single" w:sz="4" w:space="0" w:color="auto"/>
              <w:right w:val="single" w:sz="4" w:space="0" w:color="auto"/>
            </w:tcBorders>
            <w:shd w:val="clear" w:color="auto" w:fill="auto"/>
            <w:noWrap/>
            <w:vAlign w:val="bottom"/>
            <w:hideMark/>
          </w:tcPr>
          <w:p w14:paraId="6E51C61C"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2</w:t>
            </w:r>
          </w:p>
        </w:tc>
      </w:tr>
      <w:tr w:rsidR="007B3898" w:rsidRPr="007B3898" w14:paraId="1A3173E9"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351D5524"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0.6</w:t>
            </w:r>
          </w:p>
        </w:tc>
        <w:tc>
          <w:tcPr>
            <w:tcW w:w="1991" w:type="dxa"/>
            <w:tcBorders>
              <w:top w:val="nil"/>
              <w:left w:val="nil"/>
              <w:bottom w:val="single" w:sz="4" w:space="0" w:color="auto"/>
              <w:right w:val="single" w:sz="4" w:space="0" w:color="auto"/>
            </w:tcBorders>
            <w:shd w:val="clear" w:color="auto" w:fill="auto"/>
            <w:noWrap/>
            <w:vAlign w:val="bottom"/>
            <w:hideMark/>
          </w:tcPr>
          <w:p w14:paraId="4158108F"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1.54112</w:t>
            </w:r>
          </w:p>
        </w:tc>
        <w:tc>
          <w:tcPr>
            <w:tcW w:w="1991" w:type="dxa"/>
            <w:tcBorders>
              <w:top w:val="nil"/>
              <w:left w:val="nil"/>
              <w:bottom w:val="single" w:sz="4" w:space="0" w:color="auto"/>
              <w:right w:val="single" w:sz="4" w:space="0" w:color="auto"/>
            </w:tcBorders>
            <w:shd w:val="clear" w:color="auto" w:fill="auto"/>
            <w:noWrap/>
            <w:vAlign w:val="bottom"/>
            <w:hideMark/>
          </w:tcPr>
          <w:p w14:paraId="6A80068D"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2.546054</w:t>
            </w:r>
          </w:p>
        </w:tc>
        <w:tc>
          <w:tcPr>
            <w:tcW w:w="1886" w:type="dxa"/>
            <w:tcBorders>
              <w:top w:val="nil"/>
              <w:left w:val="nil"/>
              <w:bottom w:val="single" w:sz="4" w:space="0" w:color="auto"/>
              <w:right w:val="single" w:sz="4" w:space="0" w:color="auto"/>
            </w:tcBorders>
            <w:shd w:val="clear" w:color="auto" w:fill="auto"/>
            <w:noWrap/>
            <w:vAlign w:val="bottom"/>
            <w:hideMark/>
          </w:tcPr>
          <w:p w14:paraId="4C884FCD"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1.5</w:t>
            </w:r>
          </w:p>
        </w:tc>
        <w:tc>
          <w:tcPr>
            <w:tcW w:w="1886" w:type="dxa"/>
            <w:tcBorders>
              <w:top w:val="nil"/>
              <w:left w:val="nil"/>
              <w:bottom w:val="single" w:sz="4" w:space="0" w:color="auto"/>
              <w:right w:val="single" w:sz="4" w:space="0" w:color="auto"/>
            </w:tcBorders>
            <w:shd w:val="clear" w:color="auto" w:fill="auto"/>
            <w:noWrap/>
            <w:vAlign w:val="bottom"/>
            <w:hideMark/>
          </w:tcPr>
          <w:p w14:paraId="246A39A0"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2.5</w:t>
            </w:r>
          </w:p>
        </w:tc>
      </w:tr>
      <w:tr w:rsidR="007B3898" w:rsidRPr="007B3898" w14:paraId="4AC49701"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763881BD"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0.7</w:t>
            </w:r>
          </w:p>
        </w:tc>
        <w:tc>
          <w:tcPr>
            <w:tcW w:w="1991" w:type="dxa"/>
            <w:tcBorders>
              <w:top w:val="nil"/>
              <w:left w:val="nil"/>
              <w:bottom w:val="single" w:sz="4" w:space="0" w:color="auto"/>
              <w:right w:val="single" w:sz="4" w:space="0" w:color="auto"/>
            </w:tcBorders>
            <w:shd w:val="clear" w:color="auto" w:fill="auto"/>
            <w:noWrap/>
            <w:vAlign w:val="bottom"/>
            <w:hideMark/>
          </w:tcPr>
          <w:p w14:paraId="70D63687"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2.300676</w:t>
            </w:r>
          </w:p>
        </w:tc>
        <w:tc>
          <w:tcPr>
            <w:tcW w:w="1991" w:type="dxa"/>
            <w:tcBorders>
              <w:top w:val="nil"/>
              <w:left w:val="nil"/>
              <w:bottom w:val="single" w:sz="4" w:space="0" w:color="auto"/>
              <w:right w:val="single" w:sz="4" w:space="0" w:color="auto"/>
            </w:tcBorders>
            <w:shd w:val="clear" w:color="auto" w:fill="auto"/>
            <w:noWrap/>
            <w:vAlign w:val="bottom"/>
            <w:hideMark/>
          </w:tcPr>
          <w:p w14:paraId="64F6D772"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3.285565</w:t>
            </w:r>
          </w:p>
        </w:tc>
        <w:tc>
          <w:tcPr>
            <w:tcW w:w="1886" w:type="dxa"/>
            <w:tcBorders>
              <w:top w:val="nil"/>
              <w:left w:val="nil"/>
              <w:bottom w:val="single" w:sz="4" w:space="0" w:color="auto"/>
              <w:right w:val="single" w:sz="4" w:space="0" w:color="auto"/>
            </w:tcBorders>
            <w:shd w:val="clear" w:color="auto" w:fill="auto"/>
            <w:noWrap/>
            <w:vAlign w:val="bottom"/>
            <w:hideMark/>
          </w:tcPr>
          <w:p w14:paraId="6CB41ABC"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2.333333</w:t>
            </w:r>
          </w:p>
        </w:tc>
        <w:tc>
          <w:tcPr>
            <w:tcW w:w="1886" w:type="dxa"/>
            <w:tcBorders>
              <w:top w:val="nil"/>
              <w:left w:val="nil"/>
              <w:bottom w:val="single" w:sz="4" w:space="0" w:color="auto"/>
              <w:right w:val="single" w:sz="4" w:space="0" w:color="auto"/>
            </w:tcBorders>
            <w:shd w:val="clear" w:color="auto" w:fill="auto"/>
            <w:noWrap/>
            <w:vAlign w:val="bottom"/>
            <w:hideMark/>
          </w:tcPr>
          <w:p w14:paraId="547294D5"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3.333333</w:t>
            </w:r>
          </w:p>
        </w:tc>
      </w:tr>
      <w:tr w:rsidR="007B3898" w:rsidRPr="007B3898" w14:paraId="0CD05B57"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72E1E338"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0.8</w:t>
            </w:r>
          </w:p>
        </w:tc>
        <w:tc>
          <w:tcPr>
            <w:tcW w:w="1991" w:type="dxa"/>
            <w:tcBorders>
              <w:top w:val="nil"/>
              <w:left w:val="nil"/>
              <w:bottom w:val="single" w:sz="4" w:space="0" w:color="auto"/>
              <w:right w:val="single" w:sz="4" w:space="0" w:color="auto"/>
            </w:tcBorders>
            <w:shd w:val="clear" w:color="auto" w:fill="auto"/>
            <w:noWrap/>
            <w:vAlign w:val="bottom"/>
            <w:hideMark/>
          </w:tcPr>
          <w:p w14:paraId="5ED6BDB9"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4.017867</w:t>
            </w:r>
          </w:p>
        </w:tc>
        <w:tc>
          <w:tcPr>
            <w:tcW w:w="1991" w:type="dxa"/>
            <w:tcBorders>
              <w:top w:val="nil"/>
              <w:left w:val="nil"/>
              <w:bottom w:val="single" w:sz="4" w:space="0" w:color="auto"/>
              <w:right w:val="single" w:sz="4" w:space="0" w:color="auto"/>
            </w:tcBorders>
            <w:shd w:val="clear" w:color="auto" w:fill="auto"/>
            <w:noWrap/>
            <w:vAlign w:val="bottom"/>
            <w:hideMark/>
          </w:tcPr>
          <w:p w14:paraId="6F394F13"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5.022862</w:t>
            </w:r>
          </w:p>
        </w:tc>
        <w:tc>
          <w:tcPr>
            <w:tcW w:w="1886" w:type="dxa"/>
            <w:tcBorders>
              <w:top w:val="nil"/>
              <w:left w:val="nil"/>
              <w:bottom w:val="single" w:sz="4" w:space="0" w:color="auto"/>
              <w:right w:val="single" w:sz="4" w:space="0" w:color="auto"/>
            </w:tcBorders>
            <w:shd w:val="clear" w:color="auto" w:fill="auto"/>
            <w:noWrap/>
            <w:vAlign w:val="bottom"/>
            <w:hideMark/>
          </w:tcPr>
          <w:p w14:paraId="049B8930"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4</w:t>
            </w:r>
          </w:p>
        </w:tc>
        <w:tc>
          <w:tcPr>
            <w:tcW w:w="1886" w:type="dxa"/>
            <w:tcBorders>
              <w:top w:val="nil"/>
              <w:left w:val="nil"/>
              <w:bottom w:val="single" w:sz="4" w:space="0" w:color="auto"/>
              <w:right w:val="single" w:sz="4" w:space="0" w:color="auto"/>
            </w:tcBorders>
            <w:shd w:val="clear" w:color="auto" w:fill="auto"/>
            <w:noWrap/>
            <w:vAlign w:val="bottom"/>
            <w:hideMark/>
          </w:tcPr>
          <w:p w14:paraId="5DEA9E8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5</w:t>
            </w:r>
          </w:p>
        </w:tc>
      </w:tr>
      <w:tr w:rsidR="007B3898" w:rsidRPr="007B3898" w14:paraId="5650A74A"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304CD839"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0.9</w:t>
            </w:r>
          </w:p>
        </w:tc>
        <w:tc>
          <w:tcPr>
            <w:tcW w:w="1991" w:type="dxa"/>
            <w:tcBorders>
              <w:top w:val="nil"/>
              <w:left w:val="nil"/>
              <w:bottom w:val="single" w:sz="4" w:space="0" w:color="auto"/>
              <w:right w:val="single" w:sz="4" w:space="0" w:color="auto"/>
            </w:tcBorders>
            <w:shd w:val="clear" w:color="auto" w:fill="auto"/>
            <w:noWrap/>
            <w:vAlign w:val="bottom"/>
            <w:hideMark/>
          </w:tcPr>
          <w:p w14:paraId="0F0FBE5A"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8.232347</w:t>
            </w:r>
          </w:p>
        </w:tc>
        <w:tc>
          <w:tcPr>
            <w:tcW w:w="1991" w:type="dxa"/>
            <w:tcBorders>
              <w:top w:val="nil"/>
              <w:left w:val="nil"/>
              <w:bottom w:val="single" w:sz="4" w:space="0" w:color="auto"/>
              <w:right w:val="single" w:sz="4" w:space="0" w:color="auto"/>
            </w:tcBorders>
            <w:shd w:val="clear" w:color="auto" w:fill="auto"/>
            <w:noWrap/>
            <w:vAlign w:val="bottom"/>
            <w:hideMark/>
          </w:tcPr>
          <w:p w14:paraId="6A064CA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9.181194</w:t>
            </w:r>
          </w:p>
        </w:tc>
        <w:tc>
          <w:tcPr>
            <w:tcW w:w="1886" w:type="dxa"/>
            <w:tcBorders>
              <w:top w:val="nil"/>
              <w:left w:val="nil"/>
              <w:bottom w:val="single" w:sz="4" w:space="0" w:color="auto"/>
              <w:right w:val="single" w:sz="4" w:space="0" w:color="auto"/>
            </w:tcBorders>
            <w:shd w:val="clear" w:color="auto" w:fill="auto"/>
            <w:noWrap/>
            <w:vAlign w:val="bottom"/>
            <w:hideMark/>
          </w:tcPr>
          <w:p w14:paraId="0EB760DD"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9</w:t>
            </w:r>
          </w:p>
        </w:tc>
        <w:tc>
          <w:tcPr>
            <w:tcW w:w="1886" w:type="dxa"/>
            <w:tcBorders>
              <w:top w:val="nil"/>
              <w:left w:val="nil"/>
              <w:bottom w:val="single" w:sz="4" w:space="0" w:color="auto"/>
              <w:right w:val="single" w:sz="4" w:space="0" w:color="auto"/>
            </w:tcBorders>
            <w:shd w:val="clear" w:color="auto" w:fill="auto"/>
            <w:noWrap/>
            <w:vAlign w:val="bottom"/>
            <w:hideMark/>
          </w:tcPr>
          <w:p w14:paraId="2C0BA89F"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10</w:t>
            </w:r>
          </w:p>
        </w:tc>
      </w:tr>
      <w:tr w:rsidR="007B3898" w:rsidRPr="007B3898" w14:paraId="70612730"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6F2E9F51"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w:t>
            </w:r>
          </w:p>
        </w:tc>
        <w:tc>
          <w:tcPr>
            <w:tcW w:w="1991" w:type="dxa"/>
            <w:tcBorders>
              <w:top w:val="nil"/>
              <w:left w:val="nil"/>
              <w:bottom w:val="single" w:sz="4" w:space="0" w:color="auto"/>
              <w:right w:val="single" w:sz="4" w:space="0" w:color="auto"/>
            </w:tcBorders>
            <w:shd w:val="clear" w:color="auto" w:fill="auto"/>
            <w:noWrap/>
            <w:vAlign w:val="bottom"/>
            <w:hideMark/>
          </w:tcPr>
          <w:p w14:paraId="6AA2D3AB"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55.649606</w:t>
            </w:r>
          </w:p>
        </w:tc>
        <w:tc>
          <w:tcPr>
            <w:tcW w:w="1991" w:type="dxa"/>
            <w:tcBorders>
              <w:top w:val="nil"/>
              <w:left w:val="nil"/>
              <w:bottom w:val="single" w:sz="4" w:space="0" w:color="auto"/>
              <w:right w:val="single" w:sz="4" w:space="0" w:color="auto"/>
            </w:tcBorders>
            <w:shd w:val="clear" w:color="auto" w:fill="auto"/>
            <w:noWrap/>
            <w:vAlign w:val="bottom"/>
            <w:hideMark/>
          </w:tcPr>
          <w:p w14:paraId="039F4109"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56.001118</w:t>
            </w:r>
          </w:p>
        </w:tc>
        <w:tc>
          <w:tcPr>
            <w:tcW w:w="1886" w:type="dxa"/>
            <w:tcBorders>
              <w:top w:val="nil"/>
              <w:left w:val="nil"/>
              <w:bottom w:val="single" w:sz="4" w:space="0" w:color="auto"/>
              <w:right w:val="single" w:sz="4" w:space="0" w:color="auto"/>
            </w:tcBorders>
            <w:shd w:val="clear" w:color="auto" w:fill="auto"/>
            <w:noWrap/>
            <w:vAlign w:val="bottom"/>
            <w:hideMark/>
          </w:tcPr>
          <w:p w14:paraId="0F8E97B1" w14:textId="04117926" w:rsidR="007B3898" w:rsidRPr="007B3898" w:rsidRDefault="00F05863" w:rsidP="007B3898">
            <w:pPr>
              <w:jc w:val="right"/>
              <w:rPr>
                <w:rFonts w:ascii="Calibri" w:eastAsia="Times New Roman" w:hAnsi="Calibri" w:cs="Calibri"/>
                <w:color w:val="000000"/>
              </w:rPr>
            </w:pPr>
            <w:r>
              <w:rPr>
                <w:rFonts w:ascii="MS Mincho" w:eastAsia="MS Mincho" w:hAnsi="MS Mincho" w:cs="MS Mincho"/>
                <w:color w:val="000000"/>
              </w:rPr>
              <w:t>-</w:t>
            </w:r>
          </w:p>
        </w:tc>
        <w:tc>
          <w:tcPr>
            <w:tcW w:w="1886" w:type="dxa"/>
            <w:tcBorders>
              <w:top w:val="nil"/>
              <w:left w:val="nil"/>
              <w:bottom w:val="single" w:sz="4" w:space="0" w:color="auto"/>
              <w:right w:val="single" w:sz="4" w:space="0" w:color="auto"/>
            </w:tcBorders>
            <w:shd w:val="clear" w:color="auto" w:fill="auto"/>
            <w:noWrap/>
            <w:vAlign w:val="bottom"/>
            <w:hideMark/>
          </w:tcPr>
          <w:p w14:paraId="6C5E1539" w14:textId="0A83B153" w:rsidR="007B3898" w:rsidRPr="007B3898" w:rsidRDefault="00F05863" w:rsidP="007B3898">
            <w:pPr>
              <w:jc w:val="right"/>
              <w:rPr>
                <w:rFonts w:ascii="Calibri" w:eastAsia="Times New Roman" w:hAnsi="Calibri" w:cs="Calibri"/>
                <w:color w:val="000000"/>
              </w:rPr>
            </w:pPr>
            <w:r>
              <w:rPr>
                <w:rFonts w:ascii="Calibri" w:eastAsia="Times New Roman" w:hAnsi="Calibri" w:cs="Calibri"/>
                <w:color w:val="000000"/>
              </w:rPr>
              <w:t>-</w:t>
            </w:r>
          </w:p>
        </w:tc>
      </w:tr>
      <w:tr w:rsidR="007B3898" w:rsidRPr="007B3898" w14:paraId="2E1D036C"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5A29437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1.1</w:t>
            </w:r>
          </w:p>
        </w:tc>
        <w:tc>
          <w:tcPr>
            <w:tcW w:w="1991" w:type="dxa"/>
            <w:tcBorders>
              <w:top w:val="nil"/>
              <w:left w:val="nil"/>
              <w:bottom w:val="single" w:sz="4" w:space="0" w:color="auto"/>
              <w:right w:val="single" w:sz="4" w:space="0" w:color="auto"/>
            </w:tcBorders>
            <w:shd w:val="clear" w:color="auto" w:fill="auto"/>
            <w:noWrap/>
            <w:vAlign w:val="bottom"/>
            <w:hideMark/>
          </w:tcPr>
          <w:p w14:paraId="7C0DFCC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640.854172</w:t>
            </w:r>
          </w:p>
        </w:tc>
        <w:tc>
          <w:tcPr>
            <w:tcW w:w="1991" w:type="dxa"/>
            <w:tcBorders>
              <w:top w:val="nil"/>
              <w:left w:val="nil"/>
              <w:bottom w:val="single" w:sz="4" w:space="0" w:color="auto"/>
              <w:right w:val="single" w:sz="4" w:space="0" w:color="auto"/>
            </w:tcBorders>
            <w:shd w:val="clear" w:color="auto" w:fill="auto"/>
            <w:noWrap/>
            <w:vAlign w:val="bottom"/>
            <w:hideMark/>
          </w:tcPr>
          <w:p w14:paraId="3FA7423F"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583.283089</w:t>
            </w:r>
          </w:p>
        </w:tc>
        <w:tc>
          <w:tcPr>
            <w:tcW w:w="1886" w:type="dxa"/>
            <w:tcBorders>
              <w:top w:val="nil"/>
              <w:left w:val="nil"/>
              <w:bottom w:val="single" w:sz="4" w:space="0" w:color="auto"/>
              <w:right w:val="single" w:sz="4" w:space="0" w:color="auto"/>
            </w:tcBorders>
            <w:shd w:val="clear" w:color="auto" w:fill="auto"/>
            <w:noWrap/>
            <w:vAlign w:val="bottom"/>
            <w:hideMark/>
          </w:tcPr>
          <w:p w14:paraId="0EA550B8" w14:textId="37E7C988" w:rsidR="007B3898" w:rsidRPr="007B3898" w:rsidRDefault="00F05863" w:rsidP="00F05863">
            <w:pPr>
              <w:jc w:val="right"/>
              <w:rPr>
                <w:rFonts w:ascii="Calibri" w:eastAsia="Times New Roman" w:hAnsi="Calibri" w:cs="Calibri"/>
                <w:color w:val="000000"/>
              </w:rPr>
            </w:pPr>
            <w:r>
              <w:rPr>
                <w:rFonts w:ascii="Calibri" w:eastAsia="Times New Roman" w:hAnsi="Calibri" w:cs="Calibri"/>
                <w:color w:val="000000"/>
              </w:rPr>
              <w:t>-</w:t>
            </w:r>
          </w:p>
        </w:tc>
        <w:tc>
          <w:tcPr>
            <w:tcW w:w="1886" w:type="dxa"/>
            <w:tcBorders>
              <w:top w:val="nil"/>
              <w:left w:val="nil"/>
              <w:bottom w:val="single" w:sz="4" w:space="0" w:color="auto"/>
              <w:right w:val="single" w:sz="4" w:space="0" w:color="auto"/>
            </w:tcBorders>
            <w:shd w:val="clear" w:color="auto" w:fill="auto"/>
            <w:noWrap/>
            <w:vAlign w:val="bottom"/>
            <w:hideMark/>
          </w:tcPr>
          <w:p w14:paraId="7716508C" w14:textId="60F33B0E" w:rsidR="007B3898" w:rsidRPr="007B3898" w:rsidRDefault="00F05863" w:rsidP="00F05863">
            <w:pPr>
              <w:jc w:val="right"/>
              <w:rPr>
                <w:rFonts w:ascii="Calibri" w:eastAsia="Times New Roman" w:hAnsi="Calibri" w:cs="Calibri"/>
                <w:color w:val="000000"/>
              </w:rPr>
            </w:pPr>
            <w:r>
              <w:rPr>
                <w:rFonts w:ascii="Calibri" w:eastAsia="Times New Roman" w:hAnsi="Calibri" w:cs="Calibri"/>
                <w:color w:val="000000"/>
              </w:rPr>
              <w:t>-</w:t>
            </w:r>
          </w:p>
        </w:tc>
      </w:tr>
    </w:tbl>
    <w:p w14:paraId="23D97A27" w14:textId="77777777" w:rsidR="007B3898" w:rsidRDefault="007B3898" w:rsidP="003C1173">
      <w:pPr>
        <w:rPr>
          <w:rFonts w:ascii="MS Mincho" w:eastAsia="MS Mincho" w:hAnsi="MS Mincho" w:cs="MS Mincho"/>
          <w:sz w:val="23"/>
          <w:szCs w:val="23"/>
        </w:rPr>
      </w:pPr>
    </w:p>
    <w:p w14:paraId="0EC58094" w14:textId="26C4DF77" w:rsidR="00A3218E" w:rsidRDefault="00E710C2" w:rsidP="00A3218E">
      <w:pPr>
        <w:jc w:val="center"/>
        <w:rPr>
          <w:rFonts w:ascii="Times New Roman" w:eastAsia="Times New Roman" w:hAnsi="Times New Roman" w:cs="Times New Roman"/>
        </w:rPr>
      </w:pPr>
      <w:r>
        <w:rPr>
          <w:noProof/>
        </w:rPr>
        <w:lastRenderedPageBreak/>
        <w:drawing>
          <wp:inline distT="0" distB="0" distL="0" distR="0" wp14:anchorId="0C8B794F" wp14:editId="6E09267F">
            <wp:extent cx="4597400" cy="2743200"/>
            <wp:effectExtent l="0" t="0" r="12700" b="12700"/>
            <wp:docPr id="1" name="Chart 1">
              <a:extLst xmlns:a="http://schemas.openxmlformats.org/drawingml/2006/main">
                <a:ext uri="{FF2B5EF4-FFF2-40B4-BE49-F238E27FC236}">
                  <a16:creationId xmlns:a16="http://schemas.microsoft.com/office/drawing/2014/main" id="{FC8F2C0B-4000-C04B-884E-10D600366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FDE34FD" w14:textId="48500EC0" w:rsidR="00A3218E" w:rsidRDefault="00A3218E" w:rsidP="00A3218E">
      <w:pPr>
        <w:jc w:val="center"/>
        <w:rPr>
          <w:rFonts w:ascii="MS Mincho" w:eastAsia="MS Mincho" w:hAnsi="MS Mincho" w:cs="MS Mincho"/>
        </w:rPr>
      </w:pPr>
      <w:bookmarkStart w:id="1" w:name="OLE_LINK1"/>
      <w:r>
        <w:rPr>
          <w:rFonts w:ascii="MS Mincho" w:eastAsia="MS Mincho" w:hAnsi="MS Mincho" w:cs="MS Mincho" w:hint="eastAsia"/>
        </w:rPr>
        <w:t>図１．</w:t>
      </w:r>
      <w:r w:rsidR="00E710C2">
        <w:rPr>
          <w:rFonts w:ascii="MS Mincho" w:eastAsia="MS Mincho" w:hAnsi="MS Mincho" w:cs="MS Mincho" w:hint="eastAsia"/>
        </w:rPr>
        <w:t>平均到着率に対する</w:t>
      </w:r>
      <w:r>
        <w:rPr>
          <w:rFonts w:ascii="MS Mincho" w:eastAsia="MS Mincho" w:hAnsi="MS Mincho" w:cs="MS Mincho" w:hint="eastAsia"/>
        </w:rPr>
        <w:t>システム内客数の理論値と計測値の推移</w:t>
      </w:r>
      <w:bookmarkEnd w:id="1"/>
    </w:p>
    <w:p w14:paraId="4252C36A" w14:textId="77777777" w:rsidR="00E710C2" w:rsidRDefault="00E710C2" w:rsidP="00A3218E">
      <w:pPr>
        <w:jc w:val="center"/>
        <w:rPr>
          <w:rFonts w:ascii="MS Mincho" w:eastAsia="MS Mincho" w:hAnsi="MS Mincho" w:cs="MS Mincho" w:hint="eastAsia"/>
        </w:rPr>
      </w:pPr>
    </w:p>
    <w:p w14:paraId="01C6FC21" w14:textId="500F6963" w:rsidR="00E710C2" w:rsidRDefault="0000328F" w:rsidP="00A3218E">
      <w:pPr>
        <w:jc w:val="center"/>
        <w:rPr>
          <w:rFonts w:ascii="Times New Roman" w:eastAsia="Times New Roman" w:hAnsi="Times New Roman" w:cs="Times New Roman" w:hint="eastAsia"/>
        </w:rPr>
      </w:pPr>
      <w:r>
        <w:rPr>
          <w:noProof/>
        </w:rPr>
        <w:drawing>
          <wp:inline distT="0" distB="0" distL="0" distR="0" wp14:anchorId="7A4AEC67" wp14:editId="1536C412">
            <wp:extent cx="4593167" cy="2743200"/>
            <wp:effectExtent l="0" t="0" r="17145" b="12700"/>
            <wp:docPr id="4" name="Chart 4">
              <a:extLst xmlns:a="http://schemas.openxmlformats.org/drawingml/2006/main">
                <a:ext uri="{FF2B5EF4-FFF2-40B4-BE49-F238E27FC236}">
                  <a16:creationId xmlns:a16="http://schemas.microsoft.com/office/drawing/2014/main" id="{D4970CC8-5DD5-F14C-BA60-5AC122ABC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D234A96" w14:textId="2AE92DD4" w:rsidR="00A3218E" w:rsidRDefault="00E710C2" w:rsidP="00E710C2">
      <w:pPr>
        <w:jc w:val="center"/>
        <w:rPr>
          <w:rFonts w:ascii="Times New Roman" w:eastAsia="Times New Roman" w:hAnsi="Times New Roman" w:cs="Times New Roman"/>
        </w:rPr>
      </w:pPr>
      <w:r>
        <w:rPr>
          <w:rFonts w:ascii="MS Mincho" w:eastAsia="MS Mincho" w:hAnsi="MS Mincho" w:cs="MS Mincho" w:hint="eastAsia"/>
        </w:rPr>
        <w:t>図</w:t>
      </w:r>
      <w:r>
        <w:rPr>
          <w:rFonts w:ascii="MS Mincho" w:eastAsia="MS Mincho" w:hAnsi="MS Mincho" w:cs="MS Mincho" w:hint="eastAsia"/>
        </w:rPr>
        <w:t>２</w:t>
      </w:r>
      <w:r>
        <w:rPr>
          <w:rFonts w:ascii="MS Mincho" w:eastAsia="MS Mincho" w:hAnsi="MS Mincho" w:cs="MS Mincho" w:hint="eastAsia"/>
        </w:rPr>
        <w:t>．平均到着率に対するシステム</w:t>
      </w:r>
      <w:r>
        <w:rPr>
          <w:rFonts w:ascii="MS Mincho" w:eastAsia="MS Mincho" w:hAnsi="MS Mincho" w:cs="MS Mincho" w:hint="eastAsia"/>
        </w:rPr>
        <w:t>時間</w:t>
      </w:r>
      <w:r>
        <w:rPr>
          <w:rFonts w:ascii="MS Mincho" w:eastAsia="MS Mincho" w:hAnsi="MS Mincho" w:cs="MS Mincho" w:hint="eastAsia"/>
        </w:rPr>
        <w:t>の理論値と計測値の推移</w:t>
      </w:r>
    </w:p>
    <w:p w14:paraId="407C5513" w14:textId="1CB78AAF" w:rsidR="00A3218E" w:rsidRPr="003C1173" w:rsidRDefault="00A3218E" w:rsidP="003C1173">
      <w:pPr>
        <w:rPr>
          <w:rFonts w:ascii="Times New Roman" w:eastAsia="Times New Roman" w:hAnsi="Times New Roman" w:cs="Times New Roman" w:hint="eastAsia"/>
        </w:rPr>
      </w:pPr>
    </w:p>
    <w:p w14:paraId="2AE6AF8E" w14:textId="6EE99BFF" w:rsidR="003C1173" w:rsidRDefault="003C1173">
      <w:pPr>
        <w:rPr>
          <w:rFonts w:hint="eastAsia"/>
        </w:rPr>
      </w:pPr>
    </w:p>
    <w:sectPr w:rsidR="003C1173" w:rsidSect="00F872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89"/>
    <w:rsid w:val="0000328F"/>
    <w:rsid w:val="000817E8"/>
    <w:rsid w:val="00220BDC"/>
    <w:rsid w:val="003C1173"/>
    <w:rsid w:val="0041405C"/>
    <w:rsid w:val="00477DA8"/>
    <w:rsid w:val="004D4397"/>
    <w:rsid w:val="00532A28"/>
    <w:rsid w:val="00577EC3"/>
    <w:rsid w:val="005C7247"/>
    <w:rsid w:val="006A5462"/>
    <w:rsid w:val="007B3898"/>
    <w:rsid w:val="00822046"/>
    <w:rsid w:val="008476A9"/>
    <w:rsid w:val="00A3218E"/>
    <w:rsid w:val="00AE7C93"/>
    <w:rsid w:val="00BC4989"/>
    <w:rsid w:val="00C66B9E"/>
    <w:rsid w:val="00D34C4E"/>
    <w:rsid w:val="00DD6376"/>
    <w:rsid w:val="00E710C2"/>
    <w:rsid w:val="00EA4851"/>
    <w:rsid w:val="00F05863"/>
    <w:rsid w:val="00F11898"/>
    <w:rsid w:val="00F756DE"/>
    <w:rsid w:val="00F87209"/>
    <w:rsid w:val="00FA0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AE02"/>
  <w15:chartTrackingRefBased/>
  <w15:docId w15:val="{D6A9FFDC-E734-FB41-855C-1C69A8CA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8715">
      <w:bodyDiv w:val="1"/>
      <w:marLeft w:val="0"/>
      <w:marRight w:val="0"/>
      <w:marTop w:val="0"/>
      <w:marBottom w:val="0"/>
      <w:divBdr>
        <w:top w:val="none" w:sz="0" w:space="0" w:color="auto"/>
        <w:left w:val="none" w:sz="0" w:space="0" w:color="auto"/>
        <w:bottom w:val="none" w:sz="0" w:space="0" w:color="auto"/>
        <w:right w:val="none" w:sz="0" w:space="0" w:color="auto"/>
      </w:divBdr>
    </w:div>
    <w:div w:id="1360356354">
      <w:bodyDiv w:val="1"/>
      <w:marLeft w:val="0"/>
      <w:marRight w:val="0"/>
      <w:marTop w:val="0"/>
      <w:marBottom w:val="0"/>
      <w:divBdr>
        <w:top w:val="none" w:sz="0" w:space="0" w:color="auto"/>
        <w:left w:val="none" w:sz="0" w:space="0" w:color="auto"/>
        <w:bottom w:val="none" w:sz="0" w:space="0" w:color="auto"/>
        <w:right w:val="none" w:sz="0" w:space="0" w:color="auto"/>
      </w:divBdr>
    </w:div>
    <w:div w:id="1640574948">
      <w:bodyDiv w:val="1"/>
      <w:marLeft w:val="0"/>
      <w:marRight w:val="0"/>
      <w:marTop w:val="0"/>
      <w:marBottom w:val="0"/>
      <w:divBdr>
        <w:top w:val="none" w:sz="0" w:space="0" w:color="auto"/>
        <w:left w:val="none" w:sz="0" w:space="0" w:color="auto"/>
        <w:bottom w:val="none" w:sz="0" w:space="0" w:color="auto"/>
        <w:right w:val="none" w:sz="0" w:space="0" w:color="auto"/>
      </w:divBdr>
    </w:div>
    <w:div w:id="171588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akayama/Dropbox%20(Personal)/&#25480;&#26989;2019/&#12471;&#12473;&#12486;&#12512;&#35299;&#26512;&#29305;&#35542;/&#12524;&#12507;&#12442;&#12540;&#12488;/&#29702;&#35542;&#205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akayama/Dropbox%20(Personal)/&#25480;&#26989;2019/&#12471;&#12473;&#12486;&#12512;&#35299;&#26512;&#29305;&#35542;/&#12524;&#12507;&#12442;&#12540;&#12488;/&#29702;&#35542;&#2051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Sheet1!$D$2</c:f>
              <c:strCache>
                <c:ptCount val="1"/>
                <c:pt idx="0">
                  <c:v>システム内客数（計測値）</c:v>
                </c:pt>
              </c:strCache>
            </c:strRef>
          </c:tx>
          <c:spPr>
            <a:ln w="28575" cap="rnd">
              <a:solidFill>
                <a:schemeClr val="accent1"/>
              </a:solidFill>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Sheet1!$D$3:$D$12</c:f>
              <c:numCache>
                <c:formatCode>General</c:formatCode>
                <c:ptCount val="10"/>
                <c:pt idx="0">
                  <c:v>0.11104799999999999</c:v>
                </c:pt>
                <c:pt idx="1">
                  <c:v>0.24507899999999999</c:v>
                </c:pt>
                <c:pt idx="2">
                  <c:v>0.429234</c:v>
                </c:pt>
                <c:pt idx="3">
                  <c:v>0.67974800000000002</c:v>
                </c:pt>
                <c:pt idx="4">
                  <c:v>1.0140210000000001</c:v>
                </c:pt>
                <c:pt idx="5">
                  <c:v>1.54112</c:v>
                </c:pt>
                <c:pt idx="6">
                  <c:v>2.3006760000000002</c:v>
                </c:pt>
                <c:pt idx="7">
                  <c:v>4.0178669999999999</c:v>
                </c:pt>
                <c:pt idx="8">
                  <c:v>8.2323470000000007</c:v>
                </c:pt>
                <c:pt idx="9">
                  <c:v>55.649605999999999</c:v>
                </c:pt>
              </c:numCache>
            </c:numRef>
          </c:val>
          <c:smooth val="0"/>
          <c:extLst>
            <c:ext xmlns:c16="http://schemas.microsoft.com/office/drawing/2014/chart" uri="{C3380CC4-5D6E-409C-BE32-E72D297353CC}">
              <c16:uniqueId val="{00000000-5EA4-3B4C-AFBB-334D39E54E44}"/>
            </c:ext>
          </c:extLst>
        </c:ser>
        <c:ser>
          <c:idx val="1"/>
          <c:order val="1"/>
          <c:tx>
            <c:strRef>
              <c:f>Sheet1!$F$2</c:f>
              <c:strCache>
                <c:ptCount val="1"/>
                <c:pt idx="0">
                  <c:v>システム内客数（理論値）</c:v>
                </c:pt>
              </c:strCache>
            </c:strRef>
          </c:tx>
          <c:spPr>
            <a:ln w="12700" cap="rnd">
              <a:solidFill>
                <a:schemeClr val="accent2"/>
              </a:solidFill>
              <a:prstDash val="dash"/>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Sheet1!$F$3:$F$12</c:f>
              <c:numCache>
                <c:formatCode>General</c:formatCode>
                <c:ptCount val="10"/>
                <c:pt idx="0">
                  <c:v>0.111111</c:v>
                </c:pt>
                <c:pt idx="1">
                  <c:v>0.25</c:v>
                </c:pt>
                <c:pt idx="2">
                  <c:v>0.42857099999999998</c:v>
                </c:pt>
                <c:pt idx="3">
                  <c:v>0.66666700000000001</c:v>
                </c:pt>
                <c:pt idx="4">
                  <c:v>1</c:v>
                </c:pt>
                <c:pt idx="5">
                  <c:v>1.5</c:v>
                </c:pt>
                <c:pt idx="6">
                  <c:v>2.3333330000000001</c:v>
                </c:pt>
                <c:pt idx="7">
                  <c:v>4</c:v>
                </c:pt>
                <c:pt idx="8">
                  <c:v>9</c:v>
                </c:pt>
                <c:pt idx="9">
                  <c:v>10000</c:v>
                </c:pt>
              </c:numCache>
            </c:numRef>
          </c:val>
          <c:smooth val="0"/>
          <c:extLst>
            <c:ext xmlns:c16="http://schemas.microsoft.com/office/drawing/2014/chart" uri="{C3380CC4-5D6E-409C-BE32-E72D297353CC}">
              <c16:uniqueId val="{00000001-5EA4-3B4C-AFBB-334D39E54E44}"/>
            </c:ext>
          </c:extLst>
        </c:ser>
        <c:dLbls>
          <c:showLegendKey val="0"/>
          <c:showVal val="0"/>
          <c:showCatName val="0"/>
          <c:showSerName val="0"/>
          <c:showPercent val="0"/>
          <c:showBubbleSize val="0"/>
        </c:dLbls>
        <c:smooth val="0"/>
        <c:axId val="1607765935"/>
        <c:axId val="1604142527"/>
      </c:lineChart>
      <c:catAx>
        <c:axId val="1607765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平均到着率（λ）</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142527"/>
        <c:crosses val="autoZero"/>
        <c:auto val="1"/>
        <c:lblAlgn val="ctr"/>
        <c:lblOffset val="100"/>
        <c:noMultiLvlLbl val="0"/>
      </c:catAx>
      <c:valAx>
        <c:axId val="1604142527"/>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765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Sheet1!$E$2</c:f>
              <c:strCache>
                <c:ptCount val="1"/>
                <c:pt idx="0">
                  <c:v>システム内時間（計測値）</c:v>
                </c:pt>
              </c:strCache>
            </c:strRef>
          </c:tx>
          <c:spPr>
            <a:ln w="28575" cap="rnd">
              <a:solidFill>
                <a:schemeClr val="accent1"/>
              </a:solidFill>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Sheet1!$E$3:$E$12</c:f>
              <c:numCache>
                <c:formatCode>General</c:formatCode>
                <c:ptCount val="10"/>
                <c:pt idx="0">
                  <c:v>1.1240349999999999</c:v>
                </c:pt>
                <c:pt idx="1">
                  <c:v>1.2621020000000001</c:v>
                </c:pt>
                <c:pt idx="2">
                  <c:v>1.4363680000000001</c:v>
                </c:pt>
                <c:pt idx="3">
                  <c:v>1.673827</c:v>
                </c:pt>
                <c:pt idx="4">
                  <c:v>2.0139520000000002</c:v>
                </c:pt>
                <c:pt idx="5">
                  <c:v>2.5460539999999998</c:v>
                </c:pt>
                <c:pt idx="6">
                  <c:v>3.2855650000000001</c:v>
                </c:pt>
                <c:pt idx="7">
                  <c:v>5.0228619999999999</c:v>
                </c:pt>
                <c:pt idx="8">
                  <c:v>9.1811939999999996</c:v>
                </c:pt>
                <c:pt idx="9">
                  <c:v>56.001117999999998</c:v>
                </c:pt>
              </c:numCache>
            </c:numRef>
          </c:val>
          <c:smooth val="0"/>
          <c:extLst>
            <c:ext xmlns:c16="http://schemas.microsoft.com/office/drawing/2014/chart" uri="{C3380CC4-5D6E-409C-BE32-E72D297353CC}">
              <c16:uniqueId val="{00000000-60E0-B040-A25E-BBE00C0A4952}"/>
            </c:ext>
          </c:extLst>
        </c:ser>
        <c:ser>
          <c:idx val="1"/>
          <c:order val="1"/>
          <c:tx>
            <c:strRef>
              <c:f>Sheet1!$G$2</c:f>
              <c:strCache>
                <c:ptCount val="1"/>
                <c:pt idx="0">
                  <c:v>システム内時間（理論値）</c:v>
                </c:pt>
              </c:strCache>
            </c:strRef>
          </c:tx>
          <c:spPr>
            <a:ln w="12700" cap="rnd">
              <a:solidFill>
                <a:schemeClr val="accent2"/>
              </a:solidFill>
              <a:prstDash val="dash"/>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Sheet1!$G$3:$G$12</c:f>
              <c:numCache>
                <c:formatCode>General</c:formatCode>
                <c:ptCount val="10"/>
                <c:pt idx="0">
                  <c:v>1.111111</c:v>
                </c:pt>
                <c:pt idx="1">
                  <c:v>1.25</c:v>
                </c:pt>
                <c:pt idx="2">
                  <c:v>1.428571</c:v>
                </c:pt>
                <c:pt idx="3">
                  <c:v>1.6666669999999999</c:v>
                </c:pt>
                <c:pt idx="4">
                  <c:v>2</c:v>
                </c:pt>
                <c:pt idx="5">
                  <c:v>2.5</c:v>
                </c:pt>
                <c:pt idx="6">
                  <c:v>3.3333330000000001</c:v>
                </c:pt>
                <c:pt idx="7">
                  <c:v>5</c:v>
                </c:pt>
                <c:pt idx="8">
                  <c:v>10</c:v>
                </c:pt>
                <c:pt idx="9">
                  <c:v>10000</c:v>
                </c:pt>
              </c:numCache>
            </c:numRef>
          </c:val>
          <c:smooth val="0"/>
          <c:extLst>
            <c:ext xmlns:c16="http://schemas.microsoft.com/office/drawing/2014/chart" uri="{C3380CC4-5D6E-409C-BE32-E72D297353CC}">
              <c16:uniqueId val="{00000001-60E0-B040-A25E-BBE00C0A4952}"/>
            </c:ext>
          </c:extLst>
        </c:ser>
        <c:dLbls>
          <c:showLegendKey val="0"/>
          <c:showVal val="0"/>
          <c:showCatName val="0"/>
          <c:showSerName val="0"/>
          <c:showPercent val="0"/>
          <c:showBubbleSize val="0"/>
        </c:dLbls>
        <c:smooth val="0"/>
        <c:axId val="1652288687"/>
        <c:axId val="1652188415"/>
      </c:lineChart>
      <c:catAx>
        <c:axId val="1652288687"/>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ja-JP" altLang="en-US"/>
                  <a:t>平均到着率（</a:t>
                </a:r>
                <a:r>
                  <a:rPr lang="el-GR"/>
                  <a:t>λ）</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188415"/>
        <c:crosses val="autoZero"/>
        <c:auto val="1"/>
        <c:lblAlgn val="ctr"/>
        <c:lblOffset val="100"/>
        <c:noMultiLvlLbl val="0"/>
      </c:catAx>
      <c:valAx>
        <c:axId val="1652188415"/>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288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中山 颯</dc:creator>
  <cp:keywords/>
  <dc:description/>
  <cp:lastModifiedBy>中山 颯</cp:lastModifiedBy>
  <cp:revision>25</cp:revision>
  <dcterms:created xsi:type="dcterms:W3CDTF">2019-09-22T17:36:00Z</dcterms:created>
  <dcterms:modified xsi:type="dcterms:W3CDTF">2019-09-22T18:34:00Z</dcterms:modified>
</cp:coreProperties>
</file>