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color w:val="595959"/>
          <w:sz w:val="20"/>
          <w:szCs w:val="20"/>
        </w:rPr>
        <w:t xml:space="preserve">企業分析レポート</w:t>
      </w:r>
    </w:p>
    <w:p>
      <w:pPr>
        <w:spacing w:after="80"/>
      </w:pPr>
      <w:r>
        <w:rPr>
          <w:rFonts w:ascii="Yu Gothic" w:cs="Yu Gothic" w:eastAsia="Yu Gothic" w:hAnsi="Yu Gothic"/>
          <w:b/>
          <w:bCs/>
          <w:color w:val="1F3864"/>
          <w:sz w:val="40"/>
          <w:szCs w:val="40"/>
        </w:rPr>
        <w:t xml:space="preserve">円谷フィールズホールディングス（2767）</w:t>
      </w:r>
    </w:p>
    <w:p>
      <w:pPr>
        <w:pBdr>
          <w:bottom w:val="single" w:color="1F3864" w:sz="12" w:space="4"/>
        </w:pBdr>
        <w:spacing w:after="240"/>
      </w:pPr>
      <w:r>
        <w:rPr>
          <w:rFonts w:ascii="Yu Gothic" w:cs="Yu Gothic" w:eastAsia="Yu Gothic" w:hAnsi="Yu Gothic"/>
          <w:color w:val="595959"/>
          <w:sz w:val="22"/>
          <w:szCs w:val="22"/>
        </w:rPr>
        <w:t xml:space="preserve">東証プライム市場 ｜ 作成日: 2026年8月14日</w:t>
      </w:r>
    </w:p>
    <w:p>
      <w:pPr>
        <w:spacing w:after="120" w:line="300"/>
      </w:pPr>
      <w:r>
        <w:rPr>
          <w:rFonts w:ascii="Yu Gothic" w:cs="Yu Gothic" w:eastAsia="Yu Gothic" w:hAnsi="Yu Gothic"/>
          <w:color w:val="595959"/>
          <w:sz w:val="19"/>
          <w:szCs w:val="19"/>
        </w:rPr>
        <w:t xml:space="preserve">本レポートは、Anthropic「Agents for financial services」で示された金融サービス向けエージェントのワークフロー（企業調査 → 決算分析 → バリュエーション・リスク検証 → レポート化）に沿って、公開情報に基づき作成したものです。</w:t>
      </w:r>
    </w:p>
    <w:p>
      <w:pPr>
        <w:pStyle w:val="Heading1"/>
        <w:spacing w:after="160" w:before="320"/>
      </w:pPr>
      <w:r>
        <w:rPr>
          <w:rFonts w:ascii="Yu Gothic" w:cs="Yu Gothic" w:eastAsia="Yu Gothic" w:hAnsi="Yu Gothic"/>
          <w:b/>
          <w:bCs/>
          <w:color w:val="1F3864"/>
          <w:sz w:val="28"/>
          <w:szCs w:val="28"/>
        </w:rPr>
        <w:t xml:space="preserve">1. エグゼクティブサマリー</w:t>
      </w:r>
    </w:p>
    <w:p>
      <w:pPr>
        <w:pStyle w:val="ListParagraph"/>
        <w:numPr>
          <w:ilvl w:val="0"/>
          <w:numId w:val="2"/>
        </w:numPr>
        <w:spacing w:after="80" w:line="300"/>
      </w:pPr>
      <w:r>
        <w:rPr>
          <w:rFonts w:ascii="Yu Gothic" w:cs="Yu Gothic" w:eastAsia="Yu Gothic" w:hAnsi="Yu Gothic"/>
          <w:b/>
          <w:bCs/>
          <w:sz w:val="21"/>
          <w:szCs w:val="21"/>
        </w:rPr>
        <w:t xml:space="preserve">2026年3月期は大幅な増収増益。</w:t>
      </w:r>
      <w:r>
        <w:rPr>
          <w:rFonts w:ascii="Yu Gothic" w:cs="Yu Gothic" w:eastAsia="Yu Gothic" w:hAnsi="Yu Gothic"/>
          <w:sz w:val="21"/>
          <w:szCs w:val="21"/>
        </w:rPr>
        <w:t xml:space="preserve">売上高1,741億円（前期比+23.9%）、営業利益174億円（+14.1%）、純利益130億円（+17.0%）。牽引役はアミューズメント機器事業（パチンコ・パチスロ関連）の市場シェア拡大。</w:t>
      </w:r>
    </w:p>
    <w:p>
      <w:pPr>
        <w:pStyle w:val="ListParagraph"/>
        <w:numPr>
          <w:ilvl w:val="0"/>
          <w:numId w:val="2"/>
        </w:numPr>
        <w:spacing w:after="80" w:line="300"/>
      </w:pPr>
      <w:r>
        <w:rPr>
          <w:rFonts w:ascii="Yu Gothic" w:cs="Yu Gothic" w:eastAsia="Yu Gothic" w:hAnsi="Yu Gothic"/>
          <w:b/>
          <w:bCs/>
          <w:sz w:val="21"/>
          <w:szCs w:val="21"/>
        </w:rPr>
        <w:t xml:space="preserve">2027年3月期は期初予想を早くも上方修正。</w:t>
      </w:r>
      <w:r>
        <w:rPr>
          <w:rFonts w:ascii="Yu Gothic" w:cs="Yu Gothic" w:eastAsia="Yu Gothic" w:hAnsi="Yu Gothic"/>
          <w:sz w:val="21"/>
          <w:szCs w:val="21"/>
        </w:rPr>
        <w:t xml:space="preserve">第1四半期（2026年4-6月）は減収減益となったものの、通期予想を売上高1,870億円→2,053億円、営業利益190億円→225億円へ引き上げ。</w:t>
      </w:r>
    </w:p>
    <w:p>
      <w:pPr>
        <w:pStyle w:val="ListParagraph"/>
        <w:numPr>
          <w:ilvl w:val="0"/>
          <w:numId w:val="2"/>
        </w:numPr>
        <w:spacing w:after="80" w:line="300"/>
      </w:pPr>
      <w:r>
        <w:rPr>
          <w:rFonts w:ascii="Yu Gothic" w:cs="Yu Gothic" w:eastAsia="Yu Gothic" w:hAnsi="Yu Gothic"/>
          <w:b/>
          <w:bCs/>
          <w:sz w:val="21"/>
          <w:szCs w:val="21"/>
        </w:rPr>
        <w:t xml:space="preserve">株主還元を強化。</w:t>
      </w:r>
      <w:r>
        <w:rPr>
          <w:rFonts w:ascii="Yu Gothic" w:cs="Yu Gothic" w:eastAsia="Yu Gothic" w:hAnsi="Yu Gothic"/>
          <w:sz w:val="21"/>
          <w:szCs w:val="21"/>
        </w:rPr>
        <w:t xml:space="preserve">2026年3月期の期末配当を50円→70円に増額。2027年3月期は年間140円配当（前期比+70円）を予定。想定利回りは約5.6%。</w:t>
      </w:r>
    </w:p>
    <w:p>
      <w:pPr>
        <w:pStyle w:val="ListParagraph"/>
        <w:numPr>
          <w:ilvl w:val="0"/>
          <w:numId w:val="2"/>
        </w:numPr>
        <w:spacing w:after="80" w:line="300"/>
      </w:pPr>
      <w:r>
        <w:rPr>
          <w:rFonts w:ascii="Yu Gothic" w:cs="Yu Gothic" w:eastAsia="Yu Gothic" w:hAnsi="Yu Gothic"/>
          <w:b/>
          <w:bCs/>
          <w:sz w:val="21"/>
          <w:szCs w:val="21"/>
        </w:rPr>
        <w:t xml:space="preserve">コンテンツ事業には課題。</w:t>
      </w:r>
      <w:r>
        <w:rPr>
          <w:rFonts w:ascii="Yu Gothic" w:cs="Yu Gothic" w:eastAsia="Yu Gothic" w:hAnsi="Yu Gothic"/>
          <w:sz w:val="21"/>
          <w:szCs w:val="21"/>
        </w:rPr>
        <w:t xml:space="preserve">中国におけるウルトラマンIPライセンス収入が規制強化・競合IP増加により10年ぶりに減少（前期比▲51.6%）。ウルトラマン生誕60周年（2026年）を契機とした中国市場の立て直しが焦点。</w:t>
      </w:r>
    </w:p>
    <w:p>
      <w:pPr>
        <w:pStyle w:val="Heading1"/>
        <w:spacing w:after="160" w:before="320"/>
      </w:pPr>
      <w:r>
        <w:rPr>
          <w:rFonts w:ascii="Yu Gothic" w:cs="Yu Gothic" w:eastAsia="Yu Gothic" w:hAnsi="Yu Gothic"/>
          <w:b/>
          <w:bCs/>
          <w:color w:val="1F3864"/>
          <w:sz w:val="28"/>
          <w:szCs w:val="28"/>
        </w:rPr>
        <w:t xml:space="preserve">2. 会社概要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商号</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円谷フィールズホールディングス株式会社</w:t>
            </w:r>
          </w:p>
        </w:tc>
      </w:tr>
      <w:tr>
        <w:tc>
          <w:tcPr>
            <w:tcW w:type="dxa" w:w="22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bCs/>
                <w:sz w:val="20"/>
                <w:szCs w:val="20"/>
              </w:rPr>
              <w:t xml:space="preserve">上場市場</w:t>
            </w:r>
          </w:p>
        </w:tc>
        <w:tc>
          <w:tcPr>
            <w:tcW w:type="dxa" w:w="6826"/>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東証プライム（証券コード 2767）</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主要事業</w:t>
            </w:r>
          </w:p>
        </w:tc>
        <w:tc>
          <w:tcPr>
            <w:tcW w:type="dxa" w:w="68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① アミューズメント機器事業（フィールズ: パチンコ・パチスロ機の企画・販売）　② コンテンツ＆デジタル事業（円谷プロダクション: ウルトラマンシリーズ等のIP開発・ライセンス）</w:t>
            </w:r>
          </w:p>
        </w:tc>
      </w:tr>
      <w:tr>
        <w:tc>
          <w:tcPr>
            <w:tcW w:type="dxa" w:w="22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bCs/>
                <w:sz w:val="20"/>
                <w:szCs w:val="20"/>
              </w:rPr>
              <w:t xml:space="preserve">特徴</w:t>
            </w:r>
          </w:p>
        </w:tc>
        <w:tc>
          <w:tcPr>
            <w:tcW w:type="dxa" w:w="6826"/>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「遊技機販売で稼ぎ、コンテンツIPで育てる」二本柱の事業構造。ウルトラマンという世界的IPを保有。</w:t>
            </w:r>
          </w:p>
        </w:tc>
      </w:tr>
    </w:tbl>
    <w:p>
      <w:pPr>
        <w:pStyle w:val="Heading1"/>
        <w:spacing w:after="160" w:before="320"/>
      </w:pPr>
      <w:r>
        <w:rPr>
          <w:rFonts w:ascii="Yu Gothic" w:cs="Yu Gothic" w:eastAsia="Yu Gothic" w:hAnsi="Yu Gothic"/>
          <w:b/>
          <w:bCs/>
          <w:color w:val="1F3864"/>
          <w:sz w:val="28"/>
          <w:szCs w:val="28"/>
        </w:rPr>
        <w:t xml:space="preserve">3. 業績分析</w:t>
      </w:r>
    </w:p>
    <w:p>
      <w:pPr>
        <w:pStyle w:val="Heading2"/>
        <w:spacing w:after="120" w:before="240"/>
      </w:pPr>
      <w:r>
        <w:rPr>
          <w:rFonts w:ascii="Yu Gothic" w:cs="Yu Gothic" w:eastAsia="Yu Gothic" w:hAnsi="Yu Gothic"/>
          <w:b/>
          <w:bCs/>
          <w:color w:val="2E5395"/>
          <w:sz w:val="24"/>
          <w:szCs w:val="24"/>
        </w:rPr>
        <w:t xml:space="preserve">3.1 2026年3月期 通期実績（2025年4月〜2026年3月）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426"/>
      </w:tblGrid>
      <w:tr>
        <w:trPr>
          <w:tblHeader/>
        </w:trPr>
        <w:tc>
          <w:tcPr>
            <w:tcW w:type="dxa" w:w="3800"/>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指標</w:t>
            </w:r>
          </w:p>
        </w:tc>
        <w:tc>
          <w:tcPr>
            <w:tcW w:type="dxa" w:w="2800"/>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実績</w:t>
            </w:r>
          </w:p>
        </w:tc>
        <w:tc>
          <w:tcPr>
            <w:tcW w:type="dxa" w:w="2426"/>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前期比</w:t>
            </w:r>
          </w:p>
        </w:tc>
      </w:tr>
      <w:tr>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売上高</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1,741億42百万円</w:t>
            </w:r>
          </w:p>
        </w:tc>
        <w:tc>
          <w:tcPr>
            <w:tcW w:type="dxa" w:w="2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+23.9%</w:t>
            </w:r>
          </w:p>
        </w:tc>
      </w:tr>
      <w:tr>
        <w:tc>
          <w:tcPr>
            <w:tcW w:type="dxa" w:w="38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bCs/>
                <w:sz w:val="20"/>
                <w:szCs w:val="20"/>
              </w:rPr>
              <w:t xml:space="preserve">営業利益</w:t>
            </w:r>
          </w:p>
        </w:tc>
        <w:tc>
          <w:tcPr>
            <w:tcW w:type="dxa" w:w="28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174億55百万円</w:t>
            </w:r>
          </w:p>
        </w:tc>
        <w:tc>
          <w:tcPr>
            <w:tcW w:type="dxa" w:w="2426"/>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+14.1%</w:t>
            </w:r>
          </w:p>
        </w:tc>
      </w:tr>
      <w:tr>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親会社株主帰属当期純利益</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130億50百万円</w:t>
            </w:r>
          </w:p>
        </w:tc>
        <w:tc>
          <w:tcPr>
            <w:tcW w:type="dxa" w:w="2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+17.0%</w:t>
            </w:r>
          </w:p>
        </w:tc>
      </w:tr>
    </w:tbl>
    <w:p>
      <w:pPr>
        <w:spacing w:after="120"/>
      </w:pPr>
    </w:p>
    <w:p>
      <w:pPr>
        <w:pStyle w:val="ListParagraph"/>
        <w:numPr>
          <w:ilvl w:val="0"/>
          <w:numId w:val="2"/>
        </w:numPr>
        <w:spacing w:after="80" w:line="300"/>
      </w:pPr>
      <w:r>
        <w:rPr>
          <w:rFonts w:ascii="Yu Gothic" w:cs="Yu Gothic" w:eastAsia="Yu Gothic" w:hAnsi="Yu Gothic"/>
          <w:sz w:val="21"/>
          <w:szCs w:val="21"/>
        </w:rPr>
        <w:t xml:space="preserve">アミューズメント機器事業が市場シェアを拡大し、全体業績を牽引。</w:t>
      </w:r>
    </w:p>
    <w:p>
      <w:pPr>
        <w:pStyle w:val="ListParagraph"/>
        <w:numPr>
          <w:ilvl w:val="0"/>
          <w:numId w:val="2"/>
        </w:numPr>
        <w:spacing w:after="80" w:line="300"/>
      </w:pPr>
      <w:r>
        <w:rPr>
          <w:rFonts w:ascii="Yu Gothic" w:cs="Yu Gothic" w:eastAsia="Yu Gothic" w:hAnsi="Yu Gothic"/>
          <w:sz w:val="21"/>
          <w:szCs w:val="21"/>
        </w:rPr>
        <w:t xml:space="preserve">コンテンツ＆デジタル事業は売上高93億52百万円（前期比▲19.1%）。国内ライセンス収入は堅調だったが、中国市場のライセンス収入減が響いた。</w:t>
      </w:r>
    </w:p>
    <w:p>
      <w:pPr>
        <w:pStyle w:val="ListParagraph"/>
        <w:numPr>
          <w:ilvl w:val="0"/>
          <w:numId w:val="2"/>
        </w:numPr>
        <w:spacing w:after="80" w:line="300"/>
      </w:pPr>
      <w:r>
        <w:rPr>
          <w:rFonts w:ascii="Yu Gothic" w:cs="Yu Gothic" w:eastAsia="Yu Gothic" w:hAnsi="Yu Gothic"/>
          <w:sz w:val="21"/>
          <w:szCs w:val="21"/>
        </w:rPr>
        <w:t xml:space="preserve">期末配当を従来予想の50円から70円へ増額修正。</w:t>
      </w:r>
    </w:p>
    <w:p>
      <w:pPr>
        <w:pStyle w:val="Heading2"/>
        <w:spacing w:after="120" w:before="240"/>
      </w:pPr>
      <w:r>
        <w:rPr>
          <w:rFonts w:ascii="Yu Gothic" w:cs="Yu Gothic" w:eastAsia="Yu Gothic" w:hAnsi="Yu Gothic"/>
          <w:b/>
          <w:bCs/>
          <w:color w:val="2E5395"/>
          <w:sz w:val="24"/>
          <w:szCs w:val="24"/>
        </w:rPr>
        <w:t xml:space="preserve">3.2 2027年3月期 第1四半期実績（2026年4〜6月、7月27日発表）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426"/>
      </w:tblGrid>
      <w:tr>
        <w:trPr>
          <w:tblHeader/>
        </w:trPr>
        <w:tc>
          <w:tcPr>
            <w:tcW w:type="dxa" w:w="3800"/>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指標</w:t>
            </w:r>
          </w:p>
        </w:tc>
        <w:tc>
          <w:tcPr>
            <w:tcW w:type="dxa" w:w="2800"/>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実績</w:t>
            </w:r>
          </w:p>
        </w:tc>
        <w:tc>
          <w:tcPr>
            <w:tcW w:type="dxa" w:w="2426"/>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前年同期比</w:t>
            </w:r>
          </w:p>
        </w:tc>
      </w:tr>
      <w:tr>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売上高</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437億15百万円</w:t>
            </w:r>
          </w:p>
        </w:tc>
        <w:tc>
          <w:tcPr>
            <w:tcW w:type="dxa" w:w="2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color w:val="C00000"/>
                <w:sz w:val="20"/>
                <w:szCs w:val="20"/>
              </w:rPr>
              <w:t xml:space="preserve">▲21.3%</w:t>
            </w:r>
          </w:p>
        </w:tc>
      </w:tr>
      <w:tr>
        <w:tc>
          <w:tcPr>
            <w:tcW w:type="dxa" w:w="38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bCs/>
                <w:sz w:val="20"/>
                <w:szCs w:val="20"/>
              </w:rPr>
              <w:t xml:space="preserve">営業利益</w:t>
            </w:r>
          </w:p>
        </w:tc>
        <w:tc>
          <w:tcPr>
            <w:tcW w:type="dxa" w:w="28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68億81百万円</w:t>
            </w:r>
          </w:p>
        </w:tc>
        <w:tc>
          <w:tcPr>
            <w:tcW w:type="dxa" w:w="2426"/>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jc w:val="right"/>
            </w:pPr>
            <w:r>
              <w:rPr>
                <w:rFonts w:ascii="Yu Gothic" w:cs="Yu Gothic" w:eastAsia="Yu Gothic" w:hAnsi="Yu Gothic"/>
                <w:b w:val="false"/>
                <w:bCs w:val="false"/>
                <w:color w:val="C00000"/>
                <w:sz w:val="20"/>
                <w:szCs w:val="20"/>
              </w:rPr>
              <w:t xml:space="preserve">▲11.9%</w:t>
            </w:r>
          </w:p>
        </w:tc>
      </w:tr>
      <w:tr>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遊技機販売台数</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67,526台</w:t>
            </w:r>
          </w:p>
        </w:tc>
        <w:tc>
          <w:tcPr>
            <w:tcW w:type="dxa" w:w="2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color w:val="C00000"/>
                <w:sz w:val="20"/>
                <w:szCs w:val="20"/>
              </w:rPr>
              <w:t xml:space="preserve">▲29.1%</w:t>
            </w:r>
          </w:p>
        </w:tc>
      </w:tr>
      <w:tr>
        <w:tc>
          <w:tcPr>
            <w:tcW w:type="dxa" w:w="38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bCs/>
                <w:sz w:val="20"/>
                <w:szCs w:val="20"/>
              </w:rPr>
              <w:t xml:space="preserve">　うちパチンコ</w:t>
            </w:r>
          </w:p>
        </w:tc>
        <w:tc>
          <w:tcPr>
            <w:tcW w:type="dxa" w:w="28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42,522台</w:t>
            </w:r>
          </w:p>
        </w:tc>
        <w:tc>
          <w:tcPr>
            <w:tcW w:type="dxa" w:w="2426"/>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+7.1%</w:t>
            </w:r>
          </w:p>
        </w:tc>
      </w:tr>
      <w:tr>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　うちパチスロ</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25,004台</w:t>
            </w:r>
          </w:p>
        </w:tc>
        <w:tc>
          <w:tcPr>
            <w:tcW w:type="dxa" w:w="24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color w:val="C00000"/>
                <w:sz w:val="20"/>
                <w:szCs w:val="20"/>
              </w:rPr>
              <w:t xml:space="preserve">▲55.0%</w:t>
            </w:r>
          </w:p>
        </w:tc>
      </w:tr>
    </w:tbl>
    <w:p>
      <w:pPr>
        <w:spacing w:after="120"/>
      </w:pPr>
    </w:p>
    <w:p>
      <w:pPr>
        <w:pStyle w:val="ListParagraph"/>
        <w:numPr>
          <w:ilvl w:val="0"/>
          <w:numId w:val="2"/>
        </w:numPr>
        <w:spacing w:after="80" w:line="300"/>
      </w:pPr>
      <w:r>
        <w:rPr>
          <w:rFonts w:ascii="Yu Gothic" w:cs="Yu Gothic" w:eastAsia="Yu Gothic" w:hAnsi="Yu Gothic"/>
          <w:sz w:val="21"/>
          <w:szCs w:val="21"/>
        </w:rPr>
        <w:t xml:space="preserve">前年同期にパチスロ大型タイトルの販売が集中した反動で減収減益。ただしパチンコは増加を維持。</w:t>
      </w:r>
    </w:p>
    <w:p>
      <w:pPr>
        <w:pStyle w:val="ListParagraph"/>
        <w:numPr>
          <w:ilvl w:val="0"/>
          <w:numId w:val="2"/>
        </w:numPr>
        <w:spacing w:after="80" w:line="300"/>
      </w:pPr>
      <w:r>
        <w:rPr>
          <w:rFonts w:ascii="Yu Gothic" w:cs="Yu Gothic" w:eastAsia="Yu Gothic" w:hAnsi="Yu Gothic"/>
          <w:sz w:val="21"/>
          <w:szCs w:val="21"/>
        </w:rPr>
        <w:t xml:space="preserve">減収減益にもかかわらず</w:t>
      </w:r>
      <w:r>
        <w:rPr>
          <w:rFonts w:ascii="Yu Gothic" w:cs="Yu Gothic" w:eastAsia="Yu Gothic" w:hAnsi="Yu Gothic"/>
          <w:b/>
          <w:bCs/>
          <w:sz w:val="21"/>
          <w:szCs w:val="21"/>
        </w:rPr>
        <w:t xml:space="preserve">通期予想を上方修正</w:t>
      </w:r>
      <w:r>
        <w:rPr>
          <w:rFonts w:ascii="Yu Gothic" w:cs="Yu Gothic" w:eastAsia="Yu Gothic" w:hAnsi="Yu Gothic"/>
          <w:sz w:val="21"/>
          <w:szCs w:val="21"/>
        </w:rPr>
        <w:t xml:space="preserve">しており、下期にかけての販売計画に強い自信を示している。</w:t>
      </w:r>
    </w:p>
    <w:p>
      <w:pPr>
        <w:pStyle w:val="Heading2"/>
        <w:spacing w:after="120" w:before="240"/>
      </w:pPr>
      <w:r>
        <w:rPr>
          <w:rFonts w:ascii="Yu Gothic" w:cs="Yu Gothic" w:eastAsia="Yu Gothic" w:hAnsi="Yu Gothic"/>
          <w:b/>
          <w:bCs/>
          <w:color w:val="2E5395"/>
          <w:sz w:val="24"/>
          <w:szCs w:val="24"/>
        </w:rPr>
        <w:t xml:space="preserve">3.3 2027年3月期 通期会社予想（上方修正後）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00"/>
        <w:gridCol w:w="17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指標</w:t>
            </w:r>
          </w:p>
        </w:tc>
        <w:tc>
          <w:tcPr>
            <w:tcW w:type="dxa" w:w="2400"/>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修正後予想</w:t>
            </w:r>
          </w:p>
        </w:tc>
        <w:tc>
          <w:tcPr>
            <w:tcW w:type="dxa" w:w="2100"/>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期初予想</w:t>
            </w:r>
          </w:p>
        </w:tc>
        <w:tc>
          <w:tcPr>
            <w:tcW w:type="dxa" w:w="1726"/>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前期比</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売上高</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2,053億円</w:t>
            </w:r>
          </w:p>
        </w:tc>
        <w:tc>
          <w:tcPr>
            <w:tcW w:type="dxa" w:w="2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1,870億円</w:t>
            </w:r>
          </w:p>
        </w:tc>
        <w:tc>
          <w:tcPr>
            <w:tcW w:type="dxa" w:w="17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+17.9%</w:t>
            </w:r>
          </w:p>
        </w:tc>
      </w:tr>
      <w:tr>
        <w:tc>
          <w:tcPr>
            <w:tcW w:type="dxa" w:w="28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bCs/>
                <w:sz w:val="20"/>
                <w:szCs w:val="20"/>
              </w:rPr>
              <w:t xml:space="preserve">営業利益</w:t>
            </w:r>
          </w:p>
        </w:tc>
        <w:tc>
          <w:tcPr>
            <w:tcW w:type="dxa" w:w="24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225億円</w:t>
            </w:r>
          </w:p>
        </w:tc>
        <w:tc>
          <w:tcPr>
            <w:tcW w:type="dxa" w:w="21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190億円</w:t>
            </w:r>
          </w:p>
        </w:tc>
        <w:tc>
          <w:tcPr>
            <w:tcW w:type="dxa" w:w="1726"/>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jc w:val="right"/>
            </w:pPr>
            <w:r>
              <w:rPr>
                <w:rFonts w:ascii="Yu Gothic" w:cs="Yu Gothic" w:eastAsia="Yu Gothic" w:hAnsi="Yu Gothic"/>
                <w:b w:val="false"/>
                <w:bCs w:val="false"/>
                <w:sz w:val="20"/>
                <w:szCs w:val="20"/>
              </w:rPr>
              <w:t xml:space="preserve">+28.9%</w:t>
            </w:r>
          </w:p>
        </w:tc>
      </w:tr>
    </w:tbl>
    <w:p>
      <w:pPr>
        <w:pStyle w:val="Heading1"/>
        <w:spacing w:after="160" w:before="320"/>
      </w:pPr>
      <w:r>
        <w:rPr>
          <w:rFonts w:ascii="Yu Gothic" w:cs="Yu Gothic" w:eastAsia="Yu Gothic" w:hAnsi="Yu Gothic"/>
          <w:b/>
          <w:bCs/>
          <w:color w:val="1F3864"/>
          <w:sz w:val="28"/>
          <w:szCs w:val="28"/>
        </w:rPr>
        <w:t xml:space="preserve">4. 株価・株主還元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株価</w:t>
            </w:r>
          </w:p>
        </w:tc>
        <w:tc>
          <w:tcPr>
            <w:tcW w:type="dxa" w:w="48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2,481円（2026年8月6日終値、前日比+1.89%）</w:t>
            </w:r>
          </w:p>
        </w:tc>
      </w:tr>
      <w:tr>
        <w:tc>
          <w:tcPr>
            <w:tcW w:type="dxa" w:w="42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bCs/>
                <w:sz w:val="20"/>
                <w:szCs w:val="20"/>
              </w:rPr>
              <w:t xml:space="preserve">年間配当予想（2027年3月期）</w:t>
            </w:r>
          </w:p>
        </w:tc>
        <w:tc>
          <w:tcPr>
            <w:tcW w:type="dxa" w:w="4826"/>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140円（前期比+70円）</w:t>
            </w:r>
          </w:p>
        </w:tc>
      </w:tr>
      <w:tr>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想定配当利回り</w:t>
            </w:r>
          </w:p>
        </w:tc>
        <w:tc>
          <w:tcPr>
            <w:tcW w:type="dxa" w:w="48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約5.6%（株価2,481円ベース）</w:t>
            </w:r>
          </w:p>
        </w:tc>
      </w:tr>
    </w:tbl>
    <w:p>
      <w:pPr>
        <w:spacing w:after="120"/>
      </w:pPr>
    </w:p>
    <w:p>
      <w:pPr>
        <w:spacing w:after="120" w:line="300"/>
      </w:pPr>
      <w:r>
        <w:rPr>
          <w:rFonts w:ascii="Yu Gothic" w:cs="Yu Gothic" w:eastAsia="Yu Gothic" w:hAnsi="Yu Gothic"/>
          <w:sz w:val="21"/>
          <w:szCs w:val="21"/>
        </w:rPr>
        <w:t xml:space="preserve">増配ペースが速く、上方修正後の利益水準を前提とすればインカム面の魅力が高い。プライム市場の中でも高配当利回り銘柄の部類に入る。</w:t>
      </w:r>
    </w:p>
    <w:p>
      <w:pPr>
        <w:pStyle w:val="Heading1"/>
        <w:spacing w:after="160" w:before="320"/>
      </w:pPr>
      <w:r>
        <w:rPr>
          <w:rFonts w:ascii="Yu Gothic" w:cs="Yu Gothic" w:eastAsia="Yu Gothic" w:hAnsi="Yu Gothic"/>
          <w:b/>
          <w:bCs/>
          <w:color w:val="1F3864"/>
          <w:sz w:val="28"/>
          <w:szCs w:val="28"/>
        </w:rPr>
        <w:t xml:space="preserve">5. コンテンツ＆デジタル事業（ウルトラマンIP）の論点</w:t>
      </w:r>
    </w:p>
    <w:p>
      <w:pPr>
        <w:pStyle w:val="Heading2"/>
        <w:spacing w:after="120" w:before="240"/>
      </w:pPr>
      <w:r>
        <w:rPr>
          <w:rFonts w:ascii="Yu Gothic" w:cs="Yu Gothic" w:eastAsia="Yu Gothic" w:hAnsi="Yu Gothic"/>
          <w:b/>
          <w:bCs/>
          <w:color w:val="2E5395"/>
          <w:sz w:val="24"/>
          <w:szCs w:val="24"/>
        </w:rPr>
        <w:t xml:space="preserve">5.1 中国市場の減速</w:t>
      </w:r>
    </w:p>
    <w:p>
      <w:pPr>
        <w:pStyle w:val="ListParagraph"/>
        <w:numPr>
          <w:ilvl w:val="0"/>
          <w:numId w:val="2"/>
        </w:numPr>
        <w:spacing w:after="80" w:line="300"/>
      </w:pPr>
      <w:r>
        <w:rPr>
          <w:rFonts w:ascii="Yu Gothic" w:cs="Yu Gothic" w:eastAsia="Yu Gothic" w:hAnsi="Yu Gothic"/>
          <w:sz w:val="21"/>
          <w:szCs w:val="21"/>
        </w:rPr>
        <w:t xml:space="preserve">2026年3月期の中国向けウルトラマンIPライセンス収入は</w:t>
      </w:r>
      <w:r>
        <w:rPr>
          <w:rFonts w:ascii="Yu Gothic" w:cs="Yu Gothic" w:eastAsia="Yu Gothic" w:hAnsi="Yu Gothic"/>
          <w:b/>
          <w:bCs/>
          <w:sz w:val="21"/>
          <w:szCs w:val="21"/>
        </w:rPr>
        <w:t xml:space="preserve">25億57百万円（前期比▲51.6%）と10年ぶりの減少</w:t>
      </w:r>
      <w:r>
        <w:rPr>
          <w:rFonts w:ascii="Yu Gothic" w:cs="Yu Gothic" w:eastAsia="Yu Gothic" w:hAnsi="Yu Gothic"/>
          <w:sz w:val="21"/>
          <w:szCs w:val="21"/>
        </w:rPr>
        <w:t xml:space="preserve">。</w:t>
      </w:r>
    </w:p>
    <w:p>
      <w:pPr>
        <w:pStyle w:val="ListParagraph"/>
        <w:numPr>
          <w:ilvl w:val="0"/>
          <w:numId w:val="2"/>
        </w:numPr>
        <w:spacing w:after="80" w:line="300"/>
      </w:pPr>
      <w:r>
        <w:rPr>
          <w:rFonts w:ascii="Yu Gothic" w:cs="Yu Gothic" w:eastAsia="Yu Gothic" w:hAnsi="Yu Gothic"/>
          <w:sz w:val="21"/>
          <w:szCs w:val="21"/>
        </w:rPr>
        <w:t xml:space="preserve">要因は ① トレーディングカード市場への規制強化による調整 ② 競合IPの増加による市場再編 ③ 日中関係の影響によるリアルイベントの延期・縮小。</w:t>
      </w:r>
    </w:p>
    <w:p>
      <w:pPr>
        <w:pStyle w:val="ListParagraph"/>
        <w:numPr>
          <w:ilvl w:val="0"/>
          <w:numId w:val="2"/>
        </w:numPr>
        <w:spacing w:after="80" w:line="300"/>
      </w:pPr>
      <w:r>
        <w:rPr>
          <w:rFonts w:ascii="Yu Gothic" w:cs="Yu Gothic" w:eastAsia="Yu Gothic" w:hAnsi="Yu Gothic"/>
          <w:sz w:val="21"/>
          <w:szCs w:val="21"/>
        </w:rPr>
        <w:t xml:space="preserve">中国はファン層1億人ともいわれる最重要海外市場であり、依存度の高さが露呈した形。</w:t>
      </w:r>
    </w:p>
    <w:p>
      <w:pPr>
        <w:pStyle w:val="Heading2"/>
        <w:spacing w:after="120" w:before="240"/>
      </w:pPr>
      <w:r>
        <w:rPr>
          <w:rFonts w:ascii="Yu Gothic" w:cs="Yu Gothic" w:eastAsia="Yu Gothic" w:hAnsi="Yu Gothic"/>
          <w:b/>
          <w:bCs/>
          <w:color w:val="2E5395"/>
          <w:sz w:val="24"/>
          <w:szCs w:val="24"/>
        </w:rPr>
        <w:t xml:space="preserve">5.2 ポジティブ材料</w:t>
      </w:r>
    </w:p>
    <w:p>
      <w:pPr>
        <w:pStyle w:val="ListParagraph"/>
        <w:numPr>
          <w:ilvl w:val="0"/>
          <w:numId w:val="2"/>
        </w:numPr>
        <w:spacing w:after="80" w:line="300"/>
      </w:pPr>
      <w:r>
        <w:rPr>
          <w:rFonts w:ascii="Yu Gothic" w:cs="Yu Gothic" w:eastAsia="Yu Gothic" w:hAnsi="Yu Gothic"/>
          <w:b/>
          <w:bCs/>
          <w:sz w:val="21"/>
          <w:szCs w:val="21"/>
        </w:rPr>
        <w:t xml:space="preserve">ウルトラマン生誕60周年（2026年）: </w:t>
      </w:r>
      <w:r>
        <w:rPr>
          <w:rFonts w:ascii="Yu Gothic" w:cs="Yu Gothic" w:eastAsia="Yu Gothic" w:hAnsi="Yu Gothic"/>
          <w:sz w:val="21"/>
          <w:szCs w:val="21"/>
        </w:rPr>
        <w:t xml:space="preserve">中国独占代理店の新創華文化発展（SCLA）と記念イベントを始動済み。中国市場立て直しの起爆剤として期待。</w:t>
      </w:r>
    </w:p>
    <w:p>
      <w:pPr>
        <w:pStyle w:val="ListParagraph"/>
        <w:numPr>
          <w:ilvl w:val="0"/>
          <w:numId w:val="2"/>
        </w:numPr>
        <w:spacing w:after="80" w:line="300"/>
      </w:pPr>
      <w:r>
        <w:rPr>
          <w:rFonts w:ascii="Yu Gothic" w:cs="Yu Gothic" w:eastAsia="Yu Gothic" w:hAnsi="Yu Gothic"/>
          <w:b/>
          <w:bCs/>
          <w:sz w:val="21"/>
          <w:szCs w:val="21"/>
        </w:rPr>
        <w:t xml:space="preserve">海外権利訴訟の決着: </w:t>
      </w:r>
      <w:r>
        <w:rPr>
          <w:rFonts w:ascii="Yu Gothic" w:cs="Yu Gothic" w:eastAsia="Yu Gothic" w:hAnsi="Yu Gothic"/>
          <w:sz w:val="21"/>
          <w:szCs w:val="21"/>
        </w:rPr>
        <w:t xml:space="preserve">2026年5月14日、東京地裁がウルトラマンシリーズの日本国外利用権について円谷プロ側の主張を全面的に認める判決。約30年に及ぶ権利紛争に区切りがつき、海外展開の法的基盤が強固に。</w:t>
      </w:r>
    </w:p>
    <w:p>
      <w:pPr>
        <w:pStyle w:val="ListParagraph"/>
        <w:numPr>
          <w:ilvl w:val="0"/>
          <w:numId w:val="2"/>
        </w:numPr>
        <w:spacing w:after="80" w:line="300"/>
      </w:pPr>
      <w:r>
        <w:rPr>
          <w:rFonts w:ascii="Yu Gothic" w:cs="Yu Gothic" w:eastAsia="Yu Gothic" w:hAnsi="Yu Gothic"/>
          <w:sz w:val="21"/>
          <w:szCs w:val="21"/>
        </w:rPr>
        <w:t xml:space="preserve">東南アジアなど中国以外の海外市場への展開余地。</w:t>
      </w:r>
    </w:p>
    <w:p>
      <w:pPr>
        <w:pStyle w:val="Heading1"/>
        <w:spacing w:after="160" w:before="320"/>
      </w:pPr>
      <w:r>
        <w:rPr>
          <w:rFonts w:ascii="Yu Gothic" w:cs="Yu Gothic" w:eastAsia="Yu Gothic" w:hAnsi="Yu Gothic"/>
          <w:b/>
          <w:bCs/>
          <w:color w:val="1F3864"/>
          <w:sz w:val="28"/>
          <w:szCs w:val="28"/>
        </w:rPr>
        <w:t xml:space="preserve">6. リスク要因</w:t>
      </w:r>
    </w:p>
    <w:p>
      <w:pPr>
        <w:pStyle w:val="ListParagraph"/>
        <w:numPr>
          <w:ilvl w:val="0"/>
          <w:numId w:val="3"/>
        </w:numPr>
        <w:spacing w:after="80" w:line="300"/>
      </w:pPr>
      <w:r>
        <w:rPr>
          <w:rFonts w:ascii="Yu Gothic" w:cs="Yu Gothic" w:eastAsia="Yu Gothic" w:hAnsi="Yu Gothic"/>
          <w:sz w:val="21"/>
          <w:szCs w:val="21"/>
        </w:rPr>
        <w:t xml:space="preserve">遊技機市場への依存: 収益の大半をアミューズメント機器事業が占め、パチンコ・パチスロ市場の規制動向やヒットタイトルの有無で業績が大きく振れる。</w:t>
      </w:r>
    </w:p>
    <w:p>
      <w:pPr>
        <w:pStyle w:val="ListParagraph"/>
        <w:numPr>
          <w:ilvl w:val="0"/>
          <w:numId w:val="3"/>
        </w:numPr>
        <w:spacing w:after="80" w:line="300"/>
      </w:pPr>
      <w:r>
        <w:rPr>
          <w:rFonts w:ascii="Yu Gothic" w:cs="Yu Gothic" w:eastAsia="Yu Gothic" w:hAnsi="Yu Gothic"/>
          <w:sz w:val="21"/>
          <w:szCs w:val="21"/>
        </w:rPr>
        <w:t xml:space="preserve">中国市場・地政学リスク: ライセンス収入の中国依存度が高く、規制強化や日中関係の悪化が直撃する構造。</w:t>
      </w:r>
    </w:p>
    <w:p>
      <w:pPr>
        <w:pStyle w:val="ListParagraph"/>
        <w:numPr>
          <w:ilvl w:val="0"/>
          <w:numId w:val="3"/>
        </w:numPr>
        <w:spacing w:after="80" w:line="300"/>
      </w:pPr>
      <w:r>
        <w:rPr>
          <w:rFonts w:ascii="Yu Gothic" w:cs="Yu Gothic" w:eastAsia="Yu Gothic" w:hAnsi="Yu Gothic"/>
          <w:sz w:val="21"/>
          <w:szCs w:val="21"/>
        </w:rPr>
        <w:t xml:space="preserve">四半期業績の振れ: 遊技機の販売スケジュールにより四半期ごとの業績変動が大きい（Q1の▲21.3%減収が典型）。</w:t>
      </w:r>
    </w:p>
    <w:p>
      <w:pPr>
        <w:pStyle w:val="ListParagraph"/>
        <w:numPr>
          <w:ilvl w:val="0"/>
          <w:numId w:val="3"/>
        </w:numPr>
        <w:spacing w:after="80" w:line="300"/>
      </w:pPr>
      <w:r>
        <w:rPr>
          <w:rFonts w:ascii="Yu Gothic" w:cs="Yu Gothic" w:eastAsia="Yu Gothic" w:hAnsi="Yu Gothic"/>
          <w:sz w:val="21"/>
          <w:szCs w:val="21"/>
        </w:rPr>
        <w:t xml:space="preserve">IP競争の激化: 中国国内外での競合キャラクターIPの台頭。</w:t>
      </w:r>
    </w:p>
    <w:p>
      <w:pPr>
        <w:pStyle w:val="Heading1"/>
        <w:spacing w:after="160" w:before="320"/>
      </w:pPr>
      <w:r>
        <w:rPr>
          <w:rFonts w:ascii="Yu Gothic" w:cs="Yu Gothic" w:eastAsia="Yu Gothic" w:hAnsi="Yu Gothic"/>
          <w:b/>
          <w:bCs/>
          <w:color w:val="1F3864"/>
          <w:sz w:val="28"/>
          <w:szCs w:val="28"/>
        </w:rPr>
        <w:t xml:space="preserve">7. 総合評価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観点</w:t>
            </w:r>
          </w:p>
        </w:tc>
        <w:tc>
          <w:tcPr>
            <w:tcW w:type="dxa" w:w="1200"/>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評価</w:t>
            </w:r>
          </w:p>
        </w:tc>
        <w:tc>
          <w:tcPr>
            <w:tcW w:type="dxa" w:w="5026"/>
            <w:tcBorders>
              <w:top w:val="single" w:color="BFBFBF" w:sz="4"/>
              <w:left w:val="single" w:color="BFBFBF" w:sz="4"/>
              <w:bottom w:val="single" w:color="BFBFBF" w:sz="4"/>
              <w:right w:val="single" w:color="BFBFBF" w:sz="4"/>
            </w:tcBorders>
            <w:shd w:fill="1F3864" w:val="clear"/>
            <w:tcMar>
              <w:top w:type="dxa" w:w="60"/>
              <w:left w:type="dxa" w:w="120"/>
              <w:bottom w:type="dxa" w:w="60"/>
              <w:right w:type="dxa" w:w="120"/>
            </w:tcMar>
          </w:tcPr>
          <w:p>
            <w:pPr>
              <w:spacing w:after="0"/>
            </w:pPr>
            <w:r>
              <w:rPr>
                <w:rFonts w:ascii="Yu Gothic" w:cs="Yu Gothic" w:eastAsia="Yu Gothic" w:hAnsi="Yu Gothic"/>
                <w:b/>
                <w:bCs/>
                <w:color w:val="FFFFFF"/>
                <w:sz w:val="20"/>
                <w:szCs w:val="20"/>
              </w:rPr>
              <w:t xml:space="preserve">コメント</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業績モメンタム</w:t>
            </w:r>
          </w:p>
        </w:tc>
        <w:tc>
          <w:tcPr>
            <w:tcW w:type="dxa" w:w="1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w:t>
            </w:r>
          </w:p>
        </w:tc>
        <w:tc>
          <w:tcPr>
            <w:tcW w:type="dxa" w:w="50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通期上方修正、営業利益225億円（前期比+28.9%）見込み</w:t>
            </w:r>
          </w:p>
        </w:tc>
      </w:tr>
      <w:tr>
        <w:tc>
          <w:tcPr>
            <w:tcW w:type="dxa" w:w="28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bCs/>
                <w:sz w:val="20"/>
                <w:szCs w:val="20"/>
              </w:rPr>
              <w:t xml:space="preserve">株主還元</w:t>
            </w:r>
          </w:p>
        </w:tc>
        <w:tc>
          <w:tcPr>
            <w:tcW w:type="dxa" w:w="1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w:t>
            </w:r>
          </w:p>
        </w:tc>
        <w:tc>
          <w:tcPr>
            <w:tcW w:type="dxa" w:w="5026"/>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年間140円配当（利回り約5.6%）、増配継続</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bCs/>
                <w:sz w:val="20"/>
                <w:szCs w:val="20"/>
              </w:rPr>
              <w:t xml:space="preserve">成長ストーリー</w:t>
            </w:r>
          </w:p>
        </w:tc>
        <w:tc>
          <w:tcPr>
            <w:tcW w:type="dxa" w:w="12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w:t>
            </w:r>
          </w:p>
        </w:tc>
        <w:tc>
          <w:tcPr>
            <w:tcW w:type="dxa" w:w="502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ウルトラマン60周年・権利紛争決着は追い風だが、中国回復は要確認</w:t>
            </w:r>
          </w:p>
        </w:tc>
      </w:tr>
      <w:tr>
        <w:tc>
          <w:tcPr>
            <w:tcW w:type="dxa" w:w="2800"/>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bCs/>
                <w:sz w:val="20"/>
                <w:szCs w:val="20"/>
              </w:rPr>
              <w:t xml:space="preserve">リスク</w:t>
            </w:r>
          </w:p>
        </w:tc>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w:t>
            </w:r>
          </w:p>
        </w:tc>
        <w:tc>
          <w:tcPr>
            <w:tcW w:type="dxa" w:w="5026"/>
            <w:tcBorders>
              <w:top w:val="single" w:color="BFBFBF" w:sz="4"/>
              <w:left w:val="single" w:color="BFBFBF" w:sz="4"/>
              <w:bottom w:val="single" w:color="BFBFBF" w:sz="4"/>
              <w:right w:val="single" w:color="BFBFBF" w:sz="4"/>
            </w:tcBorders>
            <w:shd w:fill="F2F6FC" w:val="clear"/>
            <w:tcMar>
              <w:top w:type="dxa" w:w="60"/>
              <w:left w:type="dxa" w:w="120"/>
              <w:bottom w:type="dxa" w:w="60"/>
              <w:right w:type="dxa" w:w="120"/>
            </w:tcMar>
          </w:tcPr>
          <w:p>
            <w:pPr>
              <w:spacing w:after="0"/>
            </w:pPr>
            <w:r>
              <w:rPr>
                <w:rFonts w:ascii="Yu Gothic" w:cs="Yu Gothic" w:eastAsia="Yu Gothic" w:hAnsi="Yu Gothic"/>
                <w:b w:val="false"/>
                <w:bCs w:val="false"/>
                <w:sz w:val="20"/>
                <w:szCs w:val="20"/>
              </w:rPr>
              <w:t xml:space="preserve">遊技機依存と中国依存の二重の集中リスク</w:t>
            </w:r>
          </w:p>
        </w:tc>
      </w:tr>
    </w:tbl>
    <w:p>
      <w:pPr>
        <w:spacing w:after="120"/>
      </w:pPr>
    </w:p>
    <w:p>
      <w:pPr>
        <w:spacing w:after="120" w:line="300"/>
      </w:pPr>
      <w:r>
        <w:rPr>
          <w:rFonts w:ascii="Yu Gothic" w:cs="Yu Gothic" w:eastAsia="Yu Gothic" w:hAnsi="Yu Gothic"/>
          <w:b w:val="false"/>
          <w:bCs w:val="false"/>
          <w:sz w:val="21"/>
          <w:szCs w:val="21"/>
        </w:rPr>
        <w:t xml:space="preserve">【結論】アミューズメント機器事業の好調により短期の業績・還元面は非常に強い。中期的な企業価値の鍵は、コンテンツ＆デジタル事業が中国市場の落ち込みから回復し、「ウルトラマンIPのグローバル収益化」という第二の柱を再構築できるかにある。60周年施策の成果と中国ライセンス収入の底打ちを確認できれば、評価の切り上がり余地がある。</w:t>
      </w:r>
    </w:p>
    <w:p>
      <w:pPr>
        <w:pStyle w:val="Heading1"/>
        <w:spacing w:after="160" w:before="320"/>
      </w:pPr>
      <w:r>
        <w:rPr>
          <w:rFonts w:ascii="Yu Gothic" w:cs="Yu Gothic" w:eastAsia="Yu Gothic" w:hAnsi="Yu Gothic"/>
          <w:b/>
          <w:bCs/>
          <w:color w:val="1F3864"/>
          <w:sz w:val="28"/>
          <w:szCs w:val="28"/>
        </w:rPr>
        <w:t xml:space="preserve">8. 参考: 本レポートの作成アプローチ</w:t>
      </w:r>
    </w:p>
    <w:p>
      <w:pPr>
        <w:spacing w:after="120" w:line="300"/>
      </w:pPr>
      <w:r>
        <w:rPr>
          <w:rFonts w:ascii="Yu Gothic" w:cs="Yu Gothic" w:eastAsia="Yu Gothic" w:hAnsi="Yu Gothic"/>
          <w:sz w:val="21"/>
          <w:szCs w:val="21"/>
        </w:rPr>
        <w:t xml:space="preserve">Anthropicは2026年5月、金融サービス向けに10種類のすぐ使えるエージェントテンプレート「Agents for financial services」を発表した。ピッチブック作成、KYCスクリーニング、月次決算、ミーティング準備、バリュエーションレビュー、財務諸表監査などの時間のかかる業務をカバーし、Claude Cowork / Claude Code のプラグイン、または Claude Managed Agents のクックブックとして実行できる。本レポートは、この発表で示された「企業リサーチ → 決算分析 → リスク検証 → レポート化」というエクイティリサーチ型エージェントのワークフローに沿って作成した。</w:t>
      </w:r>
    </w:p>
    <w:p>
      <w:pPr>
        <w:pStyle w:val="Heading1"/>
        <w:spacing w:after="160" w:before="320"/>
      </w:pPr>
      <w:r>
        <w:rPr>
          <w:rFonts w:ascii="Yu Gothic" w:cs="Yu Gothic" w:eastAsia="Yu Gothic" w:hAnsi="Yu Gothic"/>
          <w:b/>
          <w:bCs/>
          <w:color w:val="1F3864"/>
          <w:sz w:val="28"/>
          <w:szCs w:val="28"/>
        </w:rPr>
        <w:t xml:space="preserve">出典</w:t>
      </w:r>
    </w:p>
    <w:p>
      <w:pPr>
        <w:pStyle w:val="ListParagraph"/>
        <w:numPr>
          <w:ilvl w:val="0"/>
          <w:numId w:val="2"/>
        </w:numPr>
        <w:spacing w:after="80" w:line="300"/>
      </w:pPr>
      <w:r>
        <w:rPr>
          <w:rFonts w:ascii="Yu Gothic" w:cs="Yu Gothic" w:eastAsia="Yu Gothic" w:hAnsi="Yu Gothic"/>
          <w:sz w:val="21"/>
          <w:szCs w:val="21"/>
        </w:rPr>
        <w:t xml:space="preserve">Agents for financial services | Anthropic（anthropic.com/news/finance-agents）</w:t>
      </w:r>
    </w:p>
    <w:p>
      <w:pPr>
        <w:pStyle w:val="ListParagraph"/>
        <w:numPr>
          <w:ilvl w:val="0"/>
          <w:numId w:val="2"/>
        </w:numPr>
        <w:spacing w:after="80" w:line="300"/>
      </w:pPr>
      <w:r>
        <w:rPr>
          <w:rFonts w:ascii="Yu Gothic" w:cs="Yu Gothic" w:eastAsia="Yu Gothic" w:hAnsi="Yu Gothic"/>
          <w:sz w:val="21"/>
          <w:szCs w:val="21"/>
        </w:rPr>
        <w:t xml:space="preserve">円谷フィールズホールディングス 株主・投資家情報（tsuburaya-fields.co.jp/ir/j/）</w:t>
      </w:r>
    </w:p>
    <w:p>
      <w:pPr>
        <w:pStyle w:val="ListParagraph"/>
        <w:numPr>
          <w:ilvl w:val="0"/>
          <w:numId w:val="2"/>
        </w:numPr>
        <w:spacing w:after="80" w:line="300"/>
      </w:pPr>
      <w:r>
        <w:rPr>
          <w:rFonts w:ascii="Yu Gothic" w:cs="Yu Gothic" w:eastAsia="Yu Gothic" w:hAnsi="Yu Gothic"/>
          <w:sz w:val="21"/>
          <w:szCs w:val="21"/>
        </w:rPr>
        <w:t xml:space="preserve">2026年3月期 決算説明資料（円谷フィールズHD、2026年5月）／2026年3月期決算短信（連結）</w:t>
      </w:r>
    </w:p>
    <w:p>
      <w:pPr>
        <w:pStyle w:val="ListParagraph"/>
        <w:numPr>
          <w:ilvl w:val="0"/>
          <w:numId w:val="2"/>
        </w:numPr>
        <w:spacing w:after="80" w:line="300"/>
      </w:pPr>
      <w:r>
        <w:rPr>
          <w:rFonts w:ascii="Yu Gothic" w:cs="Yu Gothic" w:eastAsia="Yu Gothic" w:hAnsi="Yu Gothic"/>
          <w:sz w:val="21"/>
          <w:szCs w:val="21"/>
        </w:rPr>
        <w:t xml:space="preserve">2027年3月期第1四半期 決算説明資料（2026年7月）／グリーンベルト「円谷フィールズHD、第1四半期は売上高437億円」</w:t>
      </w:r>
    </w:p>
    <w:p>
      <w:pPr>
        <w:pStyle w:val="ListParagraph"/>
        <w:numPr>
          <w:ilvl w:val="0"/>
          <w:numId w:val="2"/>
        </w:numPr>
        <w:spacing w:after="80" w:line="300"/>
      </w:pPr>
      <w:r>
        <w:rPr>
          <w:rFonts w:ascii="Yu Gothic" w:cs="Yu Gothic" w:eastAsia="Yu Gothic" w:hAnsi="Yu Gothic"/>
          <w:sz w:val="21"/>
          <w:szCs w:val="21"/>
        </w:rPr>
        <w:t xml:space="preserve">Yahoo!ファイナンス・みんかぶ 円谷フィールズホールディングス（2767）</w:t>
      </w:r>
    </w:p>
    <w:p>
      <w:pPr>
        <w:pStyle w:val="ListParagraph"/>
        <w:numPr>
          <w:ilvl w:val="0"/>
          <w:numId w:val="2"/>
        </w:numPr>
        <w:spacing w:after="80" w:line="300"/>
      </w:pPr>
      <w:r>
        <w:rPr>
          <w:rFonts w:ascii="Yu Gothic" w:cs="Yu Gothic" w:eastAsia="Yu Gothic" w:hAnsi="Yu Gothic"/>
          <w:sz w:val="21"/>
          <w:szCs w:val="21"/>
        </w:rPr>
        <w:t xml:space="preserve">36Kr Japan「10年ぶりの減収、中国『ウルトラマン』神話に陰り」／Business Insider Japan「中国だけでファン層1億人」</w:t>
      </w:r>
    </w:p>
    <w:p>
      <w:pPr>
        <w:pStyle w:val="ListParagraph"/>
        <w:numPr>
          <w:ilvl w:val="0"/>
          <w:numId w:val="2"/>
        </w:numPr>
        <w:spacing w:after="80" w:line="300"/>
      </w:pPr>
      <w:r>
        <w:rPr>
          <w:rFonts w:ascii="Yu Gothic" w:cs="Yu Gothic" w:eastAsia="Yu Gothic" w:hAnsi="Yu Gothic"/>
          <w:sz w:val="21"/>
          <w:szCs w:val="21"/>
        </w:rPr>
        <w:t xml:space="preserve">coki「ウルトラマン海外権利紛争に決着」／The Register「Anthropic unleashes finance agents for Claude」</w:t>
      </w:r>
    </w:p>
    <w:p>
      <w:pPr>
        <w:spacing w:after="120"/>
      </w:pPr>
    </w:p>
    <w:p>
      <w:pPr>
        <w:pBdr>
          <w:top w:val="single" w:color="BFBFBF" w:sz="4" w:space="4"/>
        </w:pBdr>
        <w:spacing w:before="240"/>
      </w:pPr>
      <w:r>
        <w:rPr>
          <w:rFonts w:ascii="Yu Gothic" w:cs="Yu Gothic" w:eastAsia="Yu Gothic" w:hAnsi="Yu Gothic"/>
          <w:i/>
          <w:iCs/>
          <w:color w:val="595959"/>
          <w:sz w:val="18"/>
          <w:szCs w:val="18"/>
        </w:rPr>
        <w:t xml:space="preserve">本レポートは公開情報に基づき作成したものであり、投資勧誘を目的とするものではありません。投資判断はご自身の責任で行ってください。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2026-08-14T08:36:17.921Z</dcterms:created>
  <dcterms:modified xsi:type="dcterms:W3CDTF">2026-08-14T08:36:17.921Z</dcterms:modified>
</cp:coreProperties>
</file>

<file path=docProps/custom.xml><?xml version="1.0" encoding="utf-8"?>
<Properties xmlns="http://schemas.openxmlformats.org/officeDocument/2006/custom-properties" xmlns:vt="http://schemas.openxmlformats.org/officeDocument/2006/docPropsVTypes"/>
</file>