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収益認識に関する論点整理(ご相談資料)v2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2026年10月21日更新(初版10月12日)/株式会社円谷プロダクション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2では、10月20日の社内協議で確定した契約条件(期間・単価・最低保証の設計)と、経理部門(CFO)より提示された契約構成案(3本立て)を反映していま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初版からの主な変更点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初版(10/12〜14)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v2(10/21・現行)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2027年1月〜2028年12月(24ヶ月)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2027年1月〜2029年3月(27ヶ月)、締結2026年11月末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イベント単価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20万円/開催(土日2日間)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10万円/日(通常販売価格22.5万円/日からの特別価格)。1開催=土日2日=20万円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派遣体制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ディレクター+アクター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担当(チーフスタッフ)+スーツアクターの2名。会場運営(運営D1名+スタッフ4名)は先方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最低保証(MG)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年度計画の8割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基準15ライン分の開催数を100%保証(未実施でも請求)。余裕月は最大20ラインまで増枠(従量)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精算期間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年度区切り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第1期2027年1〜3月/第2期2027年4月〜2028年3月/第3期2028年4月〜2029年3月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キャンセル料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30日前30%/14日前50%/13日前以降100%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開催1ヶ月前までに確定。1ヶ月前〜14日前30%/13日前〜7日前50%/6日前〜当日100%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新規費目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現場諸経費2万円/日(従量)、フル運営オプション+22万円/日(会場単位・従量)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5部構成(当社案)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CFO案:①準備契約(契約金)②イベント実施契約③IPライセンス契約の3本立て(第2章)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契約期間:2027年1月〜2029年3月(27ヶ月)。締結は2026年11月末を予定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10万円/日×基準15ライン×234日=3,510現場=3億5,100万円+IP使用料4,500万円(2,000万円/年、2029年1〜3月は3ヶ月分)=</w:t>
      </w:r>
      <w:r>
        <w:rPr>
          <w:rFonts w:ascii="Meiryo" w:hAnsi="Meiryo" w:eastAsia="Meiryo"/>
          <w:b/>
          <w:sz w:val="21"/>
        </w:rPr>
        <w:t>3億9,600万円(税別)</w:t>
      </w:r>
      <w:r>
        <w:rPr>
          <w:rFonts w:ascii="Meiryo" w:hAnsi="Meiryo" w:eastAsia="Meiryo"/>
          <w:b w:val="0"/>
          <w:sz w:val="21"/>
        </w:rPr>
        <w:t>。このほか従量(余裕月増枠 最大+4,700万円、現場諸経費 基準で7,020万円、作成許諾料、フル運営オプション)と実費精算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先方の判断:10月22日の打ち合わせで本格実施の意思確認を行う予定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当社の希望:当期(2027年3月期)に計上可能な収益を契約設計により最大化しつつ、27ヶ月分の受注を契約時に法的に確定させたい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契約ストラクチャー(当社案v2:CFO案の3本立てに当社の部品を対応付け)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対価(案)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認識(CFO案)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 準備契約(契約金)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2026年11月〜2027年3月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2027年1〜3月の専属体制確保(基準15ライン・定額・スタンバイ型)(b)先方専用成果物の制作・納品(全店共通運営フォーマット・運営マニュアル・研修プログラム・告知デザインパッケージ・キット設計図。3月末検収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(a)3,900万円(390現場分)+(b)3,000万〜1億円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2027年4月〜2029年3月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着ぐるみイベントの実施(10万円/日)。基準15ライン分を最低保証(第2期・第3期各1,560現場=各1億5,600万円)。余裕月増枠・現場諸経費・フル運営オプションは従量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3億1,200万円+従量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MGは期間按分・原価は都度計上。四半期ごとに按分計上額と実績(超過分)を洗い替え。返金条項なし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2026年11月〜2029年3月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4,500万円(2,000万円/年)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CFO案:全額当期(契約から1年以内に全額入金が条件)※第3章の論点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先方制作のイベントキット・ノベルティ・店頭訴求ツールに対する許諾(作成費用の20%)。製造数量ベースの最低保証を契約年度ごとに設定予定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製造(使用)時点。最低保証未達分は期末確定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先方に提示済みの見積(10月22日提示予定)は「稼働費(最低保証)+IP使用料(年額)+従量」の構成であり、3本立てへの再編は契約書ドラフト段階で総額・支払時期を変えずに行う想定。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①準備契約(契約金)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(a)専属体制確保:対価の対象を「個別イベントの実施」ではなく「基準15ライン体制の専属確保」とするスタンバイ型の履行義務。確保期間(2027年1〜3月)の時の経過で認識し、当期内に完了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(b)専用成果物:先方に使用権・運用権が移転する特定成果物の納品。検収(3月末)で一時点認識。対価は制作実費+合理的マージンで積算しSSPと整合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論点①:(a)(b)を「準備の対価」として1本の契約金にまとめた場合でも、履行義務としては(a)期間按分・(b)一時点の2つに区分されるか、または単一の履行義務として扱えるか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論点②:2027年1〜3月に実際の稼働(12〜15ライン)が発生する場合、当該稼働を①に内包(スタンバイ型の一部)として整理できるか、②の前倒し開始として扱うべきか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論点③:①と②の対価配分(①に寄せた場合の②の個別採算悪化はCFO指摘のとおり)。当社案は②の単価10万円/日を維持し、①には成果物フィーを置く</w:t>
      </w:r>
    </w:p>
    <w:p>
      <w:r>
        <w:rPr>
          <w:rFonts w:ascii="Meiryo" w:hAnsi="Meiryo" w:eastAsia="Meiryo"/>
          <w:b/>
          <w:sz w:val="23"/>
        </w:rPr>
        <w:t>3-2.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開催単位の役務提供として都度認識。最低保証分はCFO案のとおり期間按分し、四半期ごとに実績と洗い替え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最低保証は返金不能・無条件。未達でも請求、超過分は追加精算。中途解約時は残期間の保証額を精算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論点④:最低保証の期間按分(CFO案)と、精算期間末での未達確定(当社初版案)のどちらで整理するか。四半期洗い替えの実務(契約上の精算期間との整合)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論点⑤:キャンセル料(1ヶ月前〜14日前30%/13日前〜7日前50%/6日前〜当日100%)および中途解約精算の会計上の取扱い</w:t>
      </w:r>
    </w:p>
    <w:p>
      <w:r>
        <w:rPr>
          <w:rFonts w:ascii="Meiryo" w:hAnsi="Meiryo" w:eastAsia="Meiryo"/>
          <w:b/>
          <w:sz w:val="23"/>
        </w:rPr>
        <w:t>3-3.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当社初版案:キャラクターIPは当社が映像作品・イベント等でIP価値に影響する活動を継続するため「アクセス権(シンボリックIP)」に該当し、ライセンス期間で定額按分(当期帰属は5ヶ月分約830万円)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CFO案:全額当期計上(契約から1年以内に全額入金が条件)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):全額当期計上の会計上の根拠(使用権としての整理か、特定の既存素材の提供として一時点とするか、他の論理か)。シンボリックIPとの整理との関係。「1年以内の入金」が認識要件か資金条件かの切り分け。監査法人の事前合意を必須とする</w:t>
      </w:r>
    </w:p>
    <w:p>
      <w:r>
        <w:rPr>
          <w:rFonts w:ascii="Meiryo" w:hAnsi="Meiryo" w:eastAsia="Meiryo"/>
          <w:b/>
          <w:sz w:val="23"/>
        </w:rPr>
        <w:t>3-4.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:①②③を別契約としても、同一顧客・同時期・単一の商業目的により会計上1つの契約として結合され、履行義務が識別し直される可能性。①③が②から独立した履行義務であることを契約書上・実態上どう担保するか(①の成果物の独立性、③の権利が②なしでも価値を持つこと等)</w:t>
      </w:r>
    </w:p>
    <w:p>
      <w:r>
        <w:rPr>
          <w:rFonts w:ascii="Meiryo" w:hAnsi="Meiryo" w:eastAsia="Meiryo"/>
          <w:b/>
          <w:sz w:val="23"/>
        </w:rPr>
        <w:t>3-5.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製造数量ベースの最低保証を契約年度ごとに設定予定(第1期+第2期で1年3ヶ月分、第3期で1年分)。未達分は期末確定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テスト実績(履行済)約0.12億+先行スポット(11〜12月)数百万+①準備契約金(体制確保0.39億+成果物0.3〜1.0億)+③IP(按分なら約0.08億/CFO案で全額なら0.45億)+許諾料(春節前量産分)約0.05〜0.1億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約0.9〜2.0億円</w:t>
            </w:r>
            <w:r>
              <w:rPr>
                <w:rFonts w:ascii="Meiryo" w:hAnsi="Meiryo" w:eastAsia="Meiryo"/>
                <w:b w:val="0"/>
                <w:sz w:val="19"/>
              </w:rPr>
              <w:t>(③の整理次第で約0.4億円の差)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②第2期最低保証1.56億+増枠・諸経費(基準約0.31億)+③按分(約0.2億・CFO案なら0)+許諾料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②第3期最低保証1.56億+増枠・諸経費+③按分(CFO案なら0)+許諾料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9,600万円+従量)/返金不能・無条件の最低保証/前払スケジュール(IP使用料は年度前払い、最低保証は四半期前払いで交渉)→契約負債として計上。先方の会計年度(4〜3月)との整合も考慮し、2026年度中の先方支払額は先方の予算決裁に影響するため、総額不変で支払時期を調整する余地を残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論点⑫:消費税の課税時期(①は役務完了時点=3月末、②は都度)と法人税の整合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③IPライセンス契約の全額当期計上の可否と根拠(論点⑥)※当期計上額への影響が最大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①準備契約金の履行義務整理(スタンバイ型+成果物)と、1〜3月の実稼働の扱い(論点①②)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3本立て契約の結合リスクと、独立性を担保する契約書上の要件(論点⑦)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最低保証の認識方法:期間按分+四半期洗い替え(CFO案)か、期末確定(初版案)か(論点④)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①②の対価配分とSSPの考え方(論点③)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6.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7. 契約書ドラフトへの会計要件の反映事項(検収定義・精算確定日・返金不能条項・契約の独立性)のご指導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