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Meiryo" w:hAnsi="Meiryo" w:eastAsia="Meiryo"/>
          <w:b/>
          <w:sz w:val="32"/>
        </w:rPr>
        <w:t>SB契約書ドラフト(10/27版)確認メモ</w:t>
      </w:r>
    </w:p>
    <w:p>
      <w:pPr>
        <w:spacing w:after="80"/>
      </w:pPr>
      <w:r>
        <w:rPr>
          <w:rFonts w:ascii="Meiryo" w:hAnsi="Meiryo" w:eastAsia="Meiryo"/>
          <w:b w:val="0"/>
          <w:sz w:val="21"/>
        </w:rPr>
        <w:t>2026年10月27日/新谷/【社内限定】対象:ライセンス契約書・イベント実施契約書(法務ドラフト)</w:t>
      </w:r>
    </w:p>
    <w:p>
      <w:pPr>
        <w:spacing w:after="80"/>
      </w:pPr>
      <w:r>
        <w:rPr>
          <w:rFonts w:ascii="Meiryo" w:hAnsi="Meiryo" w:eastAsia="Meiryo"/>
          <w:b w:val="0"/>
          <w:sz w:val="21"/>
        </w:rPr>
        <w:t>先方提示済みの条件(10/22・10/26)、経理の会計要件(斉藤さん10/22)、法務MTGの結論(10/24)と突き合わせた結果です。Aは先方提示前に必ず直す点、Bは社内で判断が要る点、Cは軽微な修正です。</w:t>
      </w:r>
    </w:p>
    <w:p>
      <w:pPr>
        <w:spacing w:before="240" w:after="120"/>
      </w:pPr>
      <w:r>
        <w:rPr>
          <w:rFonts w:ascii="Meiryo" w:hAnsi="Meiryo" w:eastAsia="Meiryo"/>
          <w:b/>
          <w:color w:val="232278"/>
          <w:sz w:val="26"/>
        </w:rPr>
        <w:t>1. 全体の評価</w:t>
      </w:r>
    </w:p>
    <w:p>
      <w:pPr>
        <w:pStyle w:val="ListBullet"/>
      </w:pPr>
      <w:r>
        <w:rPr>
          <w:rFonts w:ascii="Meiryo" w:hAnsi="Meiryo" w:eastAsia="Meiryo"/>
          <w:b w:val="0"/>
          <w:sz w:val="21"/>
        </w:rPr>
        <w:t>2本立ての構成、特別価格、最低保証(3期・返還なし)、キャンセル料、作成許諾20%と製造証憑、EDI約款より本契約優先、損害賠償上限なし、電子契約は、合意内容どおりに入っています</w:t>
      </w:r>
    </w:p>
    <w:p>
      <w:pPr>
        <w:pStyle w:val="ListBullet"/>
      </w:pPr>
      <w:r>
        <w:rPr>
          <w:rFonts w:ascii="Meiryo" w:hAnsi="Meiryo" w:eastAsia="Meiryo"/>
          <w:b w:val="0"/>
          <w:sz w:val="21"/>
        </w:rPr>
        <w:t>経理要件のうち「ライセンス契約にイベント実施契約への言及を入れない」が1箇所守られていません(A-1)。これは全額当期計上の前提に関わるため最優先で修正が必要です</w:t>
      </w:r>
    </w:p>
    <w:p>
      <w:pPr>
        <w:pStyle w:val="ListBullet"/>
      </w:pPr>
      <w:r>
        <w:rPr>
          <w:rFonts w:ascii="Meiryo" w:hAnsi="Meiryo" w:eastAsia="Meiryo"/>
          <w:b w:val="0"/>
          <w:sz w:val="21"/>
        </w:rPr>
        <w:t>先方に提示していない条件が3点入っています(自動更新、隣接都県の事前承諾、期ごと一括前払い)。入れるなら10/29の提示時に説明が要ります</w:t>
      </w:r>
    </w:p>
    <w:p>
      <w:pPr>
        <w:spacing w:before="240" w:after="120"/>
      </w:pPr>
      <w:r>
        <w:rPr>
          <w:rFonts w:ascii="Meiryo" w:hAnsi="Meiryo" w:eastAsia="Meiryo"/>
          <w:b/>
          <w:color w:val="232278"/>
          <w:sz w:val="26"/>
        </w:rPr>
        <w:t>2. ライセンス契約書</w:t>
      </w:r>
    </w:p>
    <w:p>
      <w:r>
        <w:rPr>
          <w:rFonts w:ascii="Meiryo" w:hAnsi="Meiryo" w:eastAsia="Meiryo"/>
          <w:b/>
          <w:sz w:val="23"/>
        </w:rPr>
        <w:t>A. 先方提示前に修正が必要</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条項</w:t>
            </w:r>
          </w:p>
        </w:tc>
        <w:tc>
          <w:tcPr>
            <w:tcW w:type="dxa" w:w="2160"/>
            <w:shd w:fill="E8EAF2"/>
          </w:tcPr>
          <w:p>
            <w:r/>
            <w:r>
              <w:rPr>
                <w:rFonts w:ascii="Meiryo" w:hAnsi="Meiryo" w:eastAsia="Meiryo"/>
                <w:b/>
                <w:sz w:val="19"/>
              </w:rPr>
              <w:t>内容</w:t>
            </w:r>
          </w:p>
        </w:tc>
        <w:tc>
          <w:tcPr>
            <w:tcW w:type="dxa" w:w="2160"/>
            <w:shd w:fill="E8EAF2"/>
          </w:tcPr>
          <w:p>
            <w:r/>
            <w:r>
              <w:rPr>
                <w:rFonts w:ascii="Meiryo" w:hAnsi="Meiryo" w:eastAsia="Meiryo"/>
                <w:b/>
                <w:sz w:val="19"/>
              </w:rPr>
              <w:t>修正案</w:t>
            </w:r>
          </w:p>
        </w:tc>
      </w:tr>
      <w:tr>
        <w:tc>
          <w:tcPr>
            <w:tcW w:type="dxa" w:w="2160"/>
          </w:tcPr>
          <w:p>
            <w:r/>
            <w:r>
              <w:rPr>
                <w:rFonts w:ascii="Meiryo" w:hAnsi="Meiryo" w:eastAsia="Meiryo"/>
                <w:b w:val="0"/>
                <w:sz w:val="19"/>
              </w:rPr>
              <w:t>A-1</w:t>
            </w:r>
          </w:p>
        </w:tc>
        <w:tc>
          <w:tcPr>
            <w:tcW w:type="dxa" w:w="2160"/>
          </w:tcPr>
          <w:p>
            <w:r/>
            <w:r>
              <w:rPr>
                <w:rFonts w:ascii="Meiryo" w:hAnsi="Meiryo" w:eastAsia="Meiryo"/>
                <w:b w:val="0"/>
                <w:sz w:val="19"/>
              </w:rPr>
              <w:t>第8条3項</w:t>
            </w:r>
          </w:p>
        </w:tc>
        <w:tc>
          <w:tcPr>
            <w:tcW w:type="dxa" w:w="2160"/>
          </w:tcPr>
          <w:p>
            <w:r/>
            <w:r>
              <w:rPr>
                <w:rFonts w:ascii="Meiryo" w:hAnsi="Meiryo" w:eastAsia="Meiryo"/>
                <w:b w:val="0"/>
                <w:sz w:val="19"/>
              </w:rPr>
              <w:t>「本件施策の実施にあたっては関連する役務を甲に委託しなければならない。詳細は別途店頭イベント実施に関する契約書を締結して定める」とあり、イベント実施契約を前提とする記載になっている。経理要件(③に②への言及を入れない)に反し、契約の結合と判断される根拠になる</w:t>
            </w:r>
          </w:p>
        </w:tc>
        <w:tc>
          <w:tcPr>
            <w:tcW w:type="dxa" w:w="2160"/>
          </w:tcPr>
          <w:p>
            <w:r/>
            <w:r>
              <w:rPr>
                <w:rFonts w:ascii="Meiryo" w:hAnsi="Meiryo" w:eastAsia="Meiryo"/>
                <w:b w:val="0"/>
                <w:sz w:val="19"/>
              </w:rPr>
              <w:t>第8条3項を削除。役務の委託を義務づけたい場合はイベント実施契約側に置く</w:t>
            </w:r>
          </w:p>
        </w:tc>
      </w:tr>
      <w:tr>
        <w:tc>
          <w:tcPr>
            <w:tcW w:type="dxa" w:w="2160"/>
          </w:tcPr>
          <w:p>
            <w:r/>
            <w:r>
              <w:rPr>
                <w:rFonts w:ascii="Meiryo" w:hAnsi="Meiryo" w:eastAsia="Meiryo"/>
                <w:b w:val="0"/>
                <w:sz w:val="19"/>
              </w:rPr>
              <w:t>A-2</w:t>
            </w:r>
          </w:p>
        </w:tc>
        <w:tc>
          <w:tcPr>
            <w:tcW w:type="dxa" w:w="2160"/>
          </w:tcPr>
          <w:p>
            <w:r/>
            <w:r>
              <w:rPr>
                <w:rFonts w:ascii="Meiryo" w:hAnsi="Meiryo" w:eastAsia="Meiryo"/>
                <w:b w:val="0"/>
                <w:sz w:val="19"/>
              </w:rPr>
              <w:t>第3条2項後段</w:t>
            </w:r>
          </w:p>
        </w:tc>
        <w:tc>
          <w:tcPr>
            <w:tcW w:type="dxa" w:w="2160"/>
          </w:tcPr>
          <w:p>
            <w:r/>
            <w:r>
              <w:rPr>
                <w:rFonts w:ascii="Meiryo" w:hAnsi="Meiryo" w:eastAsia="Meiryo"/>
                <w:b w:val="0"/>
                <w:sz w:val="19"/>
              </w:rPr>
              <w:t>「本契約締結以前に甲が第三者と締結済みの契約に基づく権利許諾およびその履行(既存契約の更新を含む)は制限の対象外」。先方に既存契約の存在を推測させる記載で、「更新を含む」は先方に約束した排他(契約期間中は他キャリアと店頭イベント契約をしない)と矛盾する</w:t>
            </w:r>
          </w:p>
        </w:tc>
        <w:tc>
          <w:tcPr>
            <w:tcW w:type="dxa" w:w="2160"/>
          </w:tcPr>
          <w:p>
            <w:r/>
            <w:r>
              <w:rPr>
                <w:rFonts w:ascii="Meiryo" w:hAnsi="Meiryo" w:eastAsia="Meiryo"/>
                <w:b w:val="0"/>
                <w:sz w:val="19"/>
              </w:rPr>
              <w:t>「更新を含む」を削除。既存契約の除外は「本契約締結日時点で有効な第三者との契約に基づく履行」に限る表現にし、更新は除外しない。文言は法務と相談(第5章)</w:t>
            </w:r>
          </w:p>
        </w:tc>
      </w:tr>
      <w:tr>
        <w:tc>
          <w:tcPr>
            <w:tcW w:type="dxa" w:w="2160"/>
          </w:tcPr>
          <w:p>
            <w:r/>
            <w:r>
              <w:rPr>
                <w:rFonts w:ascii="Meiryo" w:hAnsi="Meiryo" w:eastAsia="Meiryo"/>
                <w:b w:val="0"/>
                <w:sz w:val="19"/>
              </w:rPr>
              <w:t>A-3</w:t>
            </w:r>
          </w:p>
        </w:tc>
        <w:tc>
          <w:tcPr>
            <w:tcW w:type="dxa" w:w="2160"/>
          </w:tcPr>
          <w:p>
            <w:r/>
            <w:r>
              <w:rPr>
                <w:rFonts w:ascii="Meiryo" w:hAnsi="Meiryo" w:eastAsia="Meiryo"/>
                <w:b w:val="0"/>
                <w:sz w:val="19"/>
              </w:rPr>
              <w:t>別紙2「店頭イベント」の定義</w:t>
            </w:r>
          </w:p>
        </w:tc>
        <w:tc>
          <w:tcPr>
            <w:tcW w:type="dxa" w:w="2160"/>
          </w:tcPr>
          <w:p>
            <w:r/>
            <w:r>
              <w:rPr>
                <w:rFonts w:ascii="Meiryo" w:hAnsi="Meiryo" w:eastAsia="Meiryo"/>
                <w:b w:val="0"/>
                <w:sz w:val="19"/>
              </w:rPr>
              <w:t>「乙が運営または管理する商業施設内」とあるが、会場は家電量販店や商業施設で先方が運営・管理するものではない。また定義にキャラクターの出演(撮影会・ショー)が入っていない</w:t>
            </w:r>
          </w:p>
        </w:tc>
        <w:tc>
          <w:tcPr>
            <w:tcW w:type="dxa" w:w="2160"/>
          </w:tcPr>
          <w:p>
            <w:r/>
            <w:r>
              <w:rPr>
                <w:rFonts w:ascii="Meiryo" w:hAnsi="Meiryo" w:eastAsia="Meiryo"/>
                <w:b w:val="0"/>
                <w:sz w:val="19"/>
              </w:rPr>
              <w:t>「乙が主催し、商業施設・店舗等で実施する催事」とし、「本件IPのキャラクター(着ぐるみ)の出演、写真撮影会、ショー」を定義に加える</w:t>
            </w:r>
          </w:p>
        </w:tc>
      </w:tr>
      <w:tr>
        <w:tc>
          <w:tcPr>
            <w:tcW w:type="dxa" w:w="2160"/>
          </w:tcPr>
          <w:p>
            <w:r/>
            <w:r>
              <w:rPr>
                <w:rFonts w:ascii="Meiryo" w:hAnsi="Meiryo" w:eastAsia="Meiryo"/>
                <w:b w:val="0"/>
                <w:sz w:val="19"/>
              </w:rPr>
              <w:t>A-4</w:t>
            </w:r>
          </w:p>
        </w:tc>
        <w:tc>
          <w:tcPr>
            <w:tcW w:type="dxa" w:w="2160"/>
          </w:tcPr>
          <w:p>
            <w:r/>
            <w:r>
              <w:rPr>
                <w:rFonts w:ascii="Meiryo" w:hAnsi="Meiryo" w:eastAsia="Meiryo"/>
                <w:b w:val="0"/>
                <w:sz w:val="19"/>
              </w:rPr>
              <w:t>第2条2項</w:t>
            </w:r>
          </w:p>
        </w:tc>
        <w:tc>
          <w:tcPr>
            <w:tcW w:type="dxa" w:w="2160"/>
          </w:tcPr>
          <w:p>
            <w:r/>
            <w:r>
              <w:rPr>
                <w:rFonts w:ascii="Meiryo" w:hAnsi="Meiryo" w:eastAsia="Meiryo"/>
                <w:b w:val="0"/>
                <w:sz w:val="19"/>
              </w:rPr>
              <w:t>1年ごとの自動更新。先方には「2027年1月〜2028年12月(2年間)」で確定と伝えており、自動更新は提示していない。排他条項と競合制限も自動延長されるため当社側の権利調整にも影響する</w:t>
            </w:r>
          </w:p>
        </w:tc>
        <w:tc>
          <w:tcPr>
            <w:tcW w:type="dxa" w:w="2160"/>
          </w:tcPr>
          <w:p>
            <w:r/>
            <w:r>
              <w:rPr>
                <w:rFonts w:ascii="Meiryo" w:hAnsi="Meiryo" w:eastAsia="Meiryo"/>
                <w:b w:val="0"/>
                <w:sz w:val="19"/>
              </w:rPr>
              <w:t>自動更新を削除し「期間満了の3ヶ月前までに両社が書面で合意した場合に更新できる」に変更。第6条1項の「更新毎に2,000万円」は合わせて整理</w:t>
            </w:r>
          </w:p>
        </w:tc>
      </w:tr>
      <w:tr>
        <w:tc>
          <w:tcPr>
            <w:tcW w:type="dxa" w:w="2160"/>
          </w:tcPr>
          <w:p>
            <w:r/>
            <w:r>
              <w:rPr>
                <w:rFonts w:ascii="Meiryo" w:hAnsi="Meiryo" w:eastAsia="Meiryo"/>
                <w:b w:val="0"/>
                <w:sz w:val="19"/>
              </w:rPr>
              <w:t>A-5</w:t>
            </w:r>
          </w:p>
        </w:tc>
        <w:tc>
          <w:tcPr>
            <w:tcW w:type="dxa" w:w="2160"/>
          </w:tcPr>
          <w:p>
            <w:r/>
            <w:r>
              <w:rPr>
                <w:rFonts w:ascii="Meiryo" w:hAnsi="Meiryo" w:eastAsia="Meiryo"/>
                <w:b w:val="0"/>
                <w:sz w:val="19"/>
              </w:rPr>
              <w:t>第6条2項と提示資料の整合</w:t>
            </w:r>
          </w:p>
        </w:tc>
        <w:tc>
          <w:tcPr>
            <w:tcW w:type="dxa" w:w="2160"/>
          </w:tcPr>
          <w:p>
            <w:r/>
            <w:r>
              <w:rPr>
                <w:rFonts w:ascii="Meiryo" w:hAnsi="Meiryo" w:eastAsia="Meiryo"/>
                <w:b w:val="0"/>
                <w:sz w:val="19"/>
              </w:rPr>
              <w:t>「甲の履行義務は締結時点で完全に満たされる」は全額当期計上の根拠として維持したい。一方、先方には「IP使用料に監修、素材提供、運営マニュアル提供を含む」と説明済み。第5条3項で監修は権利保全措置と整理されているが、素材提供の位置づけがない</w:t>
            </w:r>
          </w:p>
        </w:tc>
        <w:tc>
          <w:tcPr>
            <w:tcW w:type="dxa" w:w="2160"/>
          </w:tcPr>
          <w:p>
            <w:r/>
            <w:r>
              <w:rPr>
                <w:rFonts w:ascii="Meiryo" w:hAnsi="Meiryo" w:eastAsia="Meiryo"/>
                <w:b w:val="0"/>
                <w:sz w:val="19"/>
              </w:rPr>
              <w:t>「甲は本契約締結後速やかに本件IPの素材データを提供する(提供をもって完了)」の一文を第1条または第5条に追加し、継続的な役務ではないことを明確にする</w:t>
            </w:r>
          </w:p>
        </w:tc>
      </w:tr>
    </w:tbl>
    <w:p/>
    <w:p>
      <w:r>
        <w:rPr>
          <w:rFonts w:ascii="Meiryo" w:hAnsi="Meiryo" w:eastAsia="Meiryo"/>
          <w:b/>
          <w:sz w:val="23"/>
        </w:rPr>
        <w:t>B. 社内で判断が要る点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条項</w:t>
            </w:r>
          </w:p>
        </w:tc>
        <w:tc>
          <w:tcPr>
            <w:tcW w:type="dxa" w:w="2160"/>
            <w:shd w:fill="E8EAF2"/>
          </w:tcPr>
          <w:p>
            <w:r/>
            <w:r>
              <w:rPr>
                <w:rFonts w:ascii="Meiryo" w:hAnsi="Meiryo" w:eastAsia="Meiryo"/>
                <w:b/>
                <w:sz w:val="19"/>
              </w:rPr>
              <w:t>内容</w:t>
            </w:r>
          </w:p>
        </w:tc>
        <w:tc>
          <w:tcPr>
            <w:tcW w:type="dxa" w:w="2160"/>
            <w:shd w:fill="E8EAF2"/>
          </w:tcPr>
          <w:p>
            <w:r/>
            <w:r>
              <w:rPr>
                <w:rFonts w:ascii="Meiryo" w:hAnsi="Meiryo" w:eastAsia="Meiryo"/>
                <w:b/>
                <w:sz w:val="19"/>
              </w:rPr>
              <w:t>判断すること</w:t>
            </w:r>
          </w:p>
        </w:tc>
      </w:tr>
      <w:tr>
        <w:tc>
          <w:tcPr>
            <w:tcW w:type="dxa" w:w="2160"/>
          </w:tcPr>
          <w:p>
            <w:r/>
            <w:r>
              <w:rPr>
                <w:rFonts w:ascii="Meiryo" w:hAnsi="Meiryo" w:eastAsia="Meiryo"/>
                <w:b w:val="0"/>
                <w:sz w:val="19"/>
              </w:rPr>
              <w:t>B-1</w:t>
            </w:r>
          </w:p>
        </w:tc>
        <w:tc>
          <w:tcPr>
            <w:tcW w:type="dxa" w:w="2160"/>
          </w:tcPr>
          <w:p>
            <w:r/>
            <w:r>
              <w:rPr>
                <w:rFonts w:ascii="Meiryo" w:hAnsi="Meiryo" w:eastAsia="Meiryo"/>
                <w:b w:val="0"/>
                <w:sz w:val="19"/>
              </w:rPr>
              <w:t>別紙1 本件IPの範囲</w:t>
            </w:r>
          </w:p>
        </w:tc>
        <w:tc>
          <w:tcPr>
            <w:tcW w:type="dxa" w:w="2160"/>
          </w:tcPr>
          <w:p>
            <w:r/>
            <w:r>
              <w:rPr>
                <w:rFonts w:ascii="Meiryo" w:hAnsi="Meiryo" w:eastAsia="Meiryo"/>
                <w:b w:val="0"/>
                <w:sz w:val="19"/>
              </w:rPr>
              <w:t>8ヒーローに「登場する怪獣、宇宙人、防衛隊メカ等のキャラクター要素」まで含む定義。先方には8ヒーローとだけ説明。競合制限(第3条)も本件IPの範囲で決まる</w:t>
            </w:r>
          </w:p>
        </w:tc>
        <w:tc>
          <w:tcPr>
            <w:tcW w:type="dxa" w:w="2160"/>
          </w:tcPr>
          <w:p>
            <w:r/>
            <w:r>
              <w:rPr>
                <w:rFonts w:ascii="Meiryo" w:hAnsi="Meiryo" w:eastAsia="Meiryo"/>
                <w:b w:val="0"/>
                <w:sz w:val="19"/>
              </w:rPr>
              <w:t>怪獣等まで許諾するか。許諾しないなら「以下のヒーロー8体」に限定。競合制限は「ウルトラマンシリーズのキャラクター全般」に広げるか8体に限るか</w:t>
            </w:r>
          </w:p>
        </w:tc>
      </w:tr>
      <w:tr>
        <w:tc>
          <w:tcPr>
            <w:tcW w:type="dxa" w:w="2160"/>
          </w:tcPr>
          <w:p>
            <w:r/>
            <w:r>
              <w:rPr>
                <w:rFonts w:ascii="Meiryo" w:hAnsi="Meiryo" w:eastAsia="Meiryo"/>
                <w:b w:val="0"/>
                <w:sz w:val="19"/>
              </w:rPr>
              <w:t>B-2</w:t>
            </w:r>
          </w:p>
        </w:tc>
        <w:tc>
          <w:tcPr>
            <w:tcW w:type="dxa" w:w="2160"/>
          </w:tcPr>
          <w:p>
            <w:r/>
            <w:r>
              <w:rPr>
                <w:rFonts w:ascii="Meiryo" w:hAnsi="Meiryo" w:eastAsia="Meiryo"/>
                <w:b w:val="0"/>
                <w:sz w:val="19"/>
              </w:rPr>
              <w:t>別紙1 と当社提示資料の不一致</w:t>
            </w:r>
          </w:p>
        </w:tc>
        <w:tc>
          <w:tcPr>
            <w:tcW w:type="dxa" w:w="2160"/>
          </w:tcPr>
          <w:p>
            <w:r/>
            <w:r>
              <w:rPr>
                <w:rFonts w:ascii="Meiryo" w:hAnsi="Meiryo" w:eastAsia="Meiryo"/>
                <w:b w:val="0"/>
                <w:sz w:val="19"/>
              </w:rPr>
              <w:t>先方提示のエリア別配分(10/22)に出演候補として「ゼット」「ジード」を記載しており、テスト期間にもゼット&amp;ジードショーを実施済み。別紙の8体に入っていない</w:t>
            </w:r>
          </w:p>
        </w:tc>
        <w:tc>
          <w:tcPr>
            <w:tcW w:type="dxa" w:w="2160"/>
          </w:tcPr>
          <w:p>
            <w:r/>
            <w:r>
              <w:rPr>
                <w:rFonts w:ascii="Meiryo" w:hAnsi="Meiryo" w:eastAsia="Meiryo"/>
                <w:b w:val="0"/>
                <w:sz w:val="19"/>
              </w:rPr>
              <w:t>ゼット・ジードを別紙に加えるか、提示資料から外すか。加える場合は「8ヒーロー」の表記を全資料で改める</w:t>
            </w:r>
          </w:p>
        </w:tc>
      </w:tr>
      <w:tr>
        <w:tc>
          <w:tcPr>
            <w:tcW w:type="dxa" w:w="2160"/>
          </w:tcPr>
          <w:p>
            <w:r/>
            <w:r>
              <w:rPr>
                <w:rFonts w:ascii="Meiryo" w:hAnsi="Meiryo" w:eastAsia="Meiryo"/>
                <w:b w:val="0"/>
                <w:sz w:val="19"/>
              </w:rPr>
              <w:t>B-3</w:t>
            </w:r>
          </w:p>
        </w:tc>
        <w:tc>
          <w:tcPr>
            <w:tcW w:type="dxa" w:w="2160"/>
          </w:tcPr>
          <w:p>
            <w:r/>
            <w:r>
              <w:rPr>
                <w:rFonts w:ascii="Meiryo" w:hAnsi="Meiryo" w:eastAsia="Meiryo"/>
                <w:b w:val="0"/>
                <w:sz w:val="19"/>
              </w:rPr>
              <w:t>第7条3項 制作MGの算出</w:t>
            </w:r>
          </w:p>
        </w:tc>
        <w:tc>
          <w:tcPr>
            <w:tcW w:type="dxa" w:w="2160"/>
          </w:tcPr>
          <w:p>
            <w:r/>
            <w:r>
              <w:rPr>
                <w:rFonts w:ascii="Meiryo" w:hAnsi="Meiryo" w:eastAsia="Meiryo"/>
                <w:b w:val="0"/>
                <w:sz w:val="19"/>
              </w:rPr>
              <w:t>「製造計画書に基づき甲が算出」とあるが、算出方法(計画数量×原価×20%の全額か、一定割合か)が書かれていない</w:t>
            </w:r>
          </w:p>
        </w:tc>
        <w:tc>
          <w:tcPr>
            <w:tcW w:type="dxa" w:w="2160"/>
          </w:tcPr>
          <w:p>
            <w:r/>
            <w:r>
              <w:rPr>
                <w:rFonts w:ascii="Meiryo" w:hAnsi="Meiryo" w:eastAsia="Meiryo"/>
                <w:b w:val="0"/>
                <w:sz w:val="19"/>
              </w:rPr>
              <w:t>社内方針は計画ロイヤリティの8割。契約書に「製造計画書に基づくロイヤリティ見込額の80%」と明記するか、別途協議とするか</w:t>
            </w:r>
          </w:p>
        </w:tc>
      </w:tr>
      <w:tr>
        <w:tc>
          <w:tcPr>
            <w:tcW w:type="dxa" w:w="2160"/>
          </w:tcPr>
          <w:p>
            <w:r/>
            <w:r>
              <w:rPr>
                <w:rFonts w:ascii="Meiryo" w:hAnsi="Meiryo" w:eastAsia="Meiryo"/>
                <w:b w:val="0"/>
                <w:sz w:val="19"/>
              </w:rPr>
              <w:t>B-4</w:t>
            </w:r>
          </w:p>
        </w:tc>
        <w:tc>
          <w:tcPr>
            <w:tcW w:type="dxa" w:w="2160"/>
          </w:tcPr>
          <w:p>
            <w:r/>
            <w:r>
              <w:rPr>
                <w:rFonts w:ascii="Meiryo" w:hAnsi="Meiryo" w:eastAsia="Meiryo"/>
                <w:b w:val="0"/>
                <w:sz w:val="19"/>
              </w:rPr>
              <w:t>第2条3項 終了後の措置</w:t>
            </w:r>
          </w:p>
        </w:tc>
        <w:tc>
          <w:tcPr>
            <w:tcW w:type="dxa" w:w="2160"/>
          </w:tcPr>
          <w:p>
            <w:r/>
            <w:r>
              <w:rPr>
                <w:rFonts w:ascii="Meiryo" w:hAnsi="Meiryo" w:eastAsia="Meiryo"/>
                <w:b w:val="0"/>
                <w:sz w:val="19"/>
              </w:rPr>
              <w:t>終了後は制作物・ノベルティをすべて破棄。先方は在庫の配布継続を求める可能性が高い</w:t>
            </w:r>
          </w:p>
        </w:tc>
        <w:tc>
          <w:tcPr>
            <w:tcW w:type="dxa" w:w="2160"/>
          </w:tcPr>
          <w:p>
            <w:r/>
            <w:r>
              <w:rPr>
                <w:rFonts w:ascii="Meiryo" w:hAnsi="Meiryo" w:eastAsia="Meiryo"/>
                <w:b w:val="0"/>
                <w:sz w:val="19"/>
              </w:rPr>
              <w:t>当社としては現行で可。先方から出れば「終了後3ヶ月のセルオフ(配布のみ)」を用意しておく</w:t>
            </w:r>
          </w:p>
        </w:tc>
      </w:tr>
      <w:tr>
        <w:tc>
          <w:tcPr>
            <w:tcW w:type="dxa" w:w="2160"/>
          </w:tcPr>
          <w:p>
            <w:r/>
            <w:r>
              <w:rPr>
                <w:rFonts w:ascii="Meiryo" w:hAnsi="Meiryo" w:eastAsia="Meiryo"/>
                <w:b w:val="0"/>
                <w:sz w:val="19"/>
              </w:rPr>
              <w:t>B-5</w:t>
            </w:r>
          </w:p>
        </w:tc>
        <w:tc>
          <w:tcPr>
            <w:tcW w:type="dxa" w:w="2160"/>
          </w:tcPr>
          <w:p>
            <w:r/>
            <w:r>
              <w:rPr>
                <w:rFonts w:ascii="Meiryo" w:hAnsi="Meiryo" w:eastAsia="Meiryo"/>
                <w:b w:val="0"/>
                <w:sz w:val="19"/>
              </w:rPr>
              <w:t>第12条1項(5)</w:t>
            </w:r>
          </w:p>
        </w:tc>
        <w:tc>
          <w:tcPr>
            <w:tcW w:type="dxa" w:w="2160"/>
          </w:tcPr>
          <w:p>
            <w:r/>
            <w:r>
              <w:rPr>
                <w:rFonts w:ascii="Meiryo" w:hAnsi="Meiryo" w:eastAsia="Meiryo"/>
                <w:b w:val="0"/>
                <w:sz w:val="19"/>
              </w:rPr>
              <w:t>「その他本契約の継続が困難であると認められる事情」での無催告解除。双方向のため先方の解除事由にもなる</w:t>
            </w:r>
          </w:p>
        </w:tc>
        <w:tc>
          <w:tcPr>
            <w:tcW w:type="dxa" w:w="2160"/>
          </w:tcPr>
          <w:p>
            <w:r/>
            <w:r>
              <w:rPr>
                <w:rFonts w:ascii="Meiryo" w:hAnsi="Meiryo" w:eastAsia="Meiryo"/>
                <w:b w:val="0"/>
                <w:sz w:val="19"/>
              </w:rPr>
              <w:t>削除するか、甲のみの事由にする。イベント実施契約第10条も同じ</w:t>
            </w:r>
          </w:p>
        </w:tc>
      </w:tr>
    </w:tbl>
    <w:p/>
    <w:p>
      <w:r>
        <w:rPr>
          <w:rFonts w:ascii="Meiryo" w:hAnsi="Meiryo" w:eastAsia="Meiryo"/>
          <w:b/>
          <w:sz w:val="23"/>
        </w:rPr>
        <w:t>C. 軽微な修正</w:t>
      </w:r>
    </w:p>
    <w:p>
      <w:pPr>
        <w:pStyle w:val="ListBullet"/>
      </w:pPr>
      <w:r>
        <w:rPr>
          <w:rFonts w:ascii="Meiryo" w:hAnsi="Meiryo" w:eastAsia="Meiryo"/>
          <w:b w:val="0"/>
          <w:sz w:val="21"/>
        </w:rPr>
        <w:t>第1条4項「自らの責任においた」→「自らの責任において」</w:t>
      </w:r>
    </w:p>
    <w:p>
      <w:pPr>
        <w:pStyle w:val="ListBullet"/>
      </w:pPr>
      <w:r>
        <w:rPr>
          <w:rFonts w:ascii="Meiryo" w:hAnsi="Meiryo" w:eastAsia="Meiryo"/>
          <w:b w:val="0"/>
          <w:sz w:val="21"/>
        </w:rPr>
        <w:t>第1条2項(3)「Web広告(SNSを含む)」に告知用のWebページ(LP)が含まれるか不明確。「Webサイト・LP・SNS等での告知・広告」に</w:t>
      </w:r>
    </w:p>
    <w:p>
      <w:pPr>
        <w:pStyle w:val="ListBullet"/>
      </w:pPr>
      <w:r>
        <w:rPr>
          <w:rFonts w:ascii="Meiryo" w:hAnsi="Meiryo" w:eastAsia="Meiryo"/>
          <w:b w:val="0"/>
          <w:sz w:val="21"/>
        </w:rPr>
        <w:t>第5条2項「(当社営業日ベース)」→「(甲の営業日ベース)」</w:t>
      </w:r>
    </w:p>
    <w:p>
      <w:pPr>
        <w:pStyle w:val="ListBullet"/>
      </w:pPr>
      <w:r>
        <w:rPr>
          <w:rFonts w:ascii="Meiryo" w:hAnsi="Meiryo" w:eastAsia="Meiryo"/>
          <w:b w:val="0"/>
          <w:sz w:val="21"/>
        </w:rPr>
        <w:t>第5条4項(8)「甲のおよび本件IP」→「甲および本件IP」</w:t>
      </w:r>
    </w:p>
    <w:p>
      <w:pPr>
        <w:pStyle w:val="ListBullet"/>
      </w:pPr>
      <w:r>
        <w:rPr>
          <w:rFonts w:ascii="Meiryo" w:hAnsi="Meiryo" w:eastAsia="Meiryo"/>
          <w:b w:val="0"/>
          <w:sz w:val="21"/>
        </w:rPr>
        <w:t>第7条3項「最低保証ロイヤルティ」→「ロイヤリティ」に統一</w:t>
      </w:r>
    </w:p>
    <w:p>
      <w:pPr>
        <w:pStyle w:val="ListBullet"/>
      </w:pPr>
      <w:r>
        <w:rPr>
          <w:rFonts w:ascii="Meiryo" w:hAnsi="Meiryo" w:eastAsia="Meiryo"/>
          <w:b w:val="0"/>
          <w:sz w:val="21"/>
        </w:rPr>
        <w:t>第9条「本権利行使」→「本件権利行使」</w:t>
      </w:r>
    </w:p>
    <w:p>
      <w:pPr>
        <w:pStyle w:val="ListBullet"/>
      </w:pPr>
      <w:r>
        <w:rPr>
          <w:rFonts w:ascii="Meiryo" w:hAnsi="Meiryo" w:eastAsia="Meiryo"/>
          <w:b w:val="0"/>
          <w:sz w:val="21"/>
        </w:rPr>
        <w:t>第13条1項(5)「標ぼうゴ」→「標ぼうゴロ」</w:t>
      </w:r>
    </w:p>
    <w:p>
      <w:pPr>
        <w:pStyle w:val="ListBullet"/>
      </w:pPr>
      <w:r>
        <w:rPr>
          <w:rFonts w:ascii="Meiryo" w:hAnsi="Meiryo" w:eastAsia="Meiryo"/>
          <w:b w:val="0"/>
          <w:sz w:val="21"/>
        </w:rPr>
        <w:t>支払遅延損害金の定めがない(年14.6%を追加)</w:t>
      </w:r>
    </w:p>
    <w:p>
      <w:pPr>
        <w:spacing w:before="240" w:after="120"/>
      </w:pPr>
      <w:r>
        <w:rPr>
          <w:rFonts w:ascii="Meiryo" w:hAnsi="Meiryo" w:eastAsia="Meiryo"/>
          <w:b/>
          <w:color w:val="232278"/>
          <w:sz w:val="26"/>
        </w:rPr>
        <w:t>3. イベント実施契約書</w:t>
      </w:r>
    </w:p>
    <w:p>
      <w:r>
        <w:rPr>
          <w:rFonts w:ascii="Meiryo" w:hAnsi="Meiryo" w:eastAsia="Meiryo"/>
          <w:b/>
          <w:sz w:val="23"/>
        </w:rPr>
        <w:t>A. 先方提示前に修正が必要</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条項</w:t>
            </w:r>
          </w:p>
        </w:tc>
        <w:tc>
          <w:tcPr>
            <w:tcW w:type="dxa" w:w="2160"/>
            <w:shd w:fill="E8EAF2"/>
          </w:tcPr>
          <w:p>
            <w:r/>
            <w:r>
              <w:rPr>
                <w:rFonts w:ascii="Meiryo" w:hAnsi="Meiryo" w:eastAsia="Meiryo"/>
                <w:b/>
                <w:sz w:val="19"/>
              </w:rPr>
              <w:t>内容</w:t>
            </w:r>
          </w:p>
        </w:tc>
        <w:tc>
          <w:tcPr>
            <w:tcW w:type="dxa" w:w="2160"/>
            <w:shd w:fill="E8EAF2"/>
          </w:tcPr>
          <w:p>
            <w:r/>
            <w:r>
              <w:rPr>
                <w:rFonts w:ascii="Meiryo" w:hAnsi="Meiryo" w:eastAsia="Meiryo"/>
                <w:b/>
                <w:sz w:val="19"/>
              </w:rPr>
              <w:t>修正案</w:t>
            </w:r>
          </w:p>
        </w:tc>
      </w:tr>
      <w:tr>
        <w:tc>
          <w:tcPr>
            <w:tcW w:type="dxa" w:w="2160"/>
          </w:tcPr>
          <w:p>
            <w:r/>
            <w:r>
              <w:rPr>
                <w:rFonts w:ascii="Meiryo" w:hAnsi="Meiryo" w:eastAsia="Meiryo"/>
                <w:b w:val="0"/>
                <w:sz w:val="19"/>
              </w:rPr>
              <w:t>A-6</w:t>
            </w:r>
          </w:p>
        </w:tc>
        <w:tc>
          <w:tcPr>
            <w:tcW w:type="dxa" w:w="2160"/>
          </w:tcPr>
          <w:p>
            <w:r/>
            <w:r>
              <w:rPr>
                <w:rFonts w:ascii="Meiryo" w:hAnsi="Meiryo" w:eastAsia="Meiryo"/>
                <w:b w:val="0"/>
                <w:sz w:val="19"/>
              </w:rPr>
              <w:t>第5条4項</w:t>
            </w:r>
          </w:p>
        </w:tc>
        <w:tc>
          <w:tcPr>
            <w:tcW w:type="dxa" w:w="2160"/>
          </w:tcPr>
          <w:p>
            <w:r/>
            <w:r>
              <w:rPr>
                <w:rFonts w:ascii="Meiryo" w:hAnsi="Meiryo" w:eastAsia="Meiryo"/>
                <w:b w:val="0"/>
                <w:sz w:val="19"/>
              </w:rPr>
              <w:t>従量費用(現場諸経費2万円/日)、オプション費用、実費が「基準15ラインを超えて実施する場合」の支払いとして書かれている。このままだと増枠時以外は現場諸経費・実費を請求できない</w:t>
            </w:r>
          </w:p>
        </w:tc>
        <w:tc>
          <w:tcPr>
            <w:tcW w:type="dxa" w:w="2160"/>
          </w:tcPr>
          <w:p>
            <w:r/>
            <w:r>
              <w:rPr>
                <w:rFonts w:ascii="Meiryo" w:hAnsi="Meiryo" w:eastAsia="Meiryo"/>
                <w:b w:val="0"/>
                <w:sz w:val="19"/>
              </w:rPr>
              <w:t>4項を分け、「増枠分の基本対価」と「すべての現場に適用する従量費用・オプション費用・実費」を別項にする</w:t>
            </w:r>
          </w:p>
        </w:tc>
      </w:tr>
      <w:tr>
        <w:tc>
          <w:tcPr>
            <w:tcW w:type="dxa" w:w="2160"/>
          </w:tcPr>
          <w:p>
            <w:r/>
            <w:r>
              <w:rPr>
                <w:rFonts w:ascii="Meiryo" w:hAnsi="Meiryo" w:eastAsia="Meiryo"/>
                <w:b w:val="0"/>
                <w:sz w:val="19"/>
              </w:rPr>
              <w:t>A-7</w:t>
            </w:r>
          </w:p>
        </w:tc>
        <w:tc>
          <w:tcPr>
            <w:tcW w:type="dxa" w:w="2160"/>
          </w:tcPr>
          <w:p>
            <w:r/>
            <w:r>
              <w:rPr>
                <w:rFonts w:ascii="Meiryo" w:hAnsi="Meiryo" w:eastAsia="Meiryo"/>
                <w:b w:val="0"/>
                <w:sz w:val="19"/>
              </w:rPr>
              <w:t>第5条3項</w:t>
            </w:r>
          </w:p>
        </w:tc>
        <w:tc>
          <w:tcPr>
            <w:tcW w:type="dxa" w:w="2160"/>
          </w:tcPr>
          <w:p>
            <w:r/>
            <w:r>
              <w:rPr>
                <w:rFonts w:ascii="Meiryo" w:hAnsi="Meiryo" w:eastAsia="Meiryo"/>
                <w:b w:val="0"/>
                <w:sz w:val="19"/>
              </w:rPr>
              <w:t>最低保証の消化単位が「週あたり15ライン、未消化分の繰越・振替不可」。先方提示資料は月別ライン供給計画(月単位の基準開催数)で説明しており、週単位は提示していない</w:t>
            </w:r>
          </w:p>
        </w:tc>
        <w:tc>
          <w:tcPr>
            <w:tcW w:type="dxa" w:w="2160"/>
          </w:tcPr>
          <w:p>
            <w:r/>
            <w:r>
              <w:rPr>
                <w:rFonts w:ascii="Meiryo" w:hAnsi="Meiryo" w:eastAsia="Meiryo"/>
                <w:b w:val="0"/>
                <w:sz w:val="19"/>
              </w:rPr>
              <w:t>「別紙の月別ライン供給計画に定める各月の基準開催数」を単位とし、月をまたぐ繰越・振替は不可とする。月別ライン供給計画を別紙にする</w:t>
            </w:r>
          </w:p>
        </w:tc>
      </w:tr>
      <w:tr>
        <w:tc>
          <w:tcPr>
            <w:tcW w:type="dxa" w:w="2160"/>
          </w:tcPr>
          <w:p>
            <w:r/>
            <w:r>
              <w:rPr>
                <w:rFonts w:ascii="Meiryo" w:hAnsi="Meiryo" w:eastAsia="Meiryo"/>
                <w:b w:val="0"/>
                <w:sz w:val="19"/>
              </w:rPr>
              <w:t>A-8</w:t>
            </w:r>
          </w:p>
        </w:tc>
        <w:tc>
          <w:tcPr>
            <w:tcW w:type="dxa" w:w="2160"/>
          </w:tcPr>
          <w:p>
            <w:r/>
            <w:r>
              <w:rPr>
                <w:rFonts w:ascii="Meiryo" w:hAnsi="Meiryo" w:eastAsia="Meiryo"/>
                <w:b w:val="0"/>
                <w:sz w:val="19"/>
              </w:rPr>
              <w:t>第5条6項</w:t>
            </w:r>
          </w:p>
        </w:tc>
        <w:tc>
          <w:tcPr>
            <w:tcW w:type="dxa" w:w="2160"/>
          </w:tcPr>
          <w:p>
            <w:r/>
            <w:r>
              <w:rPr>
                <w:rFonts w:ascii="Meiryo" w:hAnsi="Meiryo" w:eastAsia="Meiryo"/>
                <w:b w:val="0"/>
                <w:sz w:val="19"/>
              </w:rPr>
              <w:t>「各期間の末日に実績を集計」と「四半期の翌月末日までに支払」が混在している</w:t>
            </w:r>
          </w:p>
        </w:tc>
        <w:tc>
          <w:tcPr>
            <w:tcW w:type="dxa" w:w="2160"/>
          </w:tcPr>
          <w:p>
            <w:r/>
            <w:r>
              <w:rPr>
                <w:rFonts w:ascii="Meiryo" w:hAnsi="Meiryo" w:eastAsia="Meiryo"/>
                <w:b w:val="0"/>
                <w:sz w:val="19"/>
              </w:rPr>
              <w:t>四半期ごとに集計し、翌月末日払いに統一(先方には四半期精算で説明済み)</w:t>
            </w:r>
          </w:p>
        </w:tc>
      </w:tr>
      <w:tr>
        <w:tc>
          <w:tcPr>
            <w:tcW w:type="dxa" w:w="2160"/>
          </w:tcPr>
          <w:p>
            <w:r/>
            <w:r>
              <w:rPr>
                <w:rFonts w:ascii="Meiryo" w:hAnsi="Meiryo" w:eastAsia="Meiryo"/>
                <w:b w:val="0"/>
                <w:sz w:val="19"/>
              </w:rPr>
              <w:t>A-9</w:t>
            </w:r>
          </w:p>
        </w:tc>
        <w:tc>
          <w:tcPr>
            <w:tcW w:type="dxa" w:w="2160"/>
          </w:tcPr>
          <w:p>
            <w:r/>
            <w:r>
              <w:rPr>
                <w:rFonts w:ascii="Meiryo" w:hAnsi="Meiryo" w:eastAsia="Meiryo"/>
                <w:b w:val="0"/>
                <w:sz w:val="19"/>
              </w:rPr>
              <w:t>第6条1項・2項</w:t>
            </w:r>
          </w:p>
        </w:tc>
        <w:tc>
          <w:tcPr>
            <w:tcW w:type="dxa" w:w="2160"/>
          </w:tcPr>
          <w:p>
            <w:r/>
            <w:r>
              <w:rPr>
                <w:rFonts w:ascii="Meiryo" w:hAnsi="Meiryo" w:eastAsia="Meiryo"/>
                <w:b w:val="0"/>
                <w:sz w:val="19"/>
              </w:rPr>
              <w:t>中止された現場を「最低保証実施数の消化」として扱い、さらにキャンセル料(基本対価の30〜100%)を上乗せする構成。先方には「キャンセル料」のみ提示しており、二重取りに見える</w:t>
            </w:r>
          </w:p>
        </w:tc>
        <w:tc>
          <w:tcPr>
            <w:tcW w:type="dxa" w:w="2160"/>
          </w:tcPr>
          <w:p>
            <w:r/>
            <w:r>
              <w:rPr>
                <w:rFonts w:ascii="Meiryo" w:hAnsi="Meiryo" w:eastAsia="Meiryo"/>
                <w:b w:val="0"/>
                <w:sz w:val="19"/>
              </w:rPr>
              <w:t>当社案:キャンセルされた現場は消化扱いとせず、キャンセル料のみ請求する(未実施分は期末の最低保証精算で回収される)。消化扱いを残すなら、キャンセル料は実費(交通・宿泊・送料)相当に限定</w:t>
            </w:r>
          </w:p>
        </w:tc>
      </w:tr>
      <w:tr>
        <w:tc>
          <w:tcPr>
            <w:tcW w:type="dxa" w:w="2160"/>
          </w:tcPr>
          <w:p>
            <w:r/>
            <w:r>
              <w:rPr>
                <w:rFonts w:ascii="Meiryo" w:hAnsi="Meiryo" w:eastAsia="Meiryo"/>
                <w:b w:val="0"/>
                <w:sz w:val="19"/>
              </w:rPr>
              <w:t>A-10</w:t>
            </w:r>
          </w:p>
        </w:tc>
        <w:tc>
          <w:tcPr>
            <w:tcW w:type="dxa" w:w="2160"/>
          </w:tcPr>
          <w:p>
            <w:r/>
            <w:r>
              <w:rPr>
                <w:rFonts w:ascii="Meiryo" w:hAnsi="Meiryo" w:eastAsia="Meiryo"/>
                <w:b w:val="0"/>
                <w:sz w:val="19"/>
              </w:rPr>
              <w:t>第1条</w:t>
            </w:r>
          </w:p>
        </w:tc>
        <w:tc>
          <w:tcPr>
            <w:tcW w:type="dxa" w:w="2160"/>
          </w:tcPr>
          <w:p>
            <w:r/>
            <w:r>
              <w:rPr>
                <w:rFonts w:ascii="Meiryo" w:hAnsi="Meiryo" w:eastAsia="Meiryo"/>
                <w:b w:val="0"/>
                <w:sz w:val="19"/>
              </w:rPr>
              <w:t>「キャラクタースーツおよびスーツアクター並びに運営補助スタッフを貸与または手配」。スーツを貸与する契約ではない</w:t>
            </w:r>
          </w:p>
        </w:tc>
        <w:tc>
          <w:tcPr>
            <w:tcW w:type="dxa" w:w="2160"/>
          </w:tcPr>
          <w:p>
            <w:r/>
            <w:r>
              <w:rPr>
                <w:rFonts w:ascii="Meiryo" w:hAnsi="Meiryo" w:eastAsia="Meiryo"/>
                <w:b w:val="0"/>
                <w:sz w:val="19"/>
              </w:rPr>
              <w:t>「キャラクターを出演させ、担当スタッフを派遣する」に修正</w:t>
            </w:r>
          </w:p>
        </w:tc>
      </w:tr>
      <w:tr>
        <w:tc>
          <w:tcPr>
            <w:tcW w:type="dxa" w:w="2160"/>
          </w:tcPr>
          <w:p>
            <w:r/>
            <w:r>
              <w:rPr>
                <w:rFonts w:ascii="Meiryo" w:hAnsi="Meiryo" w:eastAsia="Meiryo"/>
                <w:b w:val="0"/>
                <w:sz w:val="19"/>
              </w:rPr>
              <w:t>A-11</w:t>
            </w:r>
          </w:p>
        </w:tc>
        <w:tc>
          <w:tcPr>
            <w:tcW w:type="dxa" w:w="2160"/>
          </w:tcPr>
          <w:p>
            <w:r/>
            <w:r>
              <w:rPr>
                <w:rFonts w:ascii="Meiryo" w:hAnsi="Meiryo" w:eastAsia="Meiryo"/>
                <w:b w:val="0"/>
                <w:sz w:val="19"/>
              </w:rPr>
              <w:t>別紙の不足</w:t>
            </w:r>
          </w:p>
        </w:tc>
        <w:tc>
          <w:tcPr>
            <w:tcW w:type="dxa" w:w="2160"/>
          </w:tcPr>
          <w:p>
            <w:r/>
            <w:r>
              <w:rPr>
                <w:rFonts w:ascii="Meiryo" w:hAnsi="Meiryo" w:eastAsia="Meiryo"/>
                <w:b w:val="0"/>
                <w:sz w:val="19"/>
              </w:rPr>
              <w:t>「全国基準料金表」が引用されているが別紙がない。運営マニュアル・実施確認書の様式も契約上の位置づけがない</w:t>
            </w:r>
          </w:p>
        </w:tc>
        <w:tc>
          <w:tcPr>
            <w:tcW w:type="dxa" w:w="2160"/>
          </w:tcPr>
          <w:p>
            <w:r/>
            <w:r>
              <w:rPr>
                <w:rFonts w:ascii="Meiryo" w:hAnsi="Meiryo" w:eastAsia="Meiryo"/>
                <w:b w:val="0"/>
                <w:sz w:val="19"/>
              </w:rPr>
              <w:t>全国基準料金表、月別ライン供給計画、運営マニュアル(安全基準)、実施確認書様式を別紙として添付。菅野さんに最終版を依頼</w:t>
            </w:r>
          </w:p>
        </w:tc>
      </w:tr>
    </w:tbl>
    <w:p/>
    <w:p>
      <w:r>
        <w:rPr>
          <w:rFonts w:ascii="Meiryo" w:hAnsi="Meiryo" w:eastAsia="Meiryo"/>
          <w:b/>
          <w:sz w:val="23"/>
        </w:rPr>
        <w:t>B. 社内で判断が要る点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条項</w:t>
            </w:r>
          </w:p>
        </w:tc>
        <w:tc>
          <w:tcPr>
            <w:tcW w:type="dxa" w:w="2160"/>
            <w:shd w:fill="E8EAF2"/>
          </w:tcPr>
          <w:p>
            <w:r/>
            <w:r>
              <w:rPr>
                <w:rFonts w:ascii="Meiryo" w:hAnsi="Meiryo" w:eastAsia="Meiryo"/>
                <w:b/>
                <w:sz w:val="19"/>
              </w:rPr>
              <w:t>内容</w:t>
            </w:r>
          </w:p>
        </w:tc>
        <w:tc>
          <w:tcPr>
            <w:tcW w:type="dxa" w:w="2160"/>
            <w:shd w:fill="E8EAF2"/>
          </w:tcPr>
          <w:p>
            <w:r/>
            <w:r>
              <w:rPr>
                <w:rFonts w:ascii="Meiryo" w:hAnsi="Meiryo" w:eastAsia="Meiryo"/>
                <w:b/>
                <w:sz w:val="19"/>
              </w:rPr>
              <w:t>判断すること</w:t>
            </w:r>
          </w:p>
        </w:tc>
      </w:tr>
      <w:tr>
        <w:tc>
          <w:tcPr>
            <w:tcW w:type="dxa" w:w="2160"/>
          </w:tcPr>
          <w:p>
            <w:r/>
            <w:r>
              <w:rPr>
                <w:rFonts w:ascii="Meiryo" w:hAnsi="Meiryo" w:eastAsia="Meiryo"/>
                <w:b w:val="0"/>
                <w:sz w:val="19"/>
              </w:rPr>
              <w:t>B-6</w:t>
            </w:r>
          </w:p>
        </w:tc>
        <w:tc>
          <w:tcPr>
            <w:tcW w:type="dxa" w:w="2160"/>
          </w:tcPr>
          <w:p>
            <w:r/>
            <w:r>
              <w:rPr>
                <w:rFonts w:ascii="Meiryo" w:hAnsi="Meiryo" w:eastAsia="Meiryo"/>
                <w:b w:val="0"/>
                <w:sz w:val="19"/>
              </w:rPr>
              <w:t>第2条1項</w:t>
            </w:r>
          </w:p>
        </w:tc>
        <w:tc>
          <w:tcPr>
            <w:tcW w:type="dxa" w:w="2160"/>
          </w:tcPr>
          <w:p>
            <w:r/>
            <w:r>
              <w:rPr>
                <w:rFonts w:ascii="Meiryo" w:hAnsi="Meiryo" w:eastAsia="Meiryo"/>
                <w:b w:val="0"/>
                <w:sz w:val="19"/>
              </w:rPr>
              <w:t>ライセンス契約と同じ1年自動延長</w:t>
            </w:r>
          </w:p>
        </w:tc>
        <w:tc>
          <w:tcPr>
            <w:tcW w:type="dxa" w:w="2160"/>
          </w:tcPr>
          <w:p>
            <w:r/>
            <w:r>
              <w:rPr>
                <w:rFonts w:ascii="Meiryo" w:hAnsi="Meiryo" w:eastAsia="Meiryo"/>
                <w:b w:val="0"/>
                <w:sz w:val="19"/>
              </w:rPr>
              <w:t>A-4と同じく、両社合意による更新に変更</w:t>
            </w:r>
          </w:p>
        </w:tc>
      </w:tr>
      <w:tr>
        <w:tc>
          <w:tcPr>
            <w:tcW w:type="dxa" w:w="2160"/>
          </w:tcPr>
          <w:p>
            <w:r/>
            <w:r>
              <w:rPr>
                <w:rFonts w:ascii="Meiryo" w:hAnsi="Meiryo" w:eastAsia="Meiryo"/>
                <w:b w:val="0"/>
                <w:sz w:val="19"/>
              </w:rPr>
              <w:t>B-7</w:t>
            </w:r>
          </w:p>
        </w:tc>
        <w:tc>
          <w:tcPr>
            <w:tcW w:type="dxa" w:w="2160"/>
          </w:tcPr>
          <w:p>
            <w:r/>
            <w:r>
              <w:rPr>
                <w:rFonts w:ascii="Meiryo" w:hAnsi="Meiryo" w:eastAsia="Meiryo"/>
                <w:b w:val="0"/>
                <w:sz w:val="19"/>
              </w:rPr>
              <w:t>第2条3項後段</w:t>
            </w:r>
          </w:p>
        </w:tc>
        <w:tc>
          <w:tcPr>
            <w:tcW w:type="dxa" w:w="2160"/>
          </w:tcPr>
          <w:p>
            <w:r/>
            <w:r>
              <w:rPr>
                <w:rFonts w:ascii="Meiryo" w:hAnsi="Meiryo" w:eastAsia="Meiryo"/>
                <w:b w:val="0"/>
                <w:sz w:val="19"/>
              </w:rPr>
              <w:t>2027年1〜3月に東京・神奈川・千葉等で開催する場合は会場・日程について甲の事前承諾が必要、という条件。先方には関信越7県の実施不可のみ提示しており、関東6ラインの中心エリアに承諾要件がかかる</w:t>
            </w:r>
          </w:p>
        </w:tc>
        <w:tc>
          <w:tcPr>
            <w:tcW w:type="dxa" w:w="2160"/>
          </w:tcPr>
          <w:p>
            <w:r/>
            <w:r>
              <w:rPr>
                <w:rFonts w:ascii="Meiryo" w:hAnsi="Meiryo" w:eastAsia="Meiryo"/>
                <w:b w:val="0"/>
                <w:sz w:val="19"/>
              </w:rPr>
              <w:t>権利調整上必要なら残すが、「関信越エリアとの境界から一定距離内の会場に限る」など範囲を絞り、10/29に理由を言わずに説明する。不要なら削除</w:t>
            </w:r>
          </w:p>
        </w:tc>
      </w:tr>
      <w:tr>
        <w:tc>
          <w:tcPr>
            <w:tcW w:type="dxa" w:w="2160"/>
          </w:tcPr>
          <w:p>
            <w:r/>
            <w:r>
              <w:rPr>
                <w:rFonts w:ascii="Meiryo" w:hAnsi="Meiryo" w:eastAsia="Meiryo"/>
                <w:b w:val="0"/>
                <w:sz w:val="19"/>
              </w:rPr>
              <w:t>B-8</w:t>
            </w:r>
          </w:p>
        </w:tc>
        <w:tc>
          <w:tcPr>
            <w:tcW w:type="dxa" w:w="2160"/>
          </w:tcPr>
          <w:p>
            <w:r/>
            <w:r>
              <w:rPr>
                <w:rFonts w:ascii="Meiryo" w:hAnsi="Meiryo" w:eastAsia="Meiryo"/>
                <w:b w:val="0"/>
                <w:sz w:val="19"/>
              </w:rPr>
              <w:t>第5条5項</w:t>
            </w:r>
          </w:p>
        </w:tc>
        <w:tc>
          <w:tcPr>
            <w:tcW w:type="dxa" w:w="2160"/>
          </w:tcPr>
          <w:p>
            <w:r/>
            <w:r>
              <w:rPr>
                <w:rFonts w:ascii="Meiryo" w:hAnsi="Meiryo" w:eastAsia="Meiryo"/>
                <w:b w:val="0"/>
                <w:sz w:val="19"/>
              </w:rPr>
              <w:t>各期の最低保証を期の開始前月末までに一括前払い(第1期3,900万円を2026年12月末、第2期1億5,600万円を2027年3月末、第3期1億2,000万円を2028年3月末)。先方には「四半期前払い(ご相談)」と提示</w:t>
            </w:r>
          </w:p>
        </w:tc>
        <w:tc>
          <w:tcPr>
            <w:tcW w:type="dxa" w:w="2160"/>
          </w:tcPr>
          <w:p>
            <w:r/>
            <w:r>
              <w:rPr>
                <w:rFonts w:ascii="Meiryo" w:hAnsi="Meiryo" w:eastAsia="Meiryo"/>
                <w:b w:val="0"/>
                <w:sz w:val="19"/>
              </w:rPr>
              <w:t>当社に有利だが先方の予算決裁に影響する。契約案は期一括のまま提示し、先方から出れば四半期前払いに下げる、で良いか</w:t>
            </w:r>
          </w:p>
        </w:tc>
      </w:tr>
      <w:tr>
        <w:tc>
          <w:tcPr>
            <w:tcW w:type="dxa" w:w="2160"/>
          </w:tcPr>
          <w:p>
            <w:r/>
            <w:r>
              <w:rPr>
                <w:rFonts w:ascii="Meiryo" w:hAnsi="Meiryo" w:eastAsia="Meiryo"/>
                <w:b w:val="0"/>
                <w:sz w:val="19"/>
              </w:rPr>
              <w:t>B-9</w:t>
            </w:r>
          </w:p>
        </w:tc>
        <w:tc>
          <w:tcPr>
            <w:tcW w:type="dxa" w:w="2160"/>
          </w:tcPr>
          <w:p>
            <w:r/>
            <w:r>
              <w:rPr>
                <w:rFonts w:ascii="Meiryo" w:hAnsi="Meiryo" w:eastAsia="Meiryo"/>
                <w:b w:val="0"/>
                <w:sz w:val="19"/>
              </w:rPr>
              <w:t>第6条3項</w:t>
            </w:r>
          </w:p>
        </w:tc>
        <w:tc>
          <w:tcPr>
            <w:tcW w:type="dxa" w:w="2160"/>
          </w:tcPr>
          <w:p>
            <w:r/>
            <w:r>
              <w:rPr>
                <w:rFonts w:ascii="Meiryo" w:hAnsi="Meiryo" w:eastAsia="Meiryo"/>
                <w:b w:val="0"/>
                <w:sz w:val="19"/>
              </w:rPr>
              <w:t>先方都合で期間満了前に開催を終了した場合、残存期間の最低保証全額を支払う条項。10/24の法務MTGで「中途解約の記載は消してOK」とし、先方提示資料からは削除済み</w:t>
            </w:r>
          </w:p>
        </w:tc>
        <w:tc>
          <w:tcPr>
            <w:tcW w:type="dxa" w:w="2160"/>
          </w:tcPr>
          <w:p>
            <w:r/>
            <w:r>
              <w:rPr>
                <w:rFonts w:ascii="Meiryo" w:hAnsi="Meiryo" w:eastAsia="Meiryo"/>
                <w:b w:val="0"/>
                <w:sz w:val="19"/>
              </w:rPr>
              <w:t>契約書には残す(最低保証の返還なしの帰結として)という理解で良いか。先方提示資料と違うため、提示時に「最低保証の性質上の規定」と説明する</w:t>
            </w:r>
          </w:p>
        </w:tc>
      </w:tr>
      <w:tr>
        <w:tc>
          <w:tcPr>
            <w:tcW w:type="dxa" w:w="2160"/>
          </w:tcPr>
          <w:p>
            <w:r/>
            <w:r>
              <w:rPr>
                <w:rFonts w:ascii="Meiryo" w:hAnsi="Meiryo" w:eastAsia="Meiryo"/>
                <w:b w:val="0"/>
                <w:sz w:val="19"/>
              </w:rPr>
              <w:t>B-10</w:t>
            </w:r>
          </w:p>
        </w:tc>
        <w:tc>
          <w:tcPr>
            <w:tcW w:type="dxa" w:w="2160"/>
          </w:tcPr>
          <w:p>
            <w:r/>
            <w:r>
              <w:rPr>
                <w:rFonts w:ascii="Meiryo" w:hAnsi="Meiryo" w:eastAsia="Meiryo"/>
                <w:b w:val="0"/>
                <w:sz w:val="19"/>
              </w:rPr>
              <w:t>第5条4項 3日目の料金</w:t>
            </w:r>
          </w:p>
        </w:tc>
        <w:tc>
          <w:tcPr>
            <w:tcW w:type="dxa" w:w="2160"/>
          </w:tcPr>
          <w:p>
            <w:r/>
            <w:r>
              <w:rPr>
                <w:rFonts w:ascii="Meiryo" w:hAnsi="Meiryo" w:eastAsia="Meiryo"/>
                <w:b w:val="0"/>
                <w:sz w:val="19"/>
              </w:rPr>
              <w:t>「3日以上休日が連続する場合の3日目以後は追加100,000円/日」。当社提示資料の中で、実施条件は「3連休300,000円(3日目も10万円)」、見積と供給計画は「3日目+10万円/日」と不一致</w:t>
            </w:r>
          </w:p>
        </w:tc>
        <w:tc>
          <w:tcPr>
            <w:tcW w:type="dxa" w:w="2160"/>
          </w:tcPr>
          <w:p>
            <w:r/>
            <w:r>
              <w:rPr>
                <w:rFonts w:ascii="Meiryo" w:hAnsi="Meiryo" w:eastAsia="Meiryo"/>
                <w:b w:val="0"/>
                <w:sz w:val="19"/>
              </w:rPr>
              <w:t>3日目を「基本対価10万円+追加10万円=20万円」とするか「10万円」とするか決め、契約書と提示資料を統一する</w:t>
            </w:r>
          </w:p>
        </w:tc>
      </w:tr>
      <w:tr>
        <w:tc>
          <w:tcPr>
            <w:tcW w:type="dxa" w:w="2160"/>
          </w:tcPr>
          <w:p>
            <w:r/>
            <w:r>
              <w:rPr>
                <w:rFonts w:ascii="Meiryo" w:hAnsi="Meiryo" w:eastAsia="Meiryo"/>
                <w:b w:val="0"/>
                <w:sz w:val="19"/>
              </w:rPr>
              <w:t>B-11</w:t>
            </w:r>
          </w:p>
        </w:tc>
        <w:tc>
          <w:tcPr>
            <w:tcW w:type="dxa" w:w="2160"/>
          </w:tcPr>
          <w:p>
            <w:r/>
            <w:r>
              <w:rPr>
                <w:rFonts w:ascii="Meiryo" w:hAnsi="Meiryo" w:eastAsia="Meiryo"/>
                <w:b w:val="0"/>
                <w:sz w:val="19"/>
              </w:rPr>
              <w:t>第7条 不可抗力</w:t>
            </w:r>
          </w:p>
        </w:tc>
        <w:tc>
          <w:tcPr>
            <w:tcW w:type="dxa" w:w="2160"/>
          </w:tcPr>
          <w:p>
            <w:r/>
            <w:r>
              <w:rPr>
                <w:rFonts w:ascii="Meiryo" w:hAnsi="Meiryo" w:eastAsia="Meiryo"/>
                <w:b w:val="0"/>
                <w:sz w:val="19"/>
              </w:rPr>
              <w:t>甲の責に帰さない中止の取扱いは別途協議。最低保証への算入が未定</w:t>
            </w:r>
          </w:p>
        </w:tc>
        <w:tc>
          <w:tcPr>
            <w:tcW w:type="dxa" w:w="2160"/>
          </w:tcPr>
          <w:p>
            <w:r/>
            <w:r>
              <w:rPr>
                <w:rFonts w:ascii="Meiryo" w:hAnsi="Meiryo" w:eastAsia="Meiryo"/>
                <w:b w:val="0"/>
                <w:sz w:val="19"/>
              </w:rPr>
              <w:t>当社案(当社に責任のない中止は最低保証の消化として扱う)を協議で提示するか、契約書に先に書くか</w:t>
            </w:r>
          </w:p>
        </w:tc>
      </w:tr>
      <w:tr>
        <w:tc>
          <w:tcPr>
            <w:tcW w:type="dxa" w:w="2160"/>
          </w:tcPr>
          <w:p>
            <w:r/>
            <w:r>
              <w:rPr>
                <w:rFonts w:ascii="Meiryo" w:hAnsi="Meiryo" w:eastAsia="Meiryo"/>
                <w:b w:val="0"/>
                <w:sz w:val="19"/>
              </w:rPr>
              <w:t>B-12</w:t>
            </w:r>
          </w:p>
        </w:tc>
        <w:tc>
          <w:tcPr>
            <w:tcW w:type="dxa" w:w="2160"/>
          </w:tcPr>
          <w:p>
            <w:r/>
            <w:r>
              <w:rPr>
                <w:rFonts w:ascii="Meiryo" w:hAnsi="Meiryo" w:eastAsia="Meiryo"/>
                <w:b w:val="0"/>
                <w:sz w:val="19"/>
              </w:rPr>
              <w:t>第10条1項(5)</w:t>
            </w:r>
          </w:p>
        </w:tc>
        <w:tc>
          <w:tcPr>
            <w:tcW w:type="dxa" w:w="2160"/>
          </w:tcPr>
          <w:p>
            <w:r/>
            <w:r>
              <w:rPr>
                <w:rFonts w:ascii="Meiryo" w:hAnsi="Meiryo" w:eastAsia="Meiryo"/>
                <w:b w:val="0"/>
                <w:sz w:val="19"/>
              </w:rPr>
              <w:t>ライセンス契約B-5と同じ。先方がこの事由で解除すると第6条3項の適用が争いになる</w:t>
            </w:r>
          </w:p>
        </w:tc>
        <w:tc>
          <w:tcPr>
            <w:tcW w:type="dxa" w:w="2160"/>
          </w:tcPr>
          <w:p>
            <w:r/>
            <w:r>
              <w:rPr>
                <w:rFonts w:ascii="Meiryo" w:hAnsi="Meiryo" w:eastAsia="Meiryo"/>
                <w:b w:val="0"/>
                <w:sz w:val="19"/>
              </w:rPr>
              <w:t>削除または甲のみの事由に</w:t>
            </w:r>
          </w:p>
        </w:tc>
      </w:tr>
    </w:tbl>
    <w:p/>
    <w:p>
      <w:r>
        <w:rPr>
          <w:rFonts w:ascii="Meiryo" w:hAnsi="Meiryo" w:eastAsia="Meiryo"/>
          <w:b/>
          <w:sz w:val="23"/>
        </w:rPr>
        <w:t>C. 軽微な修正</w:t>
      </w:r>
    </w:p>
    <w:p>
      <w:pPr>
        <w:pStyle w:val="ListBullet"/>
      </w:pPr>
      <w:r>
        <w:rPr>
          <w:rFonts w:ascii="Meiryo" w:hAnsi="Meiryo" w:eastAsia="Meiryo"/>
          <w:b w:val="0"/>
          <w:sz w:val="21"/>
        </w:rPr>
        <w:t>第3条1項(3)「撮影時における客列誘導等を含む」→ 列誘導は先方スタッフの役割。「撮影時のキャラクター前での来場者対応を含む」に</w:t>
      </w:r>
    </w:p>
    <w:p>
      <w:pPr>
        <w:pStyle w:val="ListBullet"/>
      </w:pPr>
      <w:r>
        <w:rPr>
          <w:rFonts w:ascii="Meiryo" w:hAnsi="Meiryo" w:eastAsia="Meiryo"/>
          <w:b w:val="0"/>
          <w:sz w:val="21"/>
        </w:rPr>
        <w:t>第5条4項「基本料金」と第5条1項「基本対価」の用語統一</w:t>
      </w:r>
    </w:p>
    <w:p>
      <w:pPr>
        <w:pStyle w:val="ListBullet"/>
      </w:pPr>
      <w:r>
        <w:rPr>
          <w:rFonts w:ascii="Meiryo" w:hAnsi="Meiryo" w:eastAsia="Meiryo"/>
          <w:b w:val="0"/>
          <w:sz w:val="21"/>
        </w:rPr>
        <w:t>第5条に消費税、振込手数料(乙負担)、支払遅延損害金の定めを追加</w:t>
      </w:r>
    </w:p>
    <w:p>
      <w:pPr>
        <w:pStyle w:val="ListBullet"/>
      </w:pPr>
      <w:r>
        <w:rPr>
          <w:rFonts w:ascii="Meiryo" w:hAnsi="Meiryo" w:eastAsia="Meiryo"/>
          <w:b w:val="0"/>
          <w:sz w:val="21"/>
        </w:rPr>
        <w:t>増枠の確定時期(前月1日の開催確定時)を第4条または第5条4項に明記</w:t>
      </w:r>
    </w:p>
    <w:p>
      <w:pPr>
        <w:pStyle w:val="ListBullet"/>
      </w:pPr>
      <w:r>
        <w:rPr>
          <w:rFonts w:ascii="Meiryo" w:hAnsi="Meiryo" w:eastAsia="Meiryo"/>
          <w:b w:val="0"/>
          <w:sz w:val="21"/>
        </w:rPr>
        <w:t>第11条1項(5)「標ぼうゴ」→「標ぼうゴロ」</w:t>
      </w:r>
    </w:p>
    <w:p>
      <w:pPr>
        <w:spacing w:before="240" w:after="120"/>
      </w:pPr>
      <w:r>
        <w:rPr>
          <w:rFonts w:ascii="Meiryo" w:hAnsi="Meiryo" w:eastAsia="Meiryo"/>
          <w:b/>
          <w:color w:val="232278"/>
          <w:sz w:val="26"/>
        </w:rPr>
        <w:t>4. 経理(斉藤さん)に確認してもらう点</w:t>
      </w:r>
    </w:p>
    <w:p>
      <w:pPr>
        <w:spacing w:after="80"/>
      </w:pPr>
      <w:r>
        <w:rPr>
          <w:rFonts w:ascii="Meiryo" w:hAnsi="Meiryo" w:eastAsia="Meiryo"/>
          <w:b w:val="0"/>
          <w:sz w:val="21"/>
        </w:rPr>
        <w:t>1. ライセンス契約第6条2項(現状有姿・締結時点で履行完了・返還なし)と第5条3項(監修は権利保全措置)の書き方で、全額当期計上の要件を満たすか</w:t>
      </w:r>
    </w:p>
    <w:p>
      <w:pPr>
        <w:spacing w:after="80"/>
      </w:pPr>
      <w:r>
        <w:rPr>
          <w:rFonts w:ascii="Meiryo" w:hAnsi="Meiryo" w:eastAsia="Meiryo"/>
          <w:b w:val="0"/>
          <w:sz w:val="21"/>
        </w:rPr>
        <w:t>2. A-1(第8条3項)を削除すれば、ライセンス契約にイベント実施契約への言及はなくなること</w:t>
      </w:r>
    </w:p>
    <w:p>
      <w:pPr>
        <w:spacing w:after="80"/>
      </w:pPr>
      <w:r>
        <w:rPr>
          <w:rFonts w:ascii="Meiryo" w:hAnsi="Meiryo" w:eastAsia="Meiryo"/>
          <w:b w:val="0"/>
          <w:sz w:val="21"/>
        </w:rPr>
        <w:t>3. イベント実施契約第5条2項(体制確保の対価・3期・返還なし)が「第1期に390現場分を消化する対価」の要件を満たすか</w:t>
      </w:r>
    </w:p>
    <w:p>
      <w:pPr>
        <w:spacing w:after="80"/>
      </w:pPr>
      <w:r>
        <w:rPr>
          <w:rFonts w:ascii="Meiryo" w:hAnsi="Meiryo" w:eastAsia="Meiryo"/>
          <w:b w:val="0"/>
          <w:sz w:val="21"/>
        </w:rPr>
        <w:t>4. 第5条5項の期一括前払いと四半期洗い替えの整合(前受金の期間按分)</w:t>
      </w:r>
    </w:p>
    <w:p>
      <w:pPr>
        <w:spacing w:after="80"/>
      </w:pPr>
      <w:r>
        <w:rPr>
          <w:rFonts w:ascii="Meiryo" w:hAnsi="Meiryo" w:eastAsia="Meiryo"/>
          <w:b w:val="0"/>
          <w:sz w:val="21"/>
        </w:rPr>
        <w:t>5. 制作MG(第7条3〜6項)の返還なし・超過精算の処理</w:t>
      </w:r>
    </w:p>
    <w:p>
      <w:pPr>
        <w:spacing w:before="240" w:after="120"/>
      </w:pPr>
      <w:r>
        <w:rPr>
          <w:rFonts w:ascii="Meiryo" w:hAnsi="Meiryo" w:eastAsia="Meiryo"/>
          <w:b/>
          <w:color w:val="232278"/>
          <w:sz w:val="26"/>
        </w:rPr>
        <w:t>5. 法務に相談する点</w:t>
      </w:r>
    </w:p>
    <w:p>
      <w:pPr>
        <w:pStyle w:val="ListBullet"/>
      </w:pPr>
      <w:r>
        <w:rPr>
          <w:rFonts w:ascii="Meiryo" w:hAnsi="Meiryo" w:eastAsia="Meiryo"/>
          <w:b w:val="0"/>
          <w:sz w:val="21"/>
        </w:rPr>
        <w:t>A-2:既存契約の除外文言を、先方に既存契約の存在を推測させず、かつ当社が既存契約の履行で違反にならない形にできるか</w:t>
      </w:r>
    </w:p>
    <w:p>
      <w:pPr>
        <w:pStyle w:val="ListBullet"/>
      </w:pPr>
      <w:r>
        <w:rPr>
          <w:rFonts w:ascii="Meiryo" w:hAnsi="Meiryo" w:eastAsia="Meiryo"/>
          <w:b w:val="0"/>
          <w:sz w:val="21"/>
        </w:rPr>
        <w:t>A-9:キャンセル料と最低保証消化の併用が過大な損害賠償額の予定と見られないか</w:t>
      </w:r>
    </w:p>
    <w:p>
      <w:pPr>
        <w:pStyle w:val="ListBullet"/>
      </w:pPr>
      <w:r>
        <w:rPr>
          <w:rFonts w:ascii="Meiryo" w:hAnsi="Meiryo" w:eastAsia="Meiryo"/>
          <w:b w:val="0"/>
          <w:sz w:val="21"/>
        </w:rPr>
        <w:t>B-5/B-12:「継続困難」の無催告解除を双方向にしておく必要があるか</w:t>
      </w:r>
    </w:p>
    <w:p>
      <w:pPr>
        <w:pStyle w:val="ListBullet"/>
      </w:pPr>
      <w:r>
        <w:rPr>
          <w:rFonts w:ascii="Meiryo" w:hAnsi="Meiryo" w:eastAsia="Meiryo"/>
          <w:b w:val="0"/>
          <w:sz w:val="21"/>
        </w:rPr>
        <w:t>2通の独立性:イベント実施契約はライセンス契約に言及していないが、ライセンス契約が終了するとイベントが実施できなくなる関係にある。法的な整理を確認</w:t>
      </w:r>
    </w:p>
    <w:p>
      <w:pPr>
        <w:spacing w:before="240" w:after="120"/>
      </w:pPr>
      <w:r>
        <w:rPr>
          <w:rFonts w:ascii="Meiryo" w:hAnsi="Meiryo" w:eastAsia="Meiryo"/>
          <w:b/>
          <w:color w:val="232278"/>
          <w:sz w:val="26"/>
        </w:rPr>
        <w:t>6. 先方提示(10/29)までに当社で揃えるもの</w:t>
      </w:r>
    </w:p>
    <w:p>
      <w:pPr>
        <w:pStyle w:val="ListBullet"/>
      </w:pPr>
      <w:r>
        <w:rPr>
          <w:rFonts w:ascii="Meiryo" w:hAnsi="Meiryo" w:eastAsia="Meiryo"/>
          <w:b w:val="0"/>
          <w:sz w:val="21"/>
        </w:rPr>
        <w:t>別紙:全国基準料金表、月別ライン供給計画(契約用)、運営マニュアル(安全基準)、実施確認書様式(菅野さん)</w:t>
      </w:r>
    </w:p>
    <w:p>
      <w:pPr>
        <w:pStyle w:val="ListBullet"/>
      </w:pPr>
      <w:r>
        <w:rPr>
          <w:rFonts w:ascii="Meiryo" w:hAnsi="Meiryo" w:eastAsia="Meiryo"/>
          <w:b w:val="0"/>
          <w:sz w:val="21"/>
        </w:rPr>
        <w:t>別紙1のキャラクター範囲の確定(B-1・B-2)。ゼット・ジードを加える場合は提示資料の「8ヒーロー」表記を修正</w:t>
      </w:r>
    </w:p>
    <w:p>
      <w:pPr>
        <w:pStyle w:val="ListBullet"/>
      </w:pPr>
      <w:r>
        <w:rPr>
          <w:rFonts w:ascii="Meiryo" w:hAnsi="Meiryo" w:eastAsia="Meiryo"/>
          <w:b w:val="0"/>
          <w:sz w:val="21"/>
        </w:rPr>
        <w:t>3日目料金の統一(B-10)。実施条件とお願い・見積・供給計画の表記を合わせる</w:t>
      </w:r>
    </w:p>
    <w:p>
      <w:pPr>
        <w:pStyle w:val="ListBullet"/>
      </w:pPr>
      <w:r>
        <w:rPr>
          <w:rFonts w:ascii="Meiryo" w:hAnsi="Meiryo" w:eastAsia="Meiryo"/>
          <w:b w:val="0"/>
          <w:sz w:val="21"/>
        </w:rPr>
        <w:t>提示時の説明メモ:自動更新を外したこと、期一括前払い、第6条3項(最低保証の性質上の規定)、隣接都県の承諾要件(残す場合)</w:t>
      </w:r>
    </w:p>
    <w:p>
      <w:pPr>
        <w:spacing w:after="80"/>
      </w:pPr>
      <w:r>
        <w:rPr>
          <w:rFonts w:ascii="Meiryo" w:hAnsi="Meiryo" w:eastAsia="Meiryo"/>
          <w:b w:val="0"/>
          <w:sz w:val="21"/>
        </w:rP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