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ソフトバンク社とのIPライセンス・イベント契約 収益認識に関する論点整理(ご相談資料)v3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2026年10月23日更新(初版10月12日/v2 10月21日/v3 10月22日)/株式会社円谷プロダクション 営業担当:新谷/【社内限定・監査法人ご相談用ドラフト】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本資料は契約締結前の設計段階における当社案の整理であり、経理部門および監査法人との事前協議を目的とするものです。会計処理の最終判断は協議結果に従います。v3では、経理部門(斉藤さん・10月22日)からの回答を反映し、契約構成を「②イベント実施契約+③IPライセンス契約」の2本立てに改めています。10月23日に契約期間が2年(2027年1月〜2028年12月)で確定したため、金額を24ヶ月ベースに更新しました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0. 変更点(v2→v3)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項目</w:t>
            </w:r>
          </w:p>
        </w:tc>
        <w:tc>
          <w:tcPr>
            <w:tcW w:type="dxa" w:w="216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v2(10/21)</w:t>
            </w:r>
          </w:p>
        </w:tc>
        <w:tc>
          <w:tcPr>
            <w:tcW w:type="dxa" w:w="216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v3(10/22・現行)</w:t>
            </w:r>
          </w:p>
        </w:tc>
        <w:tc>
          <w:tcPr>
            <w:tcW w:type="dxa" w:w="216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根拠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契約期間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2027年1月〜2029年3月(27ヶ月)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2027年1月〜2028年12月(24ヶ月)で確定(10/23)。固定分3億9,750万円→3億5,500万円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先方との協議で2年に確定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契約構成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①準備契約(契約金)②イベント実施契約③IPライセンス契約の3本立て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②イベント実施契約(2026年10月末締結〜2028年12月)+③IPライセンス契約の2本立て。①は②に統合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経理回答3:準備契約金は一括計上ではなく期間按分。実稼働を含むなら②に統合した方が分かりやすい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2027年1〜3月分(390現場・3,900万円)の認識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①準備契約金として全額当期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②第1期の最低保証として当期(2027年3月期)に計上。金額・当期帰属は変わらない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経理回答3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③の「1年以内全額入金」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認識要件か資金条件か未確認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会計処理上の要件。契約時に2年分4,000万円を一括前払いとする提示条件で充足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経理回答1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契約の結合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リスクとして提起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「可能性あり」。契約書上の対策を第3章に明記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経理回答2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終期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2029年3月(要確認)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2028年12月で確定。経理回答では終期が2028年12月でも2029年3月でも会計処理は変わらない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経理回答4・10/23確定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①の専用成果物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なし(10/22確定)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変更なし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作成許諾の最低保証期間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契約年度ごとに設定予定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前半15ヶ月(2027年1月〜2028年3月)/後半9ヶ月(2028年4月〜12月)で確定。未達分は年度末確定・返還なし</w:t>
            </w:r>
          </w:p>
        </w:tc>
        <w:tc>
          <w:tcPr>
            <w:tcW w:type="dxa" w:w="216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10/22 経理とのやりとりを正とする</w:t>
            </w:r>
          </w:p>
        </w:tc>
      </w:tr>
    </w:tbl>
    <w:p/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案件の概要(現行)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取引先:ソフトバンク株式会社(コンシューマ事業統括)。契約主体として確定済み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取引内容:(1)IPライセンス(包括)(2)着ぐるみイベントへのキャラクター派遣(基準15ライン・土日開催。当社2名派遣、会場運営は先方主体)(3)イベントキット・ノベルティ・店頭訴求ツールの作成許諾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契約期間:2027年1月〜2028年12月(24ヶ月)。締結は2026年10月末を予定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取引規模(固定分):稼働費 10万円/日×基準15ライン×210日(実カレンダーの土日数:2027年104日・2028年106日)=3,150現場=3億1,500万円+IP使用料4,000万円(2,000万円/年×2年)=</w:t>
      </w:r>
      <w:r>
        <w:rPr>
          <w:rFonts w:ascii="Meiryo" w:hAnsi="Meiryo" w:eastAsia="Meiryo"/>
          <w:b/>
          <w:sz w:val="21"/>
        </w:rPr>
        <w:t>3億5,500万円(税別)</w:t>
      </w:r>
      <w:r>
        <w:rPr>
          <w:rFonts w:ascii="Meiryo" w:hAnsi="Meiryo" w:eastAsia="Meiryo"/>
          <w:b w:val="0"/>
          <w:sz w:val="21"/>
        </w:rPr>
        <w:t>。このほか従量(余裕月増枠 最大+4,400万円、現場諸経費 基準で6,300万円、作成許諾料、フル運営オプション)と実費精算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先方の判断:10月22日の打ち合わせで本格実施の意思確認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当社の希望:当期(2027年3月期)に計上可能な収益を契約設計により最大化しつつ、24ヶ月分の受注を契約時に法的に確定させたい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契約ストラクチャー(当社案v3:2本立て)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契約</w:t>
            </w:r>
          </w:p>
        </w:tc>
        <w:tc>
          <w:tcPr>
            <w:tcW w:type="dxa" w:w="1728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期間</w:t>
            </w:r>
          </w:p>
        </w:tc>
        <w:tc>
          <w:tcPr>
            <w:tcW w:type="dxa" w:w="1728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内容(当社の履行義務)</w:t>
            </w:r>
          </w:p>
        </w:tc>
        <w:tc>
          <w:tcPr>
            <w:tcW w:type="dxa" w:w="1728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対価</w:t>
            </w:r>
          </w:p>
        </w:tc>
        <w:tc>
          <w:tcPr>
            <w:tcW w:type="dxa" w:w="1728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認識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 イベント実施契約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2026年10月末(締結)〜2028年12月。精算期間は第1期2027年1〜3月/第2期2027年4月〜2028年3月/第3期2028年4月〜12月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着ぐるみイベントの実施(10万円/日)。基準15ライン分を最低保証(第1期390現場=3,900万円、第2期1,560現場=1億5,600万円、第3期1,200現場=1億2,000万円)。余裕月増枠・現場諸経費・フル運営オプションは従量。運営マニュアル・様式類は付随提供物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最低保証 3億1,500万円+従量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最低保証は期間按分・原価は都度計上。四半期ごとに按分計上額と実績(超過分)を洗い替え。返金条項なし。第1期分3,900万円は全額当期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③ IPライセンス契約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2026年10月末(締結)〜2028年12月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店頭イベント・イベントキット・店頭訴求ツール・LP/Web・SNSでのIP利用と作成物の監修を包括。携帯キャリア3社との店頭イベント契約を行わない排他条件もこの契約に置く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4,000万円(2,000万円/年×2年)。契約時に一括前払い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全額当期(契約から1年以内の全額入金が会計処理上の要件。一括前払いで充足)※第3章の論点⑥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(④ 作成許諾)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契約期間中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先方制作のイベントキット・ノベルティ・店頭訴求ツールに対する許諾(作成費用の20%)。製造数量ベースの最低保証を契約年度ごとに設定(前半:2027年1月〜2028年3月の15ヶ月分/後半:2028年4月〜12月の9ヶ月分)。確定(10/22、期間は10/23更新)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従量(年間数百万〜1,000万円規模)</w:t>
            </w:r>
          </w:p>
        </w:tc>
        <w:tc>
          <w:tcPr>
            <w:tcW w:type="dxa" w:w="1728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製造(使用)時点。最低保証未達分は各年度末に確定・返還なし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 w:val="0"/>
          <w:sz w:val="21"/>
        </w:rPr>
        <w:t>※ 先方に提示済みの見積(10月22日)は「稼働費(最低保証・3期精算)+IP使用料(2年分一括前払い)+従量」の構成で、上記2本立てと一致する。契約書ドラフトは②③を別個の契約書とする。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履行義務の識別と収益認識の整理</w:t>
      </w:r>
    </w:p>
    <w:p>
      <w:r>
        <w:rPr>
          <w:rFonts w:ascii="Meiryo" w:hAnsi="Meiryo" w:eastAsia="Meiryo"/>
          <w:b/>
          <w:sz w:val="23"/>
        </w:rPr>
        <w:t>3-1. ②イベント実施契約(最低保証付き)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開催単位の役務提供として都度認識。最低保証分は期間按分し、四半期ごとに実績と洗い替え(経理案)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第1期(2027年1〜3月)は実稼働12〜15ラインを含む。最低保証390現場分3,900万円は精算期間が当期内に完結するため、按分・実績いずれでも当期計上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最低保証は返金不能・無条件。未達でも請求、超過分は追加精算。中途解約時は残期間の保証額を精算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契約書上の明記事項(経理回答2):契約期間・履行義務・入金時期。第1期については「2026年11月〜2027年3月の期間に390現場分を消化する対価」であること、最低保証・返還なしであること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論点④:3期の精算区切り(契約上)と四半期洗い替え(会計上)の整合。期末時点の未達分の扱い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論点⑤:キャンセル料(1ヶ月前〜14日前30%/13日前〜7日前50%/6日前〜当日100%)および中途解約精算の会計上の取扱い</w:t>
      </w:r>
    </w:p>
    <w:p>
      <w:r>
        <w:rPr>
          <w:rFonts w:ascii="Meiryo" w:hAnsi="Meiryo" w:eastAsia="Meiryo"/>
          <w:b/>
          <w:sz w:val="23"/>
        </w:rPr>
        <w:t>3-2. ③IPライセンス契約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当社初版案:キャラクターIPは当社が映像作品・イベント等でIP価値に影響する活動を継続するため「アクセス権(シンボリックIP)」に該当し、ライセンス期間で定額按分(当期帰属は締結日からの5ヶ月分約770〜830万円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経理回答:全額当期計上。「契約から1年以内の全額入金」は会計処理上の要件であり、契約時一括前払いで充足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⑥(最重要・継続):全額当期計上の会計上の根拠(使用権としての整理か、他の論理か)とシンボリックIPとの整理の関係は、経理回答には含まれていない。監査法人の事前合意を必須とする。按分と判定された場合の当期影響は約▲3,200万円(4,000万円→約830万円。締結日から2028年12月までの26ヶ月のうち当期5ヶ月分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契約書上の明記事項(経理回答2):②に言及する記載を入れない(②の契約を前提とする記載、②が履行されない場合の返金条件などは不可)。返金なしを明記</w:t>
      </w:r>
    </w:p>
    <w:p>
      <w:r>
        <w:rPr>
          <w:rFonts w:ascii="Meiryo" w:hAnsi="Meiryo" w:eastAsia="Meiryo"/>
          <w:b/>
          <w:sz w:val="23"/>
        </w:rPr>
        <w:t>3-3. 契約の結合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経理回答:②③が密接に関連しているため、会計上1つの契約として結合される可能性はある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対策(契約書ドラフトに反映):各契約で契約期間・履行義務・入金時期を明確にする/③は②から独立して成立し、②なしでも権利として価値を持つ構成にする(排他条件・監修・作成許諾の根拠を③に置く)/②③の対価をそれぞれ独立に算定し、相互の値引き・条件連動を記載し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論点⑦(継続):結合と判定された場合の履行義務の再識別と対価配分(③が②の最低保証と合算されて期間按分される可能性)。契約書ドラフトの経理・監査法人チェックで確認</w:t>
      </w:r>
    </w:p>
    <w:p>
      <w:r>
        <w:rPr>
          <w:rFonts w:ascii="Meiryo" w:hAnsi="Meiryo" w:eastAsia="Meiryo"/>
          <w:b/>
          <w:sz w:val="23"/>
        </w:rPr>
        <w:t>3-4. 作成許諾ロイヤリティ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売上高・使用量ベースのロイヤリティの例外規定により、先方の製造(使用)時点で認識。当社は許諾者として純額で認識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製造数量ベースの最低保証を契約年度ごとに設定(前半:第1期+第2期の15ヶ月分=2027年1月〜2028年3月/後半:第3期の9ヶ月分=2028年4月〜12月)。未達分は各年度末に確定し返還なし。製造数量は四半期ごとに先方から報告を受けて精算。この切り方を当社の確定案とし、先方提示の見積(10/22)と同一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初回量産は2027年1月末まで(春節前)の見込みで当期帰属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当社既存商品(ステッカー等)を先方が購入する場合は商品販売(総額)として別途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論点⑧:本人・代理人の判定(テスト期間の卸売=総額/本契約の許諾=純額)、最低保証未達分の認識時期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期別の収益計上見込み(当社案v3)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期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内容</w:t>
            </w:r>
          </w:p>
        </w:tc>
        <w:tc>
          <w:tcPr>
            <w:tcW w:type="dxa" w:w="2880"/>
            <w:shd w:fill="E8EAF2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金額目安(税別)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2027年3月期(当期)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テスト実績(履行済)約0.12億+先行スポット(11〜12月)数百万+②第1期最低保証0.39億+③IP 0.40億(全額当期。按分と判定された場合は約0.08億)+許諾料(春節前量産分)約0.05〜0.1億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約1.0億円</w:t>
            </w:r>
            <w:r>
              <w:rPr>
                <w:rFonts w:ascii="Meiryo" w:hAnsi="Meiryo" w:eastAsia="Meiryo"/>
                <w:b w:val="0"/>
                <w:sz w:val="19"/>
              </w:rPr>
              <w:t>(③が按分の場合は約0.6〜0.7億円)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2028年3月期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②第2期最低保証1.56億+増枠・諸経費(基準約0.31億)+許諾料(③は全額当期計上のため0。按分の場合は約0.2億)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約1.9〜2.3億円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2029年3月期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②第3期(2028年4〜12月)最低保証1.20億+増枠・諸経費(基準約0.24億)+許諾料(③按分の場合は約0.15億)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約1.5〜1.8億円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 w:val="0"/>
          <w:sz w:val="21"/>
        </w:rPr>
        <w:t>契約時に確定する事項:受注総額(固定分3億5,500万円+従量)/返金不能・無条件の最低保証/前払スケジュール(IP使用料は契約時に2年分4,000万円を一括前払い。最低保証は四半期前払いで交渉)→契約負債として計上。先方の会計年度(4〜3月)との整合も考慮し、2026年度中の先方支払額は先方の予算決裁に影響するため、総額不変で支払時期を調整する余地を残す(ただし③の一括前払いは会計要件のため動かさない)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その他の論点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論点⑨:重要な金融要素——先方がイベントのスケジュールを決定する構造のため該当しない(CFO見解)。前払スケジュールが大きく前倒しになる場合の再確認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論点⑩:交通運搬費・宿泊費・スーツ送料の実費精算および現場諸経費(2万円/日)の総額・純額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論点⑪:フル運営オプション(+22万円/日)を会場単位で適用した場合の履行義務の区分(派遣型と運営受託型が混在)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論点⑫:消費税の課税時期(②は都度、③は契約時)と法人税の整合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参考:既存他社契約との関係で2027年1〜3月の稼働開始には社内意思決定(経営判断)が前提となる事項あり(詳細は別途)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6. ご相談事項(まとめ)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経理回答で整理済み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①準備契約金の扱い:期間按分のため廃止し②に統合。第1期390現場分3,900万円は当期計上(論点①②③は解消)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③の「1年以内全額入金」:会計処理上の要件。契約時一括前払いで充足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契約期間の終期は2028年12月で確定(経理回答:2029年3月としても会計処理は変わらない)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継続して確認が必要な事項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1. ③IPライセンス契約の全額当期計上の会計上の根拠(シンボリックIPの期間按分との関係)。監査法人の事前確認の要否と時期(論点⑥)※当期計上額への影響が最大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2. ②③の契約の結合リスクと、独立性を担保する契約書上の記載(論点⑦)。契約書ドラフト(10月下旬提示予定)の事前の経理確認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3. 最低保証の3期精算(契約上)と四半期洗い替え(会計上)の整合、期末未達分の扱い(論点④)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4. 作成許諾の純額認識・最低保証の扱い(論点⑧)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5. 契約書ドラフトへの会計要件の反映事項(精算期間の定義・精算確定日・返金不能条項・③の返金なし・契約の独立性)のご指導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