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2,000万円/年(2年分4,000万円を契約時に一括前払い)。店頭イベント、イベントキット、店頭訴求ツール、LP/Web、SNSでのIP利用と作成物の監修を含みます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2027年1月〜2028年12月(2年間)。2026年10月末までに締結(1月開始に必要な体制準備と、11月からの制作・申請手続きのため)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会場と日程は開催1ヶ月前までに確定。確定後のキャンセル料は、1ヶ月前〜14日前30%、13日前〜7日前50%、6日前〜当日100%。中途解約の場合は残期間の保証分を精算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貴社EDIで発注。IP使用料は契約時に2年分(4,000万円)を一括前払い、保証分は四半期前払い(ご相談)。最低保証契約のため、開催ごとではなく期間一括の発注形態をご相談したく存じます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キャラクター出演(1回30分、1日最大5回。合間はスーツの準備と休憩)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スタッフの兼務か、当社のMCオプションをご利用ください(運営ディレクターは緊急時対応のため兼務しません)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イベントキット、ノベルティ、訴求ツールは品目ごとに仮申請をお願いします(仮申請をもって正式回答。回答に約15営業日)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他社キャラクターとの混在はできません(貴社キャラクター〔おとうさん犬など〕は可。同一盤面でのデザイン混在は個別にご相談ください)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10月下旬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契約書ドラフトの提示、契約手続き、取りまとめ窓口の設置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11月上旬〜中旬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キャンペーン名称・KVの策定と確定、ノベルティ品目の仮申請(回答に約15営業日)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