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Meiryo" w:hAnsi="Meiryo" w:eastAsia="Meiryo"/>
          <w:b/>
          <w:sz w:val="32"/>
        </w:rPr>
        <w:t>ソフトバンク社との2年間IPライセンス・イベント契約 収益認識に関する論点整理(ご相談資料)</w:t>
      </w:r>
    </w:p>
    <w:p>
      <w:pPr>
        <w:spacing w:after="80"/>
      </w:pPr>
      <w:r>
        <w:rPr>
          <w:rFonts w:ascii="Meiryo" w:hAnsi="Meiryo" w:eastAsia="Meiryo"/>
          <w:b w:val="0"/>
          <w:sz w:val="21"/>
        </w:rPr>
        <w:t>2026年10月12日/株式会社円谷プロダクション 営業担当:新谷/【社内限定・監査法人ご相談用ドラフト】</w:t>
      </w:r>
    </w:p>
    <w:p>
      <w:pPr>
        <w:spacing w:after="80"/>
      </w:pPr>
      <w:r>
        <w:rPr>
          <w:rFonts w:ascii="Meiryo" w:hAnsi="Meiryo" w:eastAsia="Meiryo"/>
          <w:b w:val="0"/>
          <w:sz w:val="21"/>
        </w:rPr>
        <w:t>本資料は契約締結前の設計段階における当社案の整理であり、経理部門および監査法人との事前協議を目的とするものです。会計処理の最終判断は協議結果に従います。</w:t>
      </w:r>
    </w:p>
    <w:p>
      <w:pPr>
        <w:spacing w:before="240" w:after="120"/>
      </w:pPr>
      <w:r>
        <w:rPr>
          <w:rFonts w:ascii="Meiryo" w:hAnsi="Meiryo" w:eastAsia="Meiryo"/>
          <w:b/>
          <w:color w:val="232278"/>
          <w:sz w:val="26"/>
        </w:rPr>
        <w:t>1. 案件の概要</w:t>
      </w:r>
    </w:p>
    <w:p>
      <w:pPr>
        <w:pStyle w:val="ListBullet"/>
      </w:pPr>
      <w:r>
        <w:rPr>
          <w:rFonts w:ascii="Meiryo" w:hAnsi="Meiryo" w:eastAsia="Meiryo"/>
          <w:b w:val="0"/>
          <w:sz w:val="21"/>
        </w:rPr>
        <w:t>取引先:ソフトバンク株式会社(コンシューマ事業統括)。契約主体として確定済み</w:t>
      </w:r>
    </w:p>
    <w:p>
      <w:pPr>
        <w:pStyle w:val="ListBullet"/>
      </w:pPr>
      <w:r>
        <w:rPr>
          <w:rFonts w:ascii="Meiryo" w:hAnsi="Meiryo" w:eastAsia="Meiryo"/>
          <w:b w:val="0"/>
          <w:sz w:val="21"/>
        </w:rPr>
        <w:t>取引内容:ウルトラマンIPを活用した全国店頭イベントの継続展開。(1)年間IPライセンス (2)着ぐるみイベントへのキャラクター派遣(週15〜20ライン・土日開催。ディレクター+スーツアクター2名の派遣型で、会場運営は先方が主体) (3)イベントキット・ノベルティ・店頭訴求ツールの作成許諾</w:t>
      </w:r>
    </w:p>
    <w:p>
      <w:pPr>
        <w:pStyle w:val="ListBullet"/>
      </w:pPr>
      <w:r>
        <w:rPr>
          <w:rFonts w:ascii="Meiryo" w:hAnsi="Meiryo" w:eastAsia="Meiryo"/>
          <w:b w:val="0"/>
          <w:sz w:val="21"/>
        </w:rPr>
        <w:t>契約期間(案):2026年11月(締結想定)〜2028年12月</w:t>
      </w:r>
    </w:p>
    <w:p>
      <w:pPr>
        <w:pStyle w:val="ListBullet"/>
      </w:pPr>
      <w:r>
        <w:rPr>
          <w:rFonts w:ascii="Meiryo" w:hAnsi="Meiryo" w:eastAsia="Meiryo"/>
          <w:b w:val="0"/>
          <w:sz w:val="21"/>
        </w:rPr>
        <w:t>取引規模(案):2年間総額 約4.4〜4.7億円(税別)+実費精算分</w:t>
      </w:r>
    </w:p>
    <w:p>
      <w:pPr>
        <w:pStyle w:val="ListBullet"/>
      </w:pPr>
      <w:r>
        <w:rPr>
          <w:rFonts w:ascii="Meiryo" w:hAnsi="Meiryo" w:eastAsia="Meiryo"/>
          <w:b w:val="0"/>
          <w:sz w:val="21"/>
        </w:rPr>
        <w:t>経緯:2026年9〜10月に神奈川県7会場でテスト実施済み(約1,110万円+実費)。先方は2026年10月内を目途に本契約の判断を行う意向</w:t>
      </w:r>
    </w:p>
    <w:p>
      <w:pPr>
        <w:pStyle w:val="ListBullet"/>
      </w:pPr>
      <w:r>
        <w:rPr>
          <w:rFonts w:ascii="Meiryo" w:hAnsi="Meiryo" w:eastAsia="Meiryo"/>
          <w:b w:val="0"/>
          <w:sz w:val="21"/>
        </w:rPr>
        <w:t>当社の希望:当期(2027年3月期)に計上可能な収益を契約設計により最大化したい。あわせて2年分の受注を契約時に法的に確定させたい</w:t>
      </w:r>
    </w:p>
    <w:p>
      <w:pPr>
        <w:spacing w:before="240" w:after="120"/>
      </w:pPr>
      <w:r>
        <w:rPr>
          <w:rFonts w:ascii="Meiryo" w:hAnsi="Meiryo" w:eastAsia="Meiryo"/>
          <w:b/>
          <w:color w:val="232278"/>
          <w:sz w:val="26"/>
        </w:rPr>
        <w:t>2. 契約ストラクチャー(当社案・5部構成)</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8EAF2"/>
          </w:tcPr>
          <w:p>
            <w:r/>
            <w:r>
              <w:rPr>
                <w:rFonts w:ascii="Meiryo" w:hAnsi="Meiryo" w:eastAsia="Meiryo"/>
                <w:b/>
                <w:sz w:val="19"/>
              </w:rPr>
              <w:t>#</w:t>
            </w:r>
          </w:p>
        </w:tc>
        <w:tc>
          <w:tcPr>
            <w:tcW w:type="dxa" w:w="2160"/>
            <w:shd w:fill="E8EAF2"/>
          </w:tcPr>
          <w:p>
            <w:r/>
            <w:r>
              <w:rPr>
                <w:rFonts w:ascii="Meiryo" w:hAnsi="Meiryo" w:eastAsia="Meiryo"/>
                <w:b/>
                <w:sz w:val="19"/>
              </w:rPr>
              <w:t>契約部品</w:t>
            </w:r>
          </w:p>
        </w:tc>
        <w:tc>
          <w:tcPr>
            <w:tcW w:type="dxa" w:w="2160"/>
            <w:shd w:fill="E8EAF2"/>
          </w:tcPr>
          <w:p>
            <w:r/>
            <w:r>
              <w:rPr>
                <w:rFonts w:ascii="Meiryo" w:hAnsi="Meiryo" w:eastAsia="Meiryo"/>
                <w:b/>
                <w:sz w:val="19"/>
              </w:rPr>
              <w:t>内容</w:t>
            </w:r>
          </w:p>
        </w:tc>
        <w:tc>
          <w:tcPr>
            <w:tcW w:type="dxa" w:w="2160"/>
            <w:shd w:fill="E8EAF2"/>
          </w:tcPr>
          <w:p>
            <w:r/>
            <w:r>
              <w:rPr>
                <w:rFonts w:ascii="Meiryo" w:hAnsi="Meiryo" w:eastAsia="Meiryo"/>
                <w:b/>
                <w:sz w:val="19"/>
              </w:rPr>
              <w:t>対価(案)</w:t>
            </w:r>
          </w:p>
        </w:tc>
      </w:tr>
      <w:tr>
        <w:tc>
          <w:tcPr>
            <w:tcW w:type="dxa" w:w="2160"/>
          </w:tcPr>
          <w:p>
            <w:r/>
            <w:r>
              <w:rPr>
                <w:rFonts w:ascii="Meiryo" w:hAnsi="Meiryo" w:eastAsia="Meiryo"/>
                <w:b w:val="0"/>
                <w:sz w:val="19"/>
              </w:rPr>
              <w:t>1</w:t>
            </w:r>
          </w:p>
        </w:tc>
        <w:tc>
          <w:tcPr>
            <w:tcW w:type="dxa" w:w="2160"/>
          </w:tcPr>
          <w:p>
            <w:r/>
            <w:r>
              <w:rPr>
                <w:rFonts w:ascii="Meiryo" w:hAnsi="Meiryo" w:eastAsia="Meiryo"/>
                <w:b w:val="0"/>
                <w:sz w:val="19"/>
              </w:rPr>
              <w:t>立ち上げ期キャパシティ確保契約</w:t>
            </w:r>
          </w:p>
        </w:tc>
        <w:tc>
          <w:tcPr>
            <w:tcW w:type="dxa" w:w="2160"/>
          </w:tcPr>
          <w:p>
            <w:r/>
            <w:r>
              <w:rPr>
                <w:rFonts w:ascii="Meiryo" w:hAnsi="Meiryo" w:eastAsia="Meiryo"/>
                <w:b w:val="0"/>
                <w:sz w:val="19"/>
              </w:rPr>
              <w:t>2027年1〜3月、12〜15ライン体制を当社が先方専属で確保・稼働(定額・開催数非連動のスタンバイ型)</w:t>
            </w:r>
          </w:p>
        </w:tc>
        <w:tc>
          <w:tcPr>
            <w:tcW w:type="dxa" w:w="2160"/>
          </w:tcPr>
          <w:p>
            <w:r/>
            <w:r>
              <w:rPr>
                <w:rFonts w:ascii="Meiryo" w:hAnsi="Meiryo" w:eastAsia="Meiryo"/>
                <w:b w:val="0"/>
                <w:sz w:val="19"/>
              </w:rPr>
              <w:t>約0.33〜0.39億円</w:t>
            </w:r>
          </w:p>
        </w:tc>
      </w:tr>
      <w:tr>
        <w:tc>
          <w:tcPr>
            <w:tcW w:type="dxa" w:w="2160"/>
          </w:tcPr>
          <w:p>
            <w:r/>
            <w:r>
              <w:rPr>
                <w:rFonts w:ascii="Meiryo" w:hAnsi="Meiryo" w:eastAsia="Meiryo"/>
                <w:b w:val="0"/>
                <w:sz w:val="19"/>
              </w:rPr>
              <w:t>2</w:t>
            </w:r>
          </w:p>
        </w:tc>
        <w:tc>
          <w:tcPr>
            <w:tcW w:type="dxa" w:w="2160"/>
          </w:tcPr>
          <w:p>
            <w:r/>
            <w:r>
              <w:rPr>
                <w:rFonts w:ascii="Meiryo" w:hAnsi="Meiryo" w:eastAsia="Meiryo"/>
                <w:b w:val="0"/>
                <w:sz w:val="19"/>
              </w:rPr>
              <w:t>先行スポットイベント</w:t>
            </w:r>
          </w:p>
        </w:tc>
        <w:tc>
          <w:tcPr>
            <w:tcW w:type="dxa" w:w="2160"/>
          </w:tcPr>
          <w:p>
            <w:r/>
            <w:r>
              <w:rPr>
                <w:rFonts w:ascii="Meiryo" w:hAnsi="Meiryo" w:eastAsia="Meiryo"/>
                <w:b w:val="0"/>
                <w:sz w:val="19"/>
              </w:rPr>
              <w:t>2026年11〜12月の年末商戦期に追加開催(従量)</w:t>
            </w:r>
          </w:p>
        </w:tc>
        <w:tc>
          <w:tcPr>
            <w:tcW w:type="dxa" w:w="2160"/>
          </w:tcPr>
          <w:p>
            <w:r/>
            <w:r>
              <w:rPr>
                <w:rFonts w:ascii="Meiryo" w:hAnsi="Meiryo" w:eastAsia="Meiryo"/>
                <w:b w:val="0"/>
                <w:sz w:val="19"/>
              </w:rPr>
              <w:t>数百万円規模</w:t>
            </w:r>
          </w:p>
        </w:tc>
      </w:tr>
      <w:tr>
        <w:tc>
          <w:tcPr>
            <w:tcW w:type="dxa" w:w="2160"/>
          </w:tcPr>
          <w:p>
            <w:r/>
            <w:r>
              <w:rPr>
                <w:rFonts w:ascii="Meiryo" w:hAnsi="Meiryo" w:eastAsia="Meiryo"/>
                <w:b w:val="0"/>
                <w:sz w:val="19"/>
              </w:rPr>
              <w:t>3</w:t>
            </w:r>
          </w:p>
        </w:tc>
        <w:tc>
          <w:tcPr>
            <w:tcW w:type="dxa" w:w="2160"/>
          </w:tcPr>
          <w:p>
            <w:r/>
            <w:r>
              <w:rPr>
                <w:rFonts w:ascii="Meiryo" w:hAnsi="Meiryo" w:eastAsia="Meiryo"/>
                <w:b w:val="0"/>
                <w:sz w:val="19"/>
              </w:rPr>
              <w:t>体制構築・専用成果物の提供</w:t>
            </w:r>
          </w:p>
        </w:tc>
        <w:tc>
          <w:tcPr>
            <w:tcW w:type="dxa" w:w="2160"/>
          </w:tcPr>
          <w:p>
            <w:r/>
            <w:r>
              <w:rPr>
                <w:rFonts w:ascii="Meiryo" w:hAnsi="Meiryo" w:eastAsia="Meiryo"/>
                <w:b w:val="0"/>
                <w:sz w:val="19"/>
              </w:rPr>
              <w:t>先方専用の全店共通運営フォーマット、告知デザインパッケージ、キット設計図・版下、研修プログラム等の制作・納品(2027年3月末検収)</w:t>
            </w:r>
          </w:p>
        </w:tc>
        <w:tc>
          <w:tcPr>
            <w:tcW w:type="dxa" w:w="2160"/>
          </w:tcPr>
          <w:p>
            <w:r/>
            <w:r>
              <w:rPr>
                <w:rFonts w:ascii="Meiryo" w:hAnsi="Meiryo" w:eastAsia="Meiryo"/>
                <w:b w:val="0"/>
                <w:sz w:val="19"/>
              </w:rPr>
              <w:t>約0.3〜1.0億円</w:t>
            </w:r>
          </w:p>
        </w:tc>
      </w:tr>
      <w:tr>
        <w:tc>
          <w:tcPr>
            <w:tcW w:type="dxa" w:w="2160"/>
          </w:tcPr>
          <w:p>
            <w:r/>
            <w:r>
              <w:rPr>
                <w:rFonts w:ascii="Meiryo" w:hAnsi="Meiryo" w:eastAsia="Meiryo"/>
                <w:b w:val="0"/>
                <w:sz w:val="19"/>
              </w:rPr>
              <w:t>4</w:t>
            </w:r>
          </w:p>
        </w:tc>
        <w:tc>
          <w:tcPr>
            <w:tcW w:type="dxa" w:w="2160"/>
          </w:tcPr>
          <w:p>
            <w:r/>
            <w:r>
              <w:rPr>
                <w:rFonts w:ascii="Meiryo" w:hAnsi="Meiryo" w:eastAsia="Meiryo"/>
                <w:b w:val="0"/>
                <w:sz w:val="19"/>
              </w:rPr>
              <w:t>年間IPライセンス(包括)</w:t>
            </w:r>
          </w:p>
        </w:tc>
        <w:tc>
          <w:tcPr>
            <w:tcW w:type="dxa" w:w="2160"/>
          </w:tcPr>
          <w:p>
            <w:r/>
            <w:r>
              <w:rPr>
                <w:rFonts w:ascii="Meiryo" w:hAnsi="Meiryo" w:eastAsia="Meiryo"/>
                <w:b w:val="0"/>
                <w:sz w:val="19"/>
              </w:rPr>
              <w:t>店頭イベント・イベントキット・店頭訴求ツール・LP/Web・SNSでのIP利用と作成物の監修対応を包括。権利期間:締結日〜2028年12月</w:t>
            </w:r>
          </w:p>
        </w:tc>
        <w:tc>
          <w:tcPr>
            <w:tcW w:type="dxa" w:w="2160"/>
          </w:tcPr>
          <w:p>
            <w:r/>
            <w:r>
              <w:rPr>
                <w:rFonts w:ascii="Meiryo" w:hAnsi="Meiryo" w:eastAsia="Meiryo"/>
                <w:b w:val="0"/>
                <w:sz w:val="19"/>
              </w:rPr>
              <w:t>2,000万円/年</w:t>
            </w:r>
          </w:p>
        </w:tc>
      </w:tr>
      <w:tr>
        <w:tc>
          <w:tcPr>
            <w:tcW w:type="dxa" w:w="2160"/>
          </w:tcPr>
          <w:p>
            <w:r/>
            <w:r>
              <w:rPr>
                <w:rFonts w:ascii="Meiryo" w:hAnsi="Meiryo" w:eastAsia="Meiryo"/>
                <w:b w:val="0"/>
                <w:sz w:val="19"/>
              </w:rPr>
              <w:t>5</w:t>
            </w:r>
          </w:p>
        </w:tc>
        <w:tc>
          <w:tcPr>
            <w:tcW w:type="dxa" w:w="2160"/>
          </w:tcPr>
          <w:p>
            <w:r/>
            <w:r>
              <w:rPr>
                <w:rFonts w:ascii="Meiryo" w:hAnsi="Meiryo" w:eastAsia="Meiryo"/>
                <w:b w:val="0"/>
                <w:sz w:val="19"/>
              </w:rPr>
              <w:t>作成許諾ロイヤリティ</w:t>
            </w:r>
          </w:p>
        </w:tc>
        <w:tc>
          <w:tcPr>
            <w:tcW w:type="dxa" w:w="2160"/>
          </w:tcPr>
          <w:p>
            <w:r/>
            <w:r>
              <w:rPr>
                <w:rFonts w:ascii="Meiryo" w:hAnsi="Meiryo" w:eastAsia="Meiryo"/>
                <w:b w:val="0"/>
                <w:sz w:val="19"/>
              </w:rPr>
              <w:t>先方が制作するイベントキット・ノベルティ・店頭訴求ツールに対する許諾料(作成費用の20%)</w:t>
            </w:r>
          </w:p>
        </w:tc>
        <w:tc>
          <w:tcPr>
            <w:tcW w:type="dxa" w:w="2160"/>
          </w:tcPr>
          <w:p>
            <w:r/>
            <w:r>
              <w:rPr>
                <w:rFonts w:ascii="Meiryo" w:hAnsi="Meiryo" w:eastAsia="Meiryo"/>
                <w:b w:val="0"/>
                <w:sz w:val="19"/>
              </w:rPr>
              <w:t>従量(年間1,000万〜2,500万円規模の見込み)</w:t>
            </w:r>
          </w:p>
        </w:tc>
      </w:tr>
    </w:tbl>
    <w:p/>
    <w:p>
      <w:pPr>
        <w:spacing w:after="80"/>
      </w:pPr>
      <w:r>
        <w:rPr>
          <w:rFonts w:ascii="Meiryo" w:hAnsi="Meiryo" w:eastAsia="Meiryo"/>
          <w:b w:val="0"/>
          <w:sz w:val="21"/>
        </w:rPr>
        <w:t>このほか2027年4月以降の着ぐるみイベント(従量20万円/開催〔土日2日間〕・税別。ディレクター+スーツアクター2名派遣)に年度別の最低開催数保証(MG)を付す。2年間の開催規模は約1,893開催(月別ライン計画ベース)を想定。</w:t>
      </w:r>
    </w:p>
    <w:p>
      <w:pPr>
        <w:spacing w:before="240" w:after="120"/>
      </w:pPr>
      <w:r>
        <w:rPr>
          <w:rFonts w:ascii="Meiryo" w:hAnsi="Meiryo" w:eastAsia="Meiryo"/>
          <w:b/>
          <w:color w:val="232278"/>
          <w:sz w:val="26"/>
        </w:rPr>
        <w:t>3. 履行義務の識別と収益認識の整理(当社案)</w:t>
      </w:r>
    </w:p>
    <w:p>
      <w:r>
        <w:rPr>
          <w:rFonts w:ascii="Meiryo" w:hAnsi="Meiryo" w:eastAsia="Meiryo"/>
          <w:b/>
          <w:sz w:val="23"/>
        </w:rPr>
        <w:t>3-1. IPライセンス(部品4)</w:t>
      </w:r>
    </w:p>
    <w:p>
      <w:pPr>
        <w:pStyle w:val="ListBullet"/>
      </w:pPr>
      <w:r>
        <w:rPr>
          <w:rFonts w:ascii="Meiryo" w:hAnsi="Meiryo" w:eastAsia="Meiryo"/>
          <w:b w:val="0"/>
          <w:sz w:val="21"/>
        </w:rPr>
        <w:t>キャラクターIPであり、当社が映像作品・イベント等によりIP価値に影響する活動を継続するため、「アクセス権(シンボリックIP)」に該当すると整理</w:t>
      </w:r>
    </w:p>
    <w:p>
      <w:pPr>
        <w:pStyle w:val="ListBullet"/>
      </w:pPr>
      <w:r>
        <w:rPr>
          <w:rFonts w:ascii="Meiryo" w:hAnsi="Meiryo" w:eastAsia="Meiryo"/>
          <w:b w:val="0"/>
          <w:sz w:val="21"/>
        </w:rPr>
        <w:t>認識:ライセンス期間(締結日〜2028年12月)にわたり定額按分。当期帰属は締結日から期末までの約5ヶ月分(約830万円)</w:t>
      </w:r>
    </w:p>
    <w:p>
      <w:pPr>
        <w:pStyle w:val="ListBullet"/>
      </w:pPr>
      <w:r>
        <w:rPr>
          <w:rFonts w:ascii="Meiryo" w:hAnsi="Meiryo" w:eastAsia="Meiryo"/>
          <w:b w:val="0"/>
          <w:sz w:val="21"/>
        </w:rPr>
        <w:t>論点①:契約年度ごとの料金設定(2,000万円/年)と会計期間のずれがある場合の按分方法</w:t>
      </w:r>
    </w:p>
    <w:p>
      <w:r>
        <w:rPr>
          <w:rFonts w:ascii="Meiryo" w:hAnsi="Meiryo" w:eastAsia="Meiryo"/>
          <w:b/>
          <w:sz w:val="23"/>
        </w:rPr>
        <w:t>3-2. 立ち上げ期キャパシティ確保(部品1)</w:t>
      </w:r>
    </w:p>
    <w:p>
      <w:pPr>
        <w:pStyle w:val="ListBullet"/>
      </w:pPr>
      <w:r>
        <w:rPr>
          <w:rFonts w:ascii="Meiryo" w:hAnsi="Meiryo" w:eastAsia="Meiryo"/>
          <w:b w:val="0"/>
          <w:sz w:val="21"/>
        </w:rPr>
        <w:t>対価の対象を「個別イベントの実施」ではなく「専属体制(12〜15ライン)の確保・維持」とするスタンバイ型(stand-ready)の履行義務として設計</w:t>
      </w:r>
    </w:p>
    <w:p>
      <w:pPr>
        <w:pStyle w:val="ListBullet"/>
      </w:pPr>
      <w:r>
        <w:rPr>
          <w:rFonts w:ascii="Meiryo" w:hAnsi="Meiryo" w:eastAsia="Meiryo"/>
          <w:b w:val="0"/>
          <w:sz w:val="21"/>
        </w:rPr>
        <w:t>認識:確保期間(2027年1〜3月)の時の経過に応じて按分。期間が当期内に完了するため、全額が当期収益</w:t>
      </w:r>
    </w:p>
    <w:p>
      <w:pPr>
        <w:pStyle w:val="ListBullet"/>
      </w:pPr>
      <w:r>
        <w:rPr>
          <w:rFonts w:ascii="Meiryo" w:hAnsi="Meiryo" w:eastAsia="Meiryo"/>
          <w:b w:val="0"/>
          <w:sz w:val="21"/>
        </w:rPr>
        <w:t>当社による専属性の立証:ライン管理表により、当該期間に該当ラインを他社案件に充当していないことを文書化する運用を予定</w:t>
      </w:r>
    </w:p>
    <w:p>
      <w:pPr>
        <w:pStyle w:val="ListBullet"/>
      </w:pPr>
      <w:r>
        <w:rPr>
          <w:rFonts w:ascii="Meiryo" w:hAnsi="Meiryo" w:eastAsia="Meiryo"/>
          <w:b w:val="0"/>
          <w:sz w:val="21"/>
        </w:rPr>
        <w:t>論点②:スタンバイ型履行義務としての整理の可否、および従量契約(部品外のFY27以降)との区分の妥当性</w:t>
      </w:r>
    </w:p>
    <w:p>
      <w:r>
        <w:rPr>
          <w:rFonts w:ascii="Meiryo" w:hAnsi="Meiryo" w:eastAsia="Meiryo"/>
          <w:b/>
          <w:sz w:val="23"/>
        </w:rPr>
        <w:t>3-3. 体制構築・専用成果物(部品3)</w:t>
      </w:r>
    </w:p>
    <w:p>
      <w:pPr>
        <w:pStyle w:val="ListBullet"/>
      </w:pPr>
      <w:r>
        <w:rPr>
          <w:rFonts w:ascii="Meiryo" w:hAnsi="Meiryo" w:eastAsia="Meiryo"/>
          <w:b w:val="0"/>
          <w:sz w:val="21"/>
        </w:rPr>
        <w:t>先方に使用権・運用権が移転する特定成果物(運営フォーマット・デザインパッケージ・設計図・研修プログラム)の納品として設計し、検収(2027年3月末)をもって一時点で認識</w:t>
      </w:r>
    </w:p>
    <w:p>
      <w:pPr>
        <w:pStyle w:val="ListBullet"/>
      </w:pPr>
      <w:r>
        <w:rPr>
          <w:rFonts w:ascii="Meiryo" w:hAnsi="Meiryo" w:eastAsia="Meiryo"/>
          <w:b w:val="0"/>
          <w:sz w:val="21"/>
        </w:rPr>
        <w:t>対価は制作実費+合理的マージンの積算によりSSP(独立販売価格)との整合を確保</w:t>
      </w:r>
    </w:p>
    <w:p>
      <w:pPr>
        <w:pStyle w:val="ListBullet"/>
      </w:pPr>
      <w:r>
        <w:rPr>
          <w:rFonts w:ascii="Meiryo" w:hAnsi="Meiryo" w:eastAsia="Meiryo"/>
          <w:b w:val="0"/>
          <w:sz w:val="21"/>
        </w:rPr>
        <w:t>論点③:成果物の独立した履行義務性(ライセンスや役務との区分)、検収基準の妥当性</w:t>
      </w:r>
    </w:p>
    <w:p>
      <w:r>
        <w:rPr>
          <w:rFonts w:ascii="Meiryo" w:hAnsi="Meiryo" w:eastAsia="Meiryo"/>
          <w:b/>
          <w:sz w:val="23"/>
        </w:rPr>
        <w:t>3-4. イベント実施(部品2および2027年4月以降の従量分)</w:t>
      </w:r>
    </w:p>
    <w:p>
      <w:pPr>
        <w:pStyle w:val="ListBullet"/>
      </w:pPr>
      <w:r>
        <w:rPr>
          <w:rFonts w:ascii="Meiryo" w:hAnsi="Meiryo" w:eastAsia="Meiryo"/>
          <w:b w:val="0"/>
          <w:sz w:val="21"/>
        </w:rPr>
        <w:t>開催単位の役務提供として、開催の都度認識(単価20万円/開催〔土日2日間〕・税別。提示済み価格表と同一。派遣はディレクター+スーツアクター2名で、会場運営・設営は先方の責任範囲)</w:t>
      </w:r>
    </w:p>
    <w:p>
      <w:pPr>
        <w:pStyle w:val="ListBullet"/>
      </w:pPr>
      <w:r>
        <w:rPr>
          <w:rFonts w:ascii="Meiryo" w:hAnsi="Meiryo" w:eastAsia="Meiryo"/>
          <w:b w:val="0"/>
          <w:sz w:val="21"/>
        </w:rPr>
        <w:t>年度別MG:精算期間を当社会計年度に整合させて区切る(立ち上げ期/2028年3月期/2029年3月期(2028年4〜12月))。各期間末に未達分の精算額が確定する契約条項とし、未達精算分は確定時(各期末)に認識</w:t>
      </w:r>
    </w:p>
    <w:p>
      <w:pPr>
        <w:pStyle w:val="ListBullet"/>
      </w:pPr>
      <w:r>
        <w:rPr>
          <w:rFonts w:ascii="Meiryo" w:hAnsi="Meiryo" w:eastAsia="Meiryo"/>
          <w:b w:val="0"/>
          <w:sz w:val="21"/>
        </w:rPr>
        <w:t>論点④:MG未達精算分の性格整理(変動対価か、顧客により行使されなかった権利(breakage)か)と認識時期</w:t>
      </w:r>
    </w:p>
    <w:p>
      <w:r>
        <w:rPr>
          <w:rFonts w:ascii="Meiryo" w:hAnsi="Meiryo" w:eastAsia="Meiryo"/>
          <w:b/>
          <w:sz w:val="23"/>
        </w:rPr>
        <w:t>3-5. 作成許諾ロイヤリティ(部品5)</w:t>
      </w:r>
    </w:p>
    <w:p>
      <w:pPr>
        <w:pStyle w:val="ListBullet"/>
      </w:pPr>
      <w:r>
        <w:rPr>
          <w:rFonts w:ascii="Meiryo" w:hAnsi="Meiryo" w:eastAsia="Meiryo"/>
          <w:b w:val="0"/>
          <w:sz w:val="21"/>
        </w:rPr>
        <w:t>売上高・使用量ベースのロイヤリティの例外規定により、先方の製作(使用)時点で認識</w:t>
      </w:r>
    </w:p>
    <w:p>
      <w:pPr>
        <w:pStyle w:val="ListBullet"/>
      </w:pPr>
      <w:r>
        <w:rPr>
          <w:rFonts w:ascii="Meiryo" w:hAnsi="Meiryo" w:eastAsia="Meiryo"/>
          <w:b w:val="0"/>
          <w:sz w:val="21"/>
        </w:rPr>
        <w:t>ノベルティは先方制作に一本化するため、当社は許諾者として純額(ロイヤリティ額)で認識する整理(本人・代理人の論点)</w:t>
      </w:r>
    </w:p>
    <w:p>
      <w:pPr>
        <w:pStyle w:val="ListBullet"/>
      </w:pPr>
      <w:r>
        <w:rPr>
          <w:rFonts w:ascii="Meiryo" w:hAnsi="Meiryo" w:eastAsia="Meiryo"/>
          <w:b w:val="0"/>
          <w:sz w:val="21"/>
        </w:rPr>
        <w:t>製作スケジュール上、初回量産は2027年1月末までに実行される見込み(中国工場の春節前生産)であり、当該分は当期に帰属</w:t>
      </w:r>
    </w:p>
    <w:p>
      <w:pPr>
        <w:pStyle w:val="ListBullet"/>
      </w:pPr>
      <w:r>
        <w:rPr>
          <w:rFonts w:ascii="Meiryo" w:hAnsi="Meiryo" w:eastAsia="Meiryo"/>
          <w:b w:val="0"/>
          <w:sz w:val="21"/>
        </w:rPr>
        <w:t>論点⑤:本人・代理人の判定(テスト期間は当社商品の卸売=総額、本契約以降は許諾=純額への変更)</w:t>
      </w:r>
    </w:p>
    <w:p>
      <w:pPr>
        <w:spacing w:before="240" w:after="120"/>
      </w:pPr>
      <w:r>
        <w:rPr>
          <w:rFonts w:ascii="Meiryo" w:hAnsi="Meiryo" w:eastAsia="Meiryo"/>
          <w:b/>
          <w:color w:val="232278"/>
          <w:sz w:val="26"/>
        </w:rPr>
        <w:t>4. 期別の収益計上見込み(当社案ベース)</w:t>
      </w:r>
    </w:p>
    <w:tbl>
      <w:tblPr>
        <w:tblStyle w:val="TableGrid"/>
        <w:tblW w:type="auto" w:w="0"/>
        <w:tblLook w:firstColumn="1" w:firstRow="1" w:lastColumn="0" w:lastRow="0" w:noHBand="0" w:noVBand="1" w:val="04A0"/>
      </w:tblPr>
      <w:tblGrid>
        <w:gridCol w:w="2880"/>
        <w:gridCol w:w="2880"/>
        <w:gridCol w:w="2880"/>
      </w:tblGrid>
      <w:tr>
        <w:tc>
          <w:tcPr>
            <w:tcW w:type="dxa" w:w="2880"/>
            <w:shd w:fill="E8EAF2"/>
          </w:tcPr>
          <w:p>
            <w:r/>
            <w:r>
              <w:rPr>
                <w:rFonts w:ascii="Meiryo" w:hAnsi="Meiryo" w:eastAsia="Meiryo"/>
                <w:b/>
                <w:sz w:val="19"/>
              </w:rPr>
              <w:t>期</w:t>
            </w:r>
          </w:p>
        </w:tc>
        <w:tc>
          <w:tcPr>
            <w:tcW w:type="dxa" w:w="2880"/>
            <w:shd w:fill="E8EAF2"/>
          </w:tcPr>
          <w:p>
            <w:r/>
            <w:r>
              <w:rPr>
                <w:rFonts w:ascii="Meiryo" w:hAnsi="Meiryo" w:eastAsia="Meiryo"/>
                <w:b/>
                <w:sz w:val="19"/>
              </w:rPr>
              <w:t>内容</w:t>
            </w:r>
          </w:p>
        </w:tc>
        <w:tc>
          <w:tcPr>
            <w:tcW w:type="dxa" w:w="2880"/>
            <w:shd w:fill="E8EAF2"/>
          </w:tcPr>
          <w:p>
            <w:r/>
            <w:r>
              <w:rPr>
                <w:rFonts w:ascii="Meiryo" w:hAnsi="Meiryo" w:eastAsia="Meiryo"/>
                <w:b/>
                <w:sz w:val="19"/>
              </w:rPr>
              <w:t>金額目安(税別)</w:t>
            </w:r>
          </w:p>
        </w:tc>
      </w:tr>
      <w:tr>
        <w:tc>
          <w:tcPr>
            <w:tcW w:type="dxa" w:w="2880"/>
          </w:tcPr>
          <w:p>
            <w:r/>
            <w:r>
              <w:rPr>
                <w:rFonts w:ascii="Meiryo" w:hAnsi="Meiryo" w:eastAsia="Meiryo"/>
                <w:b w:val="0"/>
                <w:sz w:val="19"/>
              </w:rPr>
              <w:t>2027年3月期(当期)</w:t>
            </w:r>
          </w:p>
        </w:tc>
        <w:tc>
          <w:tcPr>
            <w:tcW w:type="dxa" w:w="2880"/>
          </w:tcPr>
          <w:p>
            <w:r/>
            <w:r>
              <w:rPr>
                <w:rFonts w:ascii="Meiryo" w:hAnsi="Meiryo" w:eastAsia="Meiryo"/>
                <w:b w:val="0"/>
                <w:sz w:val="19"/>
              </w:rPr>
              <w:t>テスト実績(履行済)約0.12億+先行スポット数百万+立ち上げ期キャパシティ確保0.33〜0.39億+成果物納品0.3〜1.0億+ライセンス按分約0.08億+許諾料(春節前量産分)約0.05〜0.1億</w:t>
            </w:r>
          </w:p>
        </w:tc>
        <w:tc>
          <w:tcPr>
            <w:tcW w:type="dxa" w:w="2880"/>
          </w:tcPr>
          <w:p>
            <w:r/>
            <w:r>
              <w:rPr>
                <w:rFonts w:ascii="Meiryo" w:hAnsi="Meiryo" w:eastAsia="Meiryo"/>
                <w:b/>
                <w:sz w:val="19"/>
              </w:rPr>
              <w:t>約0.9〜1.7億円</w:t>
            </w:r>
          </w:p>
        </w:tc>
      </w:tr>
      <w:tr>
        <w:tc>
          <w:tcPr>
            <w:tcW w:type="dxa" w:w="2880"/>
          </w:tcPr>
          <w:p>
            <w:r/>
            <w:r>
              <w:rPr>
                <w:rFonts w:ascii="Meiryo" w:hAnsi="Meiryo" w:eastAsia="Meiryo"/>
                <w:b w:val="0"/>
                <w:sz w:val="19"/>
              </w:rPr>
              <w:t>2028年3月期</w:t>
            </w:r>
          </w:p>
        </w:tc>
        <w:tc>
          <w:tcPr>
            <w:tcW w:type="dxa" w:w="2880"/>
          </w:tcPr>
          <w:p>
            <w:r/>
            <w:r>
              <w:rPr>
                <w:rFonts w:ascii="Meiryo" w:hAnsi="Meiryo" w:eastAsia="Meiryo"/>
                <w:b w:val="0"/>
                <w:sz w:val="19"/>
              </w:rPr>
              <w:t>着ぐるみイベント約962開催(従量+MG精算)約1.92億+ライセンス按分約0.2億+許諾料</w:t>
            </w:r>
          </w:p>
        </w:tc>
        <w:tc>
          <w:tcPr>
            <w:tcW w:type="dxa" w:w="2880"/>
          </w:tcPr>
          <w:p>
            <w:r/>
            <w:r>
              <w:rPr>
                <w:rFonts w:ascii="Meiryo" w:hAnsi="Meiryo" w:eastAsia="Meiryo"/>
                <w:b w:val="0"/>
                <w:sz w:val="19"/>
              </w:rPr>
              <w:t>約2.3〜2.5億円</w:t>
            </w:r>
          </w:p>
        </w:tc>
      </w:tr>
      <w:tr>
        <w:tc>
          <w:tcPr>
            <w:tcW w:type="dxa" w:w="2880"/>
          </w:tcPr>
          <w:p>
            <w:r/>
            <w:r>
              <w:rPr>
                <w:rFonts w:ascii="Meiryo" w:hAnsi="Meiryo" w:eastAsia="Meiryo"/>
                <w:b w:val="0"/>
                <w:sz w:val="19"/>
              </w:rPr>
              <w:t>2029年3月期</w:t>
            </w:r>
          </w:p>
        </w:tc>
        <w:tc>
          <w:tcPr>
            <w:tcW w:type="dxa" w:w="2880"/>
          </w:tcPr>
          <w:p>
            <w:r/>
            <w:r>
              <w:rPr>
                <w:rFonts w:ascii="Meiryo" w:hAnsi="Meiryo" w:eastAsia="Meiryo"/>
                <w:b w:val="0"/>
                <w:sz w:val="19"/>
              </w:rPr>
              <w:t>同 約767開催(2028年4〜12月)約1.53億+ライセンス按分+許諾料</w:t>
            </w:r>
          </w:p>
        </w:tc>
        <w:tc>
          <w:tcPr>
            <w:tcW w:type="dxa" w:w="2880"/>
          </w:tcPr>
          <w:p>
            <w:r/>
            <w:r>
              <w:rPr>
                <w:rFonts w:ascii="Meiryo" w:hAnsi="Meiryo" w:eastAsia="Meiryo"/>
                <w:b w:val="0"/>
                <w:sz w:val="19"/>
              </w:rPr>
              <w:t>約1.8〜2.0億円</w:t>
            </w:r>
          </w:p>
        </w:tc>
      </w:tr>
    </w:tbl>
    <w:p/>
    <w:p>
      <w:pPr>
        <w:spacing w:after="80"/>
      </w:pPr>
      <w:r>
        <w:rPr>
          <w:rFonts w:ascii="Meiryo" w:hAnsi="Meiryo" w:eastAsia="Meiryo"/>
          <w:b w:val="0"/>
          <w:sz w:val="21"/>
        </w:rPr>
        <w:t>契約時に確定する事項:受注総額(約4.4〜4.7億円)/返金不能・無条件のMG支払義務/前受金(契約時30%等の前払スケジュールを交渉予定)→ 契約負債として計上</w:t>
      </w:r>
    </w:p>
    <w:p>
      <w:pPr>
        <w:spacing w:before="240" w:after="120"/>
      </w:pPr>
      <w:r>
        <w:rPr>
          <w:rFonts w:ascii="Meiryo" w:hAnsi="Meiryo" w:eastAsia="Meiryo"/>
          <w:b/>
          <w:color w:val="232278"/>
          <w:sz w:val="26"/>
        </w:rPr>
        <w:t>5. その他の論点</w:t>
      </w:r>
    </w:p>
    <w:p>
      <w:pPr>
        <w:pStyle w:val="ListBullet"/>
      </w:pPr>
      <w:r>
        <w:rPr>
          <w:rFonts w:ascii="Meiryo" w:hAnsi="Meiryo" w:eastAsia="Meiryo"/>
          <w:b w:val="0"/>
          <w:sz w:val="21"/>
        </w:rPr>
        <w:t>論点⑥:前払スケジュールにより2年分の対価の相当部分を先行受領する場合の重要な金融要素の要否</w:t>
      </w:r>
    </w:p>
    <w:p>
      <w:pPr>
        <w:pStyle w:val="ListBullet"/>
      </w:pPr>
      <w:r>
        <w:rPr>
          <w:rFonts w:ascii="Meiryo" w:hAnsi="Meiryo" w:eastAsia="Meiryo"/>
          <w:b w:val="0"/>
          <w:sz w:val="21"/>
        </w:rPr>
        <w:t>論点⑦:キャンセル料条項(開催1ヶ月前〜14日前30%/13日前〜7日前50%/6日前〜当日100%)・中途解約時の残期間MG精算条項の会計上の取扱い</w:t>
      </w:r>
    </w:p>
    <w:p>
      <w:pPr>
        <w:pStyle w:val="ListBullet"/>
      </w:pPr>
      <w:r>
        <w:rPr>
          <w:rFonts w:ascii="Meiryo" w:hAnsi="Meiryo" w:eastAsia="Meiryo"/>
          <w:b w:val="0"/>
          <w:sz w:val="21"/>
        </w:rPr>
        <w:t>論点⑧:交通運搬費・宿泊費等の実費精算(基準料金表に基づく)の総額・純額</w:t>
      </w:r>
    </w:p>
    <w:p>
      <w:pPr>
        <w:pStyle w:val="ListBullet"/>
      </w:pPr>
      <w:r>
        <w:rPr>
          <w:rFonts w:ascii="Meiryo" w:hAnsi="Meiryo" w:eastAsia="Meiryo"/>
          <w:b w:val="0"/>
          <w:sz w:val="21"/>
        </w:rPr>
        <w:t>参考:既存他社契約との関係で2027年1〜3月の稼働開始には社内意思決定(経営判断)が前提となる事項あり(詳細は別途)</w:t>
      </w:r>
    </w:p>
    <w:p>
      <w:pPr>
        <w:spacing w:before="240" w:after="120"/>
      </w:pPr>
      <w:r>
        <w:rPr>
          <w:rFonts w:ascii="Meiryo" w:hAnsi="Meiryo" w:eastAsia="Meiryo"/>
          <w:b/>
          <w:color w:val="232278"/>
          <w:sz w:val="26"/>
        </w:rPr>
        <w:t>6. ご相談事項(まとめ)</w:t>
      </w:r>
    </w:p>
    <w:p>
      <w:pPr>
        <w:spacing w:after="80"/>
      </w:pPr>
      <w:r>
        <w:rPr>
          <w:rFonts w:ascii="Meiryo" w:hAnsi="Meiryo" w:eastAsia="Meiryo"/>
          <w:b w:val="0"/>
          <w:sz w:val="21"/>
        </w:rPr>
        <w:t>1. 部品1(スタンバイ型キャパシティ確保)の履行義務整理と期間按分認識の可否 ※当期計上額への影響が最大の論点</w:t>
      </w:r>
    </w:p>
    <w:p>
      <w:pPr>
        <w:spacing w:after="80"/>
      </w:pPr>
      <w:r>
        <w:rPr>
          <w:rFonts w:ascii="Meiryo" w:hAnsi="Meiryo" w:eastAsia="Meiryo"/>
          <w:b w:val="0"/>
          <w:sz w:val="21"/>
        </w:rPr>
        <w:t>2. 部品3(専用成果物)の一時点認識の可否と、SSP配分・検収要件</w:t>
      </w:r>
    </w:p>
    <w:p>
      <w:pPr>
        <w:spacing w:after="80"/>
      </w:pPr>
      <w:r>
        <w:rPr>
          <w:rFonts w:ascii="Meiryo" w:hAnsi="Meiryo" w:eastAsia="Meiryo"/>
          <w:b w:val="0"/>
          <w:sz w:val="21"/>
        </w:rPr>
        <w:t>3. 年度区切りMGの未達精算分を各期末に認識する整理の可否</w:t>
      </w:r>
    </w:p>
    <w:p>
      <w:pPr>
        <w:spacing w:after="80"/>
      </w:pPr>
      <w:r>
        <w:rPr>
          <w:rFonts w:ascii="Meiryo" w:hAnsi="Meiryo" w:eastAsia="Meiryo"/>
          <w:b w:val="0"/>
          <w:sz w:val="21"/>
        </w:rPr>
        <w:t>4. ライセンスのシンボリックIP整理と年度別料率の配分方法</w:t>
      </w:r>
    </w:p>
    <w:p>
      <w:pPr>
        <w:spacing w:after="80"/>
      </w:pPr>
      <w:r>
        <w:rPr>
          <w:rFonts w:ascii="Meiryo" w:hAnsi="Meiryo" w:eastAsia="Meiryo"/>
          <w:b w:val="0"/>
          <w:sz w:val="21"/>
        </w:rPr>
        <w:t>5. ノベルティ許諾への切替に伴う本人・代理人判定の変更</w:t>
      </w:r>
    </w:p>
    <w:p>
      <w:pPr>
        <w:spacing w:after="80"/>
      </w:pPr>
      <w:r>
        <w:rPr>
          <w:rFonts w:ascii="Meiryo" w:hAnsi="Meiryo" w:eastAsia="Meiryo"/>
          <w:b w:val="0"/>
          <w:sz w:val="21"/>
        </w:rPr>
        <w:t>6. 前受対価に係る重要な金融要素の要否</w:t>
      </w:r>
    </w:p>
    <w:p>
      <w:pPr>
        <w:spacing w:after="80"/>
      </w:pPr>
      <w:r>
        <w:rPr>
          <w:rFonts w:ascii="Meiryo" w:hAnsi="Meiryo" w:eastAsia="Meiryo"/>
          <w:b w:val="0"/>
          <w:sz w:val="21"/>
        </w:rPr>
        <w:t>7. 契約書ドラフトへの会計要件の反映事項(検収定義・精算確定日・返金不能条項等)のご指導</w:t>
      </w:r>
    </w:p>
    <w:p>
      <w:pPr>
        <w:spacing w:after="80"/>
      </w:pPr>
      <w:r>
        <w:rPr>
          <w:rFonts w:ascii="Meiryo" w:hAnsi="Meiryo" w:eastAsia="Meiryo"/>
          <w:b w:val="0"/>
          <w:sz w:val="21"/>
        </w:rPr>
        <w:t>以上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